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rig-20261019x8k.htm"/>
      <w:bookmarkStart w:id="1" w:name="ksrig20261019x8k"/>
      <w:bookmarkEnd w:id="0"/>
      <w:bookmarkEnd w:id="1"/>
      <w:r>
        <w:rPr/>
        <w:t>​</w:t>
      </w:r>
    </w:p>
    <w:p>
      <w:pPr>
        <w:pStyle w:val="TextBody"/>
        <w:bidi w:val="0"/>
        <w:spacing w:before="0" w:after="0"/>
        <w:ind w:left="0" w:right="0" w:hanging="0"/>
        <w:jc w:val="center"/>
        <w:rPr>
          <w:rFonts w:ascii="Times New Roman;Times;serif" w:hAnsi="Times New Roman;Times;serif"/>
          <w:b/>
          <w:sz w:val="24"/>
        </w:rPr>
      </w:pPr>
      <w:bookmarkStart w:id="2" w:name="_1173a2be_98ec_49f0_8be3_b4630e6cbdf4"/>
      <w:bookmarkEnd w:id="2"/>
      <w:r>
        <w:rPr>
          <w:rFonts w:ascii="Times New Roman;Times;serif" w:hAnsi="Times New Roman;Times;serif"/>
          <w:b/>
          <w:sz w:val="24"/>
        </w:rPr>
        <w:t>UNITED STATES</w:t>
        <w:b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CURRENT REPORT</w:t>
        <w:br/>
        <w:t xml:space="preserve">Pursuant to Section 13 or 15(d) of </w:t>
        <w:br/>
        <w:t xml:space="preserve">the Securities Exchange Act of 1934 </w:t>
        <w:br/>
        <w:br/>
        <w:t>Date of report (date of earliest event reported): October 19, 2026</w:t>
      </w:r>
      <w:r>
        <w:rPr>
          <w:rFonts w:ascii="Times New Roman;Times;serif" w:hAnsi="Times New Roman;Times;serif"/>
          <w:sz w:val="24"/>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TRANSOCEAN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4IgrlLIw_kKjdRoRV3iaDg_3_4"/>
      <w:bookmarkStart w:id="4" w:name="Tc_mAEsnghB90KJvOrzU-sufw_3_2"/>
      <w:bookmarkStart w:id="5" w:name="Tc_FjVFQXYf-kSKy32H6OVjZQ_3_0"/>
      <w:bookmarkStart w:id="6" w:name="Tc_G1_AfQ3KR0agxTLjCSYntg_2_4"/>
      <w:bookmarkStart w:id="7" w:name="Tc_90FnAyRkv0WSMB7r0hED6g_2_2"/>
      <w:bookmarkStart w:id="8" w:name="Tc_ra9X1EQFxE6Zrvb_v4Ev3w_2_0"/>
      <w:bookmarkStart w:id="9" w:name="_97099f8b_6d91_4212_ac39_f0329140466e"/>
      <w:bookmarkStart w:id="10" w:name="Tc_4IgrlLIw_kKjdRoRV3iaDg_3_4"/>
      <w:bookmarkStart w:id="11" w:name="Tc_mAEsnghB90KJvOrzU-sufw_3_2"/>
      <w:bookmarkStart w:id="12" w:name="Tc_FjVFQXYf-kSKy32H6OVjZQ_3_0"/>
      <w:bookmarkStart w:id="13" w:name="Tc_G1_AfQ3KR0agxTLjCSYntg_2_4"/>
      <w:bookmarkStart w:id="14" w:name="Tc_90FnAyRkv0WSMB7r0hED6g_2_2"/>
      <w:bookmarkStart w:id="15" w:name="Tc_ra9X1EQFxE6Zrvb_v4Ev3w_2_0"/>
      <w:bookmarkStart w:id="16" w:name="_97099f8b_6d91_4212_ac39_f0329140466e"/>
      <w:bookmarkEnd w:id="10"/>
      <w:bookmarkEnd w:id="11"/>
      <w:bookmarkEnd w:id="12"/>
      <w:bookmarkEnd w:id="13"/>
      <w:bookmarkEnd w:id="14"/>
      <w:bookmarkEnd w:id="15"/>
      <w:bookmarkEnd w:id="16"/>
    </w:p>
    <w:tbl>
      <w:tblPr>
        <w:tblW w:w="6110" w:type="dxa"/>
        <w:jc w:val="left"/>
        <w:tblInd w:w="0" w:type="dxa"/>
        <w:tblLayout w:type="fixed"/>
        <w:tblCellMar>
          <w:top w:w="0" w:type="dxa"/>
          <w:left w:w="0" w:type="dxa"/>
          <w:bottom w:w="0" w:type="dxa"/>
          <w:right w:w="0" w:type="dxa"/>
        </w:tblCellMar>
      </w:tblPr>
      <w:tblGrid>
        <w:gridCol w:w="2581"/>
        <w:gridCol w:w="346"/>
        <w:gridCol w:w="1186"/>
        <w:gridCol w:w="34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Switzerland</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001-38373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98-0599916</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C2gY0gTMPEaZuifUqIS4vA_4_2"/>
      <w:bookmarkStart w:id="18" w:name="Tc_izH2KyebeE6iRs44ZEeHxw_4_0"/>
      <w:bookmarkStart w:id="19" w:name="Tc__h8x3Cw6o0e1voexovreTA_2_0"/>
      <w:bookmarkStart w:id="20" w:name="_9471b4bf_9661_43a6_adc8_d44ad8e8b2df"/>
      <w:bookmarkStart w:id="21" w:name="Tc_C2gY0gTMPEaZuifUqIS4vA_4_2"/>
      <w:bookmarkStart w:id="22" w:name="Tc_izH2KyebeE6iRs44ZEeHxw_4_0"/>
      <w:bookmarkStart w:id="23" w:name="Tc__h8x3Cw6o0e1voexovreTA_2_0"/>
      <w:bookmarkStart w:id="24" w:name="_9471b4bf_9661_43a6_adc8_d44ad8e8b2df"/>
      <w:bookmarkEnd w:id="21"/>
      <w:bookmarkEnd w:id="22"/>
      <w:bookmarkEnd w:id="23"/>
      <w:bookmarkEnd w:id="24"/>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Turmstrasse 30</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Steinhausen, Switzerland</w:t>
            </w:r>
            <w:r>
              <w:rPr>
                <w:rFonts w:ascii="Times New Roman;Times;serif" w:hAnsi="Times New Roman;Times;serif"/>
                <w:sz w:val="24"/>
              </w:rPr>
              <w:t xml:space="preserve"> </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CH-6312</w:t>
            </w:r>
          </w:p>
        </w:tc>
      </w:tr>
      <w:tr>
        <w:trPr/>
        <w:tc>
          <w:tcPr>
            <w:tcW w:w="33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w:t>
      </w:r>
      <w:r>
        <w:rPr>
          <w:rFonts w:ascii="Times New Roman;Times;serif" w:hAnsi="Times New Roman;Times;serif"/>
          <w:sz w:val="24"/>
        </w:rPr>
        <w:t xml:space="preserve"> </w:t>
      </w:r>
      <w:r>
        <w:rPr>
          <w:rFonts w:ascii="Times New Roman;Times;serif" w:hAnsi="Times New Roman;Times;serif"/>
          <w:b/>
          <w:sz w:val="20"/>
        </w:rPr>
        <w:t>(41) 749-0500</w:t>
      </w:r>
    </w:p>
    <w:p>
      <w:pPr>
        <w:pStyle w:val="TextBody"/>
        <w:bidi w:val="0"/>
        <w:spacing w:before="0" w:after="120"/>
        <w:ind w:left="0" w:right="0" w:hanging="0"/>
        <w:jc w:val="both"/>
        <w:rPr/>
      </w:pPr>
      <w:r>
        <w:rPr>
          <w:u w:val="single"/>
        </w:rPr>
        <w:t>​ ​</w:t>
      </w: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Soliciting material pursuant to Rule 14a-12 under the Exchange Act (17 CFR 240.14a-12) </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360" w:right="0" w:hanging="0"/>
        <w:jc w:val="left"/>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 xml:space="preserve">Pre-commencement communications pursuant to Rule 13e-4(c) under the Exchange Act (17 CFR 240.13e-4(c)) </w:t>
      </w:r>
    </w:p>
    <w:p>
      <w:pPr>
        <w:pStyle w:val="Normal"/>
        <w:bidi w:val="0"/>
        <w:spacing w:before="0" w:after="0"/>
        <w:jc w:val="left"/>
        <w:rPr>
          <w:sz w:val="4"/>
          <w:szCs w:val="4"/>
        </w:rPr>
      </w:pPr>
      <w:r>
        <w:rPr>
          <w:sz w:val="4"/>
          <w:szCs w:val="4"/>
        </w:rPr>
      </w:r>
      <w:bookmarkStart w:id="25" w:name="Tc_qo1qLhD-4UCBFwFqS1582Q_3_0"/>
      <w:bookmarkStart w:id="26" w:name="Tc_wkjRJj4Nu0GPS6O-VyqogQ_2_2"/>
      <w:bookmarkStart w:id="27" w:name="Tc_ifJMGdlyjkuH-nEUVbIaNw_2_1"/>
      <w:bookmarkStart w:id="28" w:name="Tc_RfPsxlZtckqPJnBYYDwO-g_2_0"/>
      <w:bookmarkStart w:id="29" w:name="Tc_0yl53ASUmE-_2amKEvSo4Q_1_0"/>
      <w:bookmarkStart w:id="30" w:name="_8dd5d2dc_c168_404c_b78e_10bd7467f0ed"/>
      <w:bookmarkStart w:id="31" w:name="Tc_qo1qLhD-4UCBFwFqS1582Q_3_0"/>
      <w:bookmarkStart w:id="32" w:name="Tc_wkjRJj4Nu0GPS6O-VyqogQ_2_2"/>
      <w:bookmarkStart w:id="33" w:name="Tc_ifJMGdlyjkuH-nEUVbIaNw_2_1"/>
      <w:bookmarkStart w:id="34" w:name="Tc_RfPsxlZtckqPJnBYYDwO-g_2_0"/>
      <w:bookmarkStart w:id="35" w:name="Tc_0yl53ASUmE-_2amKEvSo4Q_1_0"/>
      <w:bookmarkStart w:id="36" w:name="_8dd5d2dc_c168_404c_b78e_10bd7467f0ed"/>
      <w:bookmarkEnd w:id="31"/>
      <w:bookmarkEnd w:id="32"/>
      <w:bookmarkEnd w:id="33"/>
      <w:bookmarkEnd w:id="34"/>
      <w:bookmarkEnd w:id="35"/>
      <w:bookmarkEnd w:id="36"/>
    </w:p>
    <w:tbl>
      <w:tblPr>
        <w:tblW w:w="7188" w:type="dxa"/>
        <w:jc w:val="left"/>
        <w:tblInd w:w="0" w:type="dxa"/>
        <w:tblLayout w:type="fixed"/>
        <w:tblCellMar>
          <w:top w:w="0" w:type="dxa"/>
          <w:left w:w="0" w:type="dxa"/>
          <w:bottom w:w="0" w:type="dxa"/>
          <w:right w:w="0" w:type="dxa"/>
        </w:tblCellMar>
      </w:tblPr>
      <w:tblGrid>
        <w:gridCol w:w="1996"/>
        <w:gridCol w:w="1426"/>
        <w:gridCol w:w="3766"/>
      </w:tblGrid>
      <w:tr>
        <w:trPr/>
        <w:tc>
          <w:tcPr>
            <w:tcW w:w="199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7188" w:type="dxa"/>
            <w:gridSpan w:val="3"/>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Shares, $0.10 par value</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RIG</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bookmarkStart w:id="37" w:name="_720414cf_8f6d_48ff_9109_605ed16fce45"/>
      <w:bookmarkEnd w:id="37"/>
      <w:r>
        <w:rPr>
          <w:rFonts w:ascii="Times New Roman;Times;serif" w:hAnsi="Times New Roman;Times;serif"/>
          <w:b/>
          <w:i w:val="false"/>
          <w:caps w:val="false"/>
          <w:smallCaps w:val="false"/>
          <w:sz w:val="22"/>
        </w:rPr>
        <w:t>Item 7.01</w:t>
      </w:r>
      <w:r>
        <w:rPr>
          <w:rFonts w:ascii="Times New Roman;Times;serif" w:hAnsi="Times New Roman;Times;serif"/>
          <w:b/>
          <w:sz w:val="22"/>
        </w:rPr>
        <w:t xml:space="preserve">Regulation FD Disclosure.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Transocean Ltd. announced contract awards for two of its ultra-deepwater drillships in the U.S. Gulf. In aggregate, the fixtures represent approximately $550 million in firm contract backlog.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w:t>
      </w:r>
      <w:r>
        <w:rPr>
          <w:rFonts w:ascii="Times New Roman;Times;serif" w:hAnsi="Times New Roman;Times;serif"/>
          <w:i/>
          <w:sz w:val="22"/>
        </w:rPr>
        <w:t>Deepwater Proteus</w:t>
      </w:r>
      <w:r>
        <w:rPr>
          <w:rFonts w:ascii="Times New Roman;Times;serif" w:hAnsi="Times New Roman;Times;serif"/>
          <w:sz w:val="22"/>
        </w:rPr>
        <w:t xml:space="preserve"> was awarded a ten-well contract with an undisclosed operator in the U.S. Gulf. The estimated 700-day campaign is expected to contribute approximately $325 million in backlog and commence in the first quarter of 2027 in direct continuation of the rig’s current U.S. Gulf contract.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w:t>
      </w:r>
      <w:r>
        <w:rPr>
          <w:rFonts w:ascii="Times New Roman;Times;serif" w:hAnsi="Times New Roman;Times;serif"/>
          <w:i/>
          <w:sz w:val="22"/>
        </w:rPr>
        <w:t>Deepwater Conqueror</w:t>
      </w:r>
      <w:r>
        <w:rPr>
          <w:rFonts w:ascii="Times New Roman;Times;serif" w:hAnsi="Times New Roman;Times;serif"/>
          <w:sz w:val="22"/>
        </w:rPr>
        <w:t xml:space="preserve"> was awarded a five-well contract with an undisclosed operator in the U.S. Gulf. The estimated 450 days of work is expected to contribute approximately $225 million in backlog, excluding mobilization fees, and commence in the third quarter of 2027 in direct continuation of the rig’s program in Equatorial Guinea.</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2"/>
        </w:rPr>
        <w:t xml:space="preserve">A copy of the press release announcing the fixture referred to above is attached hereto and incorporated herein by reference as </w:t>
      </w:r>
      <w:hyperlink w:anchor="rig-ex99d1.htm">
        <w:r>
          <w:rPr>
            <w:rStyle w:val="InternetLink"/>
            <w:rFonts w:ascii="Times New Roman;Times;serif" w:hAnsi="Times New Roman;Times;serif"/>
            <w:b w:val="false"/>
            <w:i w:val="false"/>
            <w:caps w:val="false"/>
            <w:smallCaps w:val="false"/>
            <w:sz w:val="22"/>
          </w:rPr>
          <w:t>Exhibit 99.1</w:t>
        </w:r>
      </w:hyperlink>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i w:val="false"/>
          <w:caps w:val="false"/>
          <w:smallCaps w:val="false"/>
          <w:sz w:val="22"/>
        </w:rPr>
        <w:t>Item 9.01</w:t>
      </w:r>
      <w:r>
        <w:rPr>
          <w:rFonts w:ascii="Times New Roman;Times;serif" w:hAnsi="Times New Roman;Times;serif"/>
          <w:b/>
          <w:sz w:val="22"/>
        </w:rPr>
        <w:t>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6"/>
        <w:gridCol w:w="346"/>
        <w:gridCol w:w="8913"/>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sz w:val="16"/>
              </w:rPr>
            </w:pPr>
            <w:r>
              <w:rPr>
                <w:rFonts w:ascii="Times New Roman;Times;serif" w:hAnsi="Times New Roman;Times;serif"/>
                <w:b/>
                <w:sz w:val="16"/>
              </w:rPr>
              <w:t>Exhibit No</w:t>
            </w:r>
            <w:r>
              <w:rPr>
                <w:rFonts w:ascii="Times New Roman;Times;serif" w:hAnsi="Times New Roman;Times;serif"/>
                <w:sz w:val="16"/>
              </w:rPr>
              <w:t>.</w:t>
            </w:r>
          </w:p>
        </w:tc>
        <w:tc>
          <w:tcPr>
            <w:tcW w:w="346" w:type="dxa"/>
            <w:tcBorders/>
            <w:vAlign w:val="center"/>
          </w:tcPr>
          <w:p>
            <w:pPr>
              <w:pStyle w:val="TableContents"/>
              <w:bidi w:val="0"/>
              <w:spacing w:lineRule="atLeast" w:line="180" w:before="0" w:after="0"/>
              <w:ind w:left="0" w:right="0" w:hanging="0"/>
              <w:jc w:val="left"/>
              <w:rPr/>
            </w:pPr>
            <w:r>
              <w:rPr/>
              <w:t>  ​ ​ ​</w:t>
            </w:r>
          </w:p>
        </w:tc>
        <w:tc>
          <w:tcPr>
            <w:tcW w:w="8913"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99.1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rig-ex99d1.htm">
              <w:r>
                <w:rPr>
                  <w:rStyle w:val="InternetLink"/>
                  <w:rFonts w:ascii="Times New Roman;Times;serif" w:hAnsi="Times New Roman;Times;serif"/>
                  <w:b w:val="false"/>
                  <w:i w:val="false"/>
                  <w:caps w:val="false"/>
                  <w:smallCaps w:val="false"/>
                  <w:sz w:val="24"/>
                </w:rPr>
                <w:t>Transocean Ltd. Announces Contract Awards Totaling $550 Million</w:t>
              </w:r>
            </w:hyperlink>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Interactive data files pursuant to Rule 405 of Regulation S-T formatted in Inline Extensible Business Reporting Language</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Cover Page Interactive Data File (formatted as inline XBRL).</w:t>
            </w:r>
          </w:p>
        </w:tc>
      </w:tr>
    </w:tbl>
    <w:p>
      <w:pPr>
        <w:pStyle w:val="TextBody"/>
        <w:bidi w:val="0"/>
        <w:spacing w:before="225" w:after="225"/>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before="0" w:after="480"/>
        <w:ind w:left="0" w:right="0" w:firstLine="741"/>
        <w:jc w:val="both"/>
        <w:rPr>
          <w:rFonts w:ascii="Times New Roman;Times;serif" w:hAnsi="Times New Roman;Times;serif"/>
          <w:sz w:val="22"/>
        </w:rPr>
      </w:pPr>
      <w:r>
        <w:rPr>
          <w:rFonts w:ascii="Times New Roman;Times;serif" w:hAnsi="Times New Roman;Times;serif"/>
          <w:sz w:val="22"/>
        </w:rPr>
        <w:t xml:space="preserve">Pursuant to the requirements of the Securities Exchange Act of 1934, the Registrant has duly caused this report to be signed on its behalf by the undersigned hereunto duly authorized. </w:t>
      </w:r>
    </w:p>
    <w:tbl>
      <w:tblPr>
        <w:tblW w:w="4758" w:type="dxa"/>
        <w:jc w:val="left"/>
        <w:tblInd w:w="0" w:type="dxa"/>
        <w:tblLayout w:type="fixed"/>
        <w:tblCellMar>
          <w:top w:w="0" w:type="dxa"/>
          <w:left w:w="0" w:type="dxa"/>
          <w:bottom w:w="0" w:type="dxa"/>
          <w:right w:w="0" w:type="dxa"/>
        </w:tblCellMar>
      </w:tblPr>
      <w:tblGrid>
        <w:gridCol w:w="2206"/>
        <w:gridCol w:w="436"/>
        <w:gridCol w:w="21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1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TRANSOCEAN LTD.</w:t>
            </w:r>
          </w:p>
        </w:tc>
      </w:tr>
      <w:tr>
        <w:trPr/>
        <w:tc>
          <w:tcPr>
            <w:tcW w:w="220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October 9, 2026</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Debra Kupferman</w:t>
            </w:r>
          </w:p>
        </w:tc>
      </w:tr>
      <w:tr>
        <w:trPr/>
        <w:tc>
          <w:tcPr>
            <w:tcW w:w="2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Debra Kupferman</w:t>
            </w:r>
          </w:p>
        </w:tc>
      </w:tr>
      <w:tr>
        <w:trPr/>
        <w:tc>
          <w:tcPr>
            <w:tcW w:w="220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bookmarkStart w:id="38" w:name="rig-ex99d1.htm"/>
      <w:bookmarkStart w:id="39" w:name="ksrigex99d1"/>
      <w:bookmarkEnd w:id="38"/>
      <w:bookmarkEnd w:id="39"/>
      <w:r>
        <w:rPr>
          <w:rFonts w:ascii="Times New Roman;Times;serif" w:hAnsi="Times New Roman;Times;serif"/>
          <w:sz w:val="20"/>
        </w:rPr>
        <w:t>EXHIBIT 99.1</w:t>
      </w:r>
      <w:r>
        <w:br w:type="page"/>
      </w:r>
    </w:p>
    <w:p>
      <w:pPr>
        <w:pStyle w:val="TextBody"/>
        <w:bidi w:val="0"/>
        <w:jc w:val="left"/>
        <w:rPr/>
      </w:pPr>
      <w:r>
        <w:rPr/>
        <w:drawing>
          <wp:inline distT="0" distB="0" distL="0" distR="0">
            <wp:extent cx="1790700" cy="39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393700"/>
                    </a:xfrm>
                    <a:prstGeom prst="rect">
                      <a:avLst/>
                    </a:prstGeom>
                  </pic:spPr>
                </pic:pic>
              </a:graphicData>
            </a:graphic>
          </wp:inline>
        </w:drawing>
      </w:r>
    </w:p>
    <w:p>
      <w:pPr>
        <w:pStyle w:val="TextBody"/>
        <w:bidi w:val="0"/>
        <w:spacing w:before="0" w:after="0"/>
        <w:ind w:left="0" w:right="0" w:hanging="0"/>
        <w:jc w:val="both"/>
        <w:rPr/>
      </w:pPr>
      <w:bookmarkStart w:id="40" w:name="OLE_LINK1"/>
      <w:bookmarkEnd w:id="40"/>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Transocean Ltd. Announces Contract Awards Totaling $550 Million</w:t>
      </w:r>
    </w:p>
    <w:p>
      <w:pPr>
        <w:pStyle w:val="TextBody"/>
        <w:bidi w:val="0"/>
        <w:spacing w:before="0" w:after="0"/>
        <w:ind w:left="0" w:right="0" w:hanging="0"/>
        <w:jc w:val="both"/>
        <w:rPr/>
      </w:pPr>
      <w:bookmarkStart w:id="41" w:name="_Hlk14176730"/>
      <w:bookmarkEnd w:id="41"/>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STEINHAUSEN, Switzerland, October 19, 2026 (GLOBE NEWSWIRE) – Transocean Ltd. (NYSE: RIG) (“Transocean”) today announced contract awards for two of its ultra-deepwater drillships in the U.S. Gulf. In aggregate, the fixtures represent approximately $550 million in firm contract backlog.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The </w:t>
      </w:r>
      <w:r>
        <w:rPr>
          <w:rFonts w:ascii="Times New Roman;Times;serif" w:hAnsi="Times New Roman;Times;serif"/>
          <w:i/>
          <w:sz w:val="24"/>
        </w:rPr>
        <w:t>Deepwater Proteus</w:t>
      </w:r>
      <w:r>
        <w:rPr>
          <w:rFonts w:ascii="Times New Roman;Times;serif" w:hAnsi="Times New Roman;Times;serif"/>
          <w:sz w:val="20"/>
        </w:rPr>
        <w:t xml:space="preserve"> </w:t>
      </w:r>
      <w:r>
        <w:rPr>
          <w:rFonts w:ascii="Times New Roman;Times;serif" w:hAnsi="Times New Roman;Times;serif"/>
          <w:sz w:val="24"/>
        </w:rPr>
        <w:t>was awarded a ten-well contract with an undisclosed operator in the U.S. Gulf. The estimated 700-day campaign is expected to contribute approximately $325 million in backlog and commence in the first quarter of 2027 in direct continuation of the rig’s current U.S. Gulf contract.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The </w:t>
      </w:r>
      <w:r>
        <w:rPr>
          <w:rFonts w:ascii="Times New Roman;Times;serif" w:hAnsi="Times New Roman;Times;serif"/>
          <w:i/>
          <w:sz w:val="24"/>
        </w:rPr>
        <w:t>Deepwater Conqueror</w:t>
      </w:r>
      <w:r>
        <w:rPr>
          <w:rFonts w:ascii="Times New Roman;Times;serif" w:hAnsi="Times New Roman;Times;serif"/>
          <w:sz w:val="20"/>
        </w:rPr>
        <w:t xml:space="preserve"> </w:t>
      </w:r>
      <w:r>
        <w:rPr>
          <w:rFonts w:ascii="Times New Roman;Times;serif" w:hAnsi="Times New Roman;Times;serif"/>
          <w:sz w:val="24"/>
        </w:rPr>
        <w:t>was awarded a five-well contract with an undisclosed operator in the U.S. Gulf. The estimated 450 days of work is expected to contribute approximately $225 million in backlog, excluding mobilization fees, and commence in the third quarter of 2027 in direct continuation of the rig’s program in Equatorial Guinea.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About Transocean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owns or has partial ownership interests in and operates a fleet of 27 mobile offshore drilling units, consisting of 20 ultra-deepwater floaters and seven harsh environment floaters.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“estimated,” “approximately,”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www.sec.gov. All subsequent written and oral forward-looking statements attributable to us or to persons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Analyst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Sarah Davidson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+1 713-232-7217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Media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Kristina Mays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+1 713-232-7734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1270</Words>
  <Characters>7318</Characters>
  <CharactersWithSpaces>8628</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