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Adamson Keelan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1414 ENCLAVE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77077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Borders>
              <w:top w:val="single" w:sz="8" w:color="EEEEEE"/>
            </w:tcBorders>
          </w:tcPr>
          <w:p>
            <w:pPr>
              <w:spacing w:after="0"/>
              <w:rPr>
                <w:sz w:val="16"/>
                <w:szCs w:val="16"/>
                <w:color w:val="auto"/>
              </w:rPr>
            </w:pPr>
          </w:p>
        </w:tc>
        <w:tc>
          <w:tcPr>
            <w:tcW w:w="10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67,731</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1,368,942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104,397</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1,473,339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146,048</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1,619,387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127,878</w:t>
            </w:r>
            <w:r>
              <w:rPr>
                <w:rFonts w:ascii="Times New Roman" w:cs="Times New Roman" w:eastAsia="Times New Roman" w:hAnsi="Times New Roman"/>
                <w:sz w:val="22"/>
                <w:szCs w:val="22"/>
                <w:color w:val="008000"/>
                <w:w w:val="93"/>
                <w:vertAlign w:val="superscript"/>
              </w:rPr>
              <w:t>(4)</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1,491,509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9, 2023, pursuant to the Issuer's long-term incentive plan. One third of such restricted units vested on March 1, 2026, resulting in the right of the reporting person to receive the registered shares.</w:t>
      </w:r>
    </w:p>
    <w:p>
      <w:pPr>
        <w:spacing w:after="0" w:line="7"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8, 2024, pursuant to the Issuer's long-term incentive plan. One third of such restricted units vested on March 1, 2026, resulting in the right of the reporting person to receive the registered shares. The remaining share units vest as follows: 104,397 on March 1, 2027.</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13, 2025, pursuant to the Issuer's long-term incentive plan. One third of such restricted units vested on March 1, 2026, resulting in the right to of the reporting person to receive the registered shares. The remaining restricted share units vest as follows: 146,048 on March 1, 2027 and 146,048 on March 1, 2028.</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upon vesting to satisfy tax withholding obligations.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Debra Kupferman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38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0415"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2026-03-03T20:35:19Z</dcterms:created>
  <dcterms:modified xsi:type="dcterms:W3CDTF">2026-03-03T20:35:19Z</dcterms:modified>
</cp:coreProperties>
</file>