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Long Brady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1414 ENCLAVE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Transocean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EVP &amp; Chief Legal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jc w:val="center"/>
              <w:ind w:right="74"/>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77077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52,778</w:t>
            </w:r>
            <w:r>
              <w:rPr>
                <w:rFonts w:ascii="Times New Roman" w:cs="Times New Roman" w:eastAsia="Times New Roman" w:hAnsi="Times New Roman"/>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1,160,388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66,993</w:t>
            </w:r>
            <w:r>
              <w:rPr>
                <w:rFonts w:ascii="Times New Roman" w:cs="Times New Roman" w:eastAsia="Times New Roman" w:hAnsi="Times New Roman"/>
                <w:sz w:val="22"/>
                <w:szCs w:val="22"/>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1,227,381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03/01/2026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98,406</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1,325,787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Registered Shares</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6"/>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87,689</w:t>
            </w:r>
            <w:r>
              <w:rPr>
                <w:rFonts w:ascii="Times New Roman" w:cs="Times New Roman" w:eastAsia="Times New Roman" w:hAnsi="Times New Roman"/>
                <w:sz w:val="22"/>
                <w:szCs w:val="22"/>
                <w:color w:val="008000"/>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1,238,098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9, 2023, pursuant to the Issuer's long-term incentive plan. One third of such restricted share units vested on March 1, 2026, resulting in the right of the reporting person to receive the registered shares.</w:t>
      </w:r>
    </w:p>
    <w:p>
      <w:pPr>
        <w:spacing w:after="0" w:line="7"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8, 2024, pursuant to the Issuer's long-term incentive plan. One third of such restricted units vested on March 1, 2026, resulting in the right of the reporting person to receive the registered shares. The remaining restricted share units vest as follows: 66,993 on March 1, 2027.</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Units, which are 1-for-1 share equivalents, acquired on February 13, 2025, pursuant to the Issuer's long-term incentive plan. One third of such restricted share units vested on March 1, 2026, resulting in the right of the reporting person to receive the registered shares. The remaining restricted share units vest as follows: 98,407 on March 1, 2027 and 98,407 on March 1, 2028.</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upon vesting to satisfy tax withholding obligations.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Debra Kupferman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38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2666" TargetMode="External"/><Relationship Id="rId14" Type="http://schemas.openxmlformats.org/officeDocument/2006/relationships/hyperlink" Target="http://www.sec.gov/cgi-bin/browse-edgar?action=getcompany&amp;CIK=0001451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2026-03-03T20:32:09Z</dcterms:created>
  <dcterms:modified xsi:type="dcterms:W3CDTF">2026-03-03T20:32:09Z</dcterms:modified>
</cp:coreProperties>
</file>