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153035</wp:posOffset>
            </wp:positionH>
            <wp:positionV relativeFrom="page">
              <wp:posOffset>111760</wp:posOffset>
            </wp:positionV>
            <wp:extent cx="7255510"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5510" cy="3746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10" w:lineRule="exact"/>
        <w:rPr>
          <w:sz w:val="24"/>
          <w:szCs w:val="24"/>
          <w:color w:val="auto"/>
        </w:rPr>
      </w:pPr>
    </w:p>
    <w:p>
      <w:pPr>
        <w:ind w:left="4760"/>
        <w:spacing w:after="0"/>
        <w:rPr>
          <w:sz w:val="20"/>
          <w:szCs w:val="20"/>
          <w:color w:val="auto"/>
        </w:rPr>
      </w:pPr>
      <w:r>
        <w:rPr>
          <w:rFonts w:ascii="Arial" w:cs="Arial" w:eastAsia="Arial" w:hAnsi="Arial"/>
          <w:sz w:val="17"/>
          <w:szCs w:val="17"/>
          <w:b w:val="1"/>
          <w:bCs w:val="1"/>
          <w:color w:val="auto"/>
        </w:rPr>
        <w:t>______________________</w:t>
      </w: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5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2" w:lineRule="exact"/>
        <w:rPr>
          <w:sz w:val="24"/>
          <w:szCs w:val="24"/>
          <w:color w:val="auto"/>
        </w:rPr>
      </w:pPr>
    </w:p>
    <w:p>
      <w:pPr>
        <w:ind w:left="4020" w:right="1920" w:hanging="4015"/>
        <w:spacing w:after="0" w:line="595" w:lineRule="auto"/>
        <w:tabs>
          <w:tab w:leader="none" w:pos="623"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QUARTERLY REPORT PURSUANT TO SECTION 13 OR 15(d) OF THE SECURITIES EXCHANGE ACT OF 1934 For the quarterly period ended June 30, 2005</w:t>
      </w:r>
    </w:p>
    <w:p>
      <w:pPr>
        <w:spacing w:after="0" w:line="200" w:lineRule="exact"/>
        <w:rPr>
          <w:sz w:val="24"/>
          <w:szCs w:val="24"/>
          <w:color w:val="auto"/>
        </w:rPr>
      </w:pPr>
    </w:p>
    <w:p>
      <w:pPr>
        <w:spacing w:after="0" w:line="225" w:lineRule="exact"/>
        <w:rPr>
          <w:sz w:val="24"/>
          <w:szCs w:val="24"/>
          <w:color w:val="auto"/>
        </w:rPr>
      </w:pPr>
    </w:p>
    <w:p>
      <w:pPr>
        <w:ind w:left="3900" w:right="1920" w:hanging="3895"/>
        <w:spacing w:after="0" w:line="578" w:lineRule="auto"/>
        <w:tabs>
          <w:tab w:leader="none" w:pos="628"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 to ______.</w:t>
      </w:r>
    </w:p>
    <w:p>
      <w:pPr>
        <w:jc w:val="center"/>
        <w:ind w:right="-19"/>
        <w:spacing w:after="0"/>
        <w:rPr>
          <w:sz w:val="20"/>
          <w:szCs w:val="20"/>
          <w:color w:val="auto"/>
        </w:rPr>
      </w:pPr>
      <w:r>
        <w:rPr>
          <w:rFonts w:ascii="Arial" w:cs="Arial" w:eastAsia="Arial" w:hAnsi="Arial"/>
          <w:sz w:val="17"/>
          <w:szCs w:val="17"/>
          <w:b w:val="1"/>
          <w:bCs w:val="1"/>
          <w:color w:val="auto"/>
        </w:rPr>
        <w:t>Commission file number 333-75899</w:t>
      </w:r>
    </w:p>
    <w:p>
      <w:pPr>
        <w:spacing w:after="0" w:line="32" w:lineRule="exact"/>
        <w:rPr>
          <w:sz w:val="24"/>
          <w:szCs w:val="24"/>
          <w:color w:val="auto"/>
        </w:rPr>
      </w:pPr>
    </w:p>
    <w:p>
      <w:pPr>
        <w:ind w:left="4760"/>
        <w:spacing w:after="0"/>
        <w:rPr>
          <w:sz w:val="20"/>
          <w:szCs w:val="20"/>
          <w:color w:val="auto"/>
        </w:rPr>
      </w:pPr>
      <w:r>
        <w:rPr>
          <w:rFonts w:ascii="Arial" w:cs="Arial" w:eastAsia="Arial" w:hAnsi="Arial"/>
          <w:sz w:val="17"/>
          <w:szCs w:val="17"/>
          <w:b w:val="1"/>
          <w:bCs w:val="1"/>
          <w:color w:val="auto"/>
        </w:rPr>
        <w:t>______________________</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42"/>
          <w:szCs w:val="42"/>
          <w:b w:val="1"/>
          <w:bCs w:val="1"/>
          <w:color w:val="auto"/>
        </w:rPr>
        <w:t>TRANSOCEAN INC</w:t>
      </w:r>
      <w:r>
        <w:rPr>
          <w:rFonts w:ascii="Arial" w:cs="Arial" w:eastAsia="Arial" w:hAnsi="Arial"/>
          <w:sz w:val="42"/>
          <w:szCs w:val="42"/>
          <w:color w:val="auto"/>
        </w:rPr>
        <w:t>.</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pacing w:after="0" w:line="12" w:lineRule="exact"/>
        <w:rPr>
          <w:sz w:val="24"/>
          <w:szCs w:val="24"/>
          <w:color w:val="auto"/>
        </w:rPr>
      </w:pPr>
    </w:p>
    <w:p>
      <w:pPr>
        <w:ind w:left="4760"/>
        <w:spacing w:after="0"/>
        <w:rPr>
          <w:sz w:val="20"/>
          <w:szCs w:val="20"/>
          <w:color w:val="auto"/>
        </w:rPr>
      </w:pPr>
      <w:r>
        <w:rPr>
          <w:rFonts w:ascii="Arial" w:cs="Arial" w:eastAsia="Arial" w:hAnsi="Arial"/>
          <w:sz w:val="17"/>
          <w:szCs w:val="17"/>
          <w:b w:val="1"/>
          <w:bCs w:val="1"/>
          <w:color w:val="auto"/>
        </w:rPr>
        <w:t>______________________</w:t>
      </w:r>
    </w:p>
    <w:p>
      <w:pPr>
        <w:spacing w:after="0" w:line="257" w:lineRule="exact"/>
        <w:rPr>
          <w:sz w:val="24"/>
          <w:szCs w:val="24"/>
          <w:color w:val="auto"/>
        </w:rPr>
      </w:pPr>
    </w:p>
    <w:tbl>
      <w:tblPr>
        <w:tblLayout w:type="fixed"/>
        <w:tblInd w:w="900" w:type="dxa"/>
        <w:tblCellMar>
          <w:top w:w="0" w:type="dxa"/>
          <w:left w:w="0" w:type="dxa"/>
          <w:bottom w:w="0" w:type="dxa"/>
          <w:right w:w="0" w:type="dxa"/>
        </w:tblCellMar>
      </w:tblPr>
      <w:tr>
        <w:trPr>
          <w:trHeight w:val="227"/>
        </w:trPr>
        <w:tc>
          <w:tcPr>
            <w:tcW w:w="5240" w:type="dxa"/>
            <w:vAlign w:val="bottom"/>
          </w:tcPr>
          <w:p>
            <w:pPr>
              <w:jc w:val="center"/>
              <w:ind w:right="993"/>
              <w:spacing w:after="0"/>
              <w:rPr>
                <w:sz w:val="20"/>
                <w:szCs w:val="20"/>
                <w:color w:val="auto"/>
              </w:rPr>
            </w:pPr>
            <w:r>
              <w:rPr>
                <w:rFonts w:ascii="Arial" w:cs="Arial" w:eastAsia="Arial" w:hAnsi="Arial"/>
                <w:sz w:val="17"/>
                <w:szCs w:val="17"/>
                <w:b w:val="1"/>
                <w:bCs w:val="1"/>
                <w:color w:val="auto"/>
                <w:w w:val="92"/>
              </w:rPr>
              <w:t>Cayman Islands</w:t>
            </w:r>
          </w:p>
        </w:tc>
        <w:tc>
          <w:tcPr>
            <w:tcW w:w="3600" w:type="dxa"/>
            <w:vAlign w:val="bottom"/>
          </w:tcPr>
          <w:p>
            <w:pPr>
              <w:jc w:val="right"/>
              <w:ind w:right="773"/>
              <w:spacing w:after="0"/>
              <w:rPr>
                <w:sz w:val="20"/>
                <w:szCs w:val="20"/>
                <w:color w:val="auto"/>
              </w:rPr>
            </w:pPr>
            <w:r>
              <w:rPr>
                <w:rFonts w:ascii="Arial" w:cs="Arial" w:eastAsia="Arial" w:hAnsi="Arial"/>
                <w:sz w:val="17"/>
                <w:szCs w:val="17"/>
                <w:b w:val="1"/>
                <w:bCs w:val="1"/>
                <w:color w:val="auto"/>
              </w:rPr>
              <w:t>66-0582307</w:t>
            </w:r>
          </w:p>
        </w:tc>
      </w:tr>
      <w:tr>
        <w:trPr>
          <w:trHeight w:val="235"/>
        </w:trPr>
        <w:tc>
          <w:tcPr>
            <w:tcW w:w="5240" w:type="dxa"/>
            <w:vAlign w:val="bottom"/>
          </w:tcPr>
          <w:p>
            <w:pPr>
              <w:jc w:val="center"/>
              <w:ind w:right="993"/>
              <w:spacing w:after="0"/>
              <w:rPr>
                <w:sz w:val="20"/>
                <w:szCs w:val="20"/>
                <w:color w:val="auto"/>
              </w:rPr>
            </w:pPr>
            <w:r>
              <w:rPr>
                <w:rFonts w:ascii="Arial" w:cs="Arial" w:eastAsia="Arial" w:hAnsi="Arial"/>
                <w:sz w:val="17"/>
                <w:szCs w:val="17"/>
                <w:color w:val="auto"/>
                <w:w w:val="94"/>
              </w:rPr>
              <w:t>(State or other jurisdiction of incorporation or organization)</w:t>
            </w:r>
          </w:p>
        </w:tc>
        <w:tc>
          <w:tcPr>
            <w:tcW w:w="3600" w:type="dxa"/>
            <w:vAlign w:val="bottom"/>
          </w:tcPr>
          <w:p>
            <w:pPr>
              <w:jc w:val="center"/>
              <w:ind w:left="973"/>
              <w:spacing w:after="0"/>
              <w:rPr>
                <w:sz w:val="20"/>
                <w:szCs w:val="20"/>
                <w:color w:val="auto"/>
              </w:rPr>
            </w:pPr>
            <w:r>
              <w:rPr>
                <w:rFonts w:ascii="Arial" w:cs="Arial" w:eastAsia="Arial" w:hAnsi="Arial"/>
                <w:sz w:val="17"/>
                <w:szCs w:val="17"/>
                <w:color w:val="auto"/>
                <w:w w:val="97"/>
              </w:rPr>
              <w:t>(I.R.S. Employer Identification No.)</w:t>
            </w:r>
          </w:p>
        </w:tc>
      </w:tr>
      <w:tr>
        <w:trPr>
          <w:trHeight w:val="497"/>
        </w:trPr>
        <w:tc>
          <w:tcPr>
            <w:tcW w:w="5240" w:type="dxa"/>
            <w:vAlign w:val="bottom"/>
          </w:tcPr>
          <w:p>
            <w:pPr>
              <w:jc w:val="center"/>
              <w:ind w:right="993"/>
              <w:spacing w:after="0"/>
              <w:rPr>
                <w:sz w:val="20"/>
                <w:szCs w:val="20"/>
                <w:color w:val="auto"/>
              </w:rPr>
            </w:pPr>
            <w:r>
              <w:rPr>
                <w:rFonts w:ascii="Arial" w:cs="Arial" w:eastAsia="Arial" w:hAnsi="Arial"/>
                <w:sz w:val="17"/>
                <w:szCs w:val="17"/>
                <w:b w:val="1"/>
                <w:bCs w:val="1"/>
                <w:color w:val="auto"/>
                <w:w w:val="94"/>
              </w:rPr>
              <w:t>4 Greenway Plaza</w:t>
            </w:r>
            <w:r>
              <w:rPr>
                <w:rFonts w:ascii="Arial" w:cs="Arial" w:eastAsia="Arial" w:hAnsi="Arial"/>
                <w:sz w:val="17"/>
                <w:szCs w:val="17"/>
                <w:b w:val="1"/>
                <w:bCs w:val="1"/>
                <w:color w:val="FFFFFF"/>
                <w:w w:val="94"/>
              </w:rPr>
              <w:t>1</w:t>
            </w:r>
          </w:p>
        </w:tc>
        <w:tc>
          <w:tcPr>
            <w:tcW w:w="3600" w:type="dxa"/>
            <w:vAlign w:val="bottom"/>
          </w:tcPr>
          <w:p>
            <w:pPr>
              <w:spacing w:after="0"/>
              <w:rPr>
                <w:sz w:val="24"/>
                <w:szCs w:val="24"/>
                <w:color w:val="auto"/>
              </w:rPr>
            </w:pPr>
          </w:p>
        </w:tc>
      </w:tr>
      <w:tr>
        <w:trPr>
          <w:trHeight w:val="235"/>
        </w:trPr>
        <w:tc>
          <w:tcPr>
            <w:tcW w:w="5240" w:type="dxa"/>
            <w:vAlign w:val="bottom"/>
          </w:tcPr>
          <w:p>
            <w:pPr>
              <w:jc w:val="center"/>
              <w:ind w:right="993"/>
              <w:spacing w:after="0"/>
              <w:rPr>
                <w:sz w:val="20"/>
                <w:szCs w:val="20"/>
                <w:color w:val="auto"/>
              </w:rPr>
            </w:pPr>
            <w:r>
              <w:rPr>
                <w:rFonts w:ascii="Arial" w:cs="Arial" w:eastAsia="Arial" w:hAnsi="Arial"/>
                <w:sz w:val="17"/>
                <w:szCs w:val="17"/>
                <w:b w:val="1"/>
                <w:bCs w:val="1"/>
                <w:color w:val="auto"/>
                <w:w w:val="88"/>
              </w:rPr>
              <w:t>Houston, Texas</w:t>
            </w:r>
          </w:p>
        </w:tc>
        <w:tc>
          <w:tcPr>
            <w:tcW w:w="3600" w:type="dxa"/>
            <w:vAlign w:val="bottom"/>
          </w:tcPr>
          <w:p>
            <w:pPr>
              <w:jc w:val="right"/>
              <w:ind w:right="973"/>
              <w:spacing w:after="0"/>
              <w:rPr>
                <w:sz w:val="20"/>
                <w:szCs w:val="20"/>
                <w:color w:val="auto"/>
              </w:rPr>
            </w:pPr>
            <w:r>
              <w:rPr>
                <w:rFonts w:ascii="Arial" w:cs="Arial" w:eastAsia="Arial" w:hAnsi="Arial"/>
                <w:sz w:val="17"/>
                <w:szCs w:val="17"/>
                <w:b w:val="1"/>
                <w:bCs w:val="1"/>
                <w:color w:val="auto"/>
              </w:rPr>
              <w:t>77046</w:t>
            </w:r>
          </w:p>
        </w:tc>
      </w:tr>
      <w:tr>
        <w:trPr>
          <w:trHeight w:val="235"/>
        </w:trPr>
        <w:tc>
          <w:tcPr>
            <w:tcW w:w="5240" w:type="dxa"/>
            <w:vAlign w:val="bottom"/>
          </w:tcPr>
          <w:p>
            <w:pPr>
              <w:jc w:val="center"/>
              <w:ind w:right="993"/>
              <w:spacing w:after="0"/>
              <w:rPr>
                <w:sz w:val="20"/>
                <w:szCs w:val="20"/>
                <w:color w:val="auto"/>
              </w:rPr>
            </w:pPr>
            <w:r>
              <w:rPr>
                <w:rFonts w:ascii="Arial" w:cs="Arial" w:eastAsia="Arial" w:hAnsi="Arial"/>
                <w:sz w:val="17"/>
                <w:szCs w:val="17"/>
                <w:color w:val="auto"/>
                <w:w w:val="94"/>
              </w:rPr>
              <w:t>(Address of principal executive offices)</w:t>
            </w:r>
          </w:p>
        </w:tc>
        <w:tc>
          <w:tcPr>
            <w:tcW w:w="3600" w:type="dxa"/>
            <w:vAlign w:val="bottom"/>
          </w:tcPr>
          <w:p>
            <w:pPr>
              <w:jc w:val="center"/>
              <w:ind w:left="973"/>
              <w:spacing w:after="0"/>
              <w:rPr>
                <w:sz w:val="20"/>
                <w:szCs w:val="20"/>
                <w:color w:val="auto"/>
              </w:rPr>
            </w:pPr>
            <w:r>
              <w:rPr>
                <w:rFonts w:ascii="Arial" w:cs="Arial" w:eastAsia="Arial" w:hAnsi="Arial"/>
                <w:sz w:val="17"/>
                <w:szCs w:val="17"/>
                <w:color w:val="auto"/>
                <w:w w:val="97"/>
              </w:rPr>
              <w:t>(Zip Code)</w:t>
            </w:r>
          </w:p>
        </w:tc>
      </w:tr>
    </w:tbl>
    <w:p>
      <w:pPr>
        <w:spacing w:after="0" w:line="270" w:lineRule="exact"/>
        <w:rPr>
          <w:sz w:val="24"/>
          <w:szCs w:val="24"/>
          <w:color w:val="auto"/>
        </w:rPr>
      </w:pPr>
    </w:p>
    <w:p>
      <w:pPr>
        <w:ind w:left="3640"/>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(713) 232-7500</w:t>
      </w:r>
    </w:p>
    <w:p>
      <w:pPr>
        <w:spacing w:after="0" w:line="32" w:lineRule="exact"/>
        <w:rPr>
          <w:sz w:val="24"/>
          <w:szCs w:val="24"/>
          <w:color w:val="auto"/>
        </w:rPr>
      </w:pPr>
    </w:p>
    <w:p>
      <w:pPr>
        <w:ind w:left="4760"/>
        <w:spacing w:after="0"/>
        <w:rPr>
          <w:sz w:val="20"/>
          <w:szCs w:val="20"/>
          <w:color w:val="auto"/>
        </w:rPr>
      </w:pPr>
      <w:r>
        <w:rPr>
          <w:rFonts w:ascii="Arial" w:cs="Arial" w:eastAsia="Arial" w:hAnsi="Arial"/>
          <w:sz w:val="17"/>
          <w:szCs w:val="17"/>
          <w:b w:val="1"/>
          <w:bCs w:val="1"/>
          <w:color w:val="auto"/>
        </w:rPr>
        <w:t>______________________</w:t>
      </w:r>
    </w:p>
    <w:p>
      <w:pPr>
        <w:spacing w:after="0" w:line="263" w:lineRule="exact"/>
        <w:rPr>
          <w:sz w:val="24"/>
          <w:szCs w:val="24"/>
          <w:color w:val="auto"/>
        </w:rPr>
      </w:pPr>
    </w:p>
    <w:p>
      <w:pPr>
        <w:jc w:val="both"/>
        <w:ind w:firstLine="628"/>
        <w:spacing w:after="0" w:line="272"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25" w:lineRule="exact"/>
        <w:rPr>
          <w:sz w:val="24"/>
          <w:szCs w:val="24"/>
          <w:color w:val="auto"/>
        </w:rPr>
      </w:pPr>
    </w:p>
    <w:p>
      <w:pPr>
        <w:ind w:left="640"/>
        <w:spacing w:after="0"/>
        <w:rPr>
          <w:sz w:val="20"/>
          <w:szCs w:val="20"/>
          <w:color w:val="auto"/>
        </w:rPr>
      </w:pPr>
      <w:r>
        <w:rPr>
          <w:rFonts w:ascii="Arial" w:cs="Arial" w:eastAsia="Arial" w:hAnsi="Arial"/>
          <w:sz w:val="17"/>
          <w:szCs w:val="17"/>
          <w:color w:val="auto"/>
        </w:rPr>
        <w:t>Indicate by check mark whether the registrant is an accelerated filer (as defined in Rule 12b-2 of the Exchange Act). Yes  x  No  o</w:t>
      </w:r>
    </w:p>
    <w:p>
      <w:pPr>
        <w:spacing w:after="0" w:line="275" w:lineRule="exact"/>
        <w:rPr>
          <w:sz w:val="24"/>
          <w:szCs w:val="24"/>
          <w:color w:val="auto"/>
        </w:rPr>
      </w:pPr>
    </w:p>
    <w:p>
      <w:pPr>
        <w:ind w:left="640"/>
        <w:spacing w:after="0"/>
        <w:rPr>
          <w:sz w:val="20"/>
          <w:szCs w:val="20"/>
          <w:color w:val="auto"/>
        </w:rPr>
      </w:pPr>
      <w:r>
        <w:rPr>
          <w:rFonts w:ascii="Arial" w:cs="Arial" w:eastAsia="Arial" w:hAnsi="Arial"/>
          <w:sz w:val="17"/>
          <w:szCs w:val="17"/>
          <w:color w:val="auto"/>
        </w:rPr>
        <w:t>As of July 29, 2005, 328,775,188 ordinary shares,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55510" cy="43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5510" cy="438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188595</wp:posOffset>
            </wp:positionV>
            <wp:extent cx="72555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31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TRANSOCEAN INC.</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FORM 10-Q</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 ENDED JUNE 30, 2005</w:t>
      </w:r>
    </w:p>
    <w:p>
      <w:pPr>
        <w:spacing w:after="0" w:line="281" w:lineRule="exact"/>
        <w:rPr>
          <w:sz w:val="20"/>
          <w:szCs w:val="20"/>
          <w:color w:val="auto"/>
        </w:rPr>
      </w:pPr>
    </w:p>
    <w:p>
      <w:pPr>
        <w:ind w:left="10520"/>
        <w:spacing w:after="0"/>
        <w:rPr>
          <w:sz w:val="20"/>
          <w:szCs w:val="20"/>
          <w:color w:val="auto"/>
        </w:rPr>
      </w:pPr>
      <w:r>
        <w:rPr>
          <w:rFonts w:ascii="Arial" w:cs="Arial" w:eastAsia="Arial" w:hAnsi="Arial"/>
          <w:sz w:val="17"/>
          <w:szCs w:val="17"/>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24765</wp:posOffset>
            </wp:positionV>
            <wp:extent cx="930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3027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1065" cy="149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14922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080" w:type="dxa"/>
            <w:vAlign w:val="bottom"/>
            <w:gridSpan w:val="2"/>
            <w:shd w:val="clear" w:color="auto" w:fill="E2EEF6"/>
          </w:tcPr>
          <w:p>
            <w:pPr>
              <w:ind w:left="480"/>
              <w:spacing w:after="0"/>
              <w:rPr>
                <w:sz w:val="20"/>
                <w:szCs w:val="20"/>
                <w:color w:val="auto"/>
              </w:rPr>
            </w:pPr>
            <w:r>
              <w:rPr>
                <w:rFonts w:ascii="Arial" w:cs="Arial" w:eastAsia="Arial" w:hAnsi="Arial"/>
                <w:sz w:val="17"/>
                <w:szCs w:val="17"/>
                <w:b w:val="1"/>
                <w:bCs w:val="1"/>
                <w:color w:val="auto"/>
              </w:rPr>
              <w:t>Item 1.</w:t>
            </w:r>
          </w:p>
        </w:tc>
        <w:tc>
          <w:tcPr>
            <w:tcW w:w="8260" w:type="dxa"/>
            <w:vAlign w:val="bottom"/>
            <w:gridSpan w:val="10"/>
            <w:shd w:val="clear" w:color="auto" w:fill="E2EEF6"/>
          </w:tcPr>
          <w:p>
            <w:pPr>
              <w:ind w:left="100"/>
              <w:spacing w:after="0"/>
              <w:rPr>
                <w:sz w:val="20"/>
                <w:szCs w:val="20"/>
                <w:color w:val="auto"/>
              </w:rPr>
            </w:pPr>
            <w:r>
              <w:rPr>
                <w:rFonts w:ascii="Arial" w:cs="Arial" w:eastAsia="Arial" w:hAnsi="Arial"/>
                <w:sz w:val="17"/>
                <w:szCs w:val="17"/>
                <w:color w:val="auto"/>
              </w:rPr>
              <w:t>Financial Statements (Unaudited)</w:t>
            </w:r>
          </w:p>
        </w:tc>
        <w:tc>
          <w:tcPr>
            <w:tcW w:w="2080" w:type="dxa"/>
            <w:vAlign w:val="bottom"/>
            <w:shd w:val="clear" w:color="auto" w:fill="E2EEF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8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1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0" w:type="dxa"/>
            <w:vAlign w:val="bottom"/>
            <w:tcBorders>
              <w:bottom w:val="single" w:sz="8" w:color="E2EEF6"/>
            </w:tcBorders>
            <w:shd w:val="clear" w:color="auto" w:fill="E2EEF6"/>
          </w:tcPr>
          <w:p>
            <w:pPr>
              <w:spacing w:after="0"/>
              <w:rPr>
                <w:sz w:val="18"/>
                <w:szCs w:val="18"/>
                <w:color w:val="auto"/>
              </w:rPr>
            </w:pPr>
          </w:p>
        </w:tc>
        <w:tc>
          <w:tcPr>
            <w:tcW w:w="3560" w:type="dxa"/>
            <w:vAlign w:val="bottom"/>
            <w:tcBorders>
              <w:bottom w:val="single" w:sz="8" w:color="0000EE"/>
            </w:tcBorders>
            <w:gridSpan w:val="5"/>
            <w:shd w:val="clear" w:color="auto" w:fill="E2EEF6"/>
          </w:tcPr>
          <w:p>
            <w:pPr>
              <w:spacing w:after="0" w:line="170" w:lineRule="exact"/>
              <w:rPr>
                <w:rFonts w:ascii="Arial" w:cs="Arial" w:eastAsia="Arial" w:hAnsi="Arial"/>
                <w:sz w:val="17"/>
                <w:szCs w:val="17"/>
                <w:color w:val="0000EE"/>
                <w:w w:val="91"/>
              </w:rPr>
            </w:pPr>
            <w:hyperlink w:anchor="page3">
              <w:r>
                <w:rPr>
                  <w:rFonts w:ascii="Arial" w:cs="Arial" w:eastAsia="Arial" w:hAnsi="Arial"/>
                  <w:sz w:val="17"/>
                  <w:szCs w:val="17"/>
                  <w:color w:val="0000EE"/>
                  <w:w w:val="91"/>
                </w:rPr>
                <w:t>Condensed Consolidated Statements of Operations</w:t>
              </w:r>
            </w:hyperlink>
          </w:p>
        </w:tc>
        <w:tc>
          <w:tcPr>
            <w:tcW w:w="5000" w:type="dxa"/>
            <w:vAlign w:val="bottom"/>
            <w:tcBorders>
              <w:bottom w:val="single" w:sz="8" w:color="E2EEF6"/>
            </w:tcBorders>
            <w:gridSpan w:val="6"/>
            <w:shd w:val="clear" w:color="auto" w:fill="E2EEF6"/>
          </w:tcPr>
          <w:p>
            <w:pPr>
              <w:spacing w:after="0"/>
              <w:rPr>
                <w:sz w:val="18"/>
                <w:szCs w:val="18"/>
                <w:color w:val="auto"/>
              </w:rPr>
            </w:pPr>
          </w:p>
        </w:tc>
        <w:tc>
          <w:tcPr>
            <w:tcW w:w="2080" w:type="dxa"/>
            <w:vAlign w:val="bottom"/>
            <w:tcBorders>
              <w:bottom w:val="single" w:sz="8" w:color="E2EEF6"/>
            </w:tcBorders>
            <w:shd w:val="clear" w:color="auto" w:fill="E2EEF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8560" w:type="dxa"/>
            <w:vAlign w:val="bottom"/>
            <w:gridSpan w:val="11"/>
          </w:tcPr>
          <w:p>
            <w:pPr>
              <w:ind w:left="160"/>
              <w:spacing w:after="0"/>
              <w:rPr>
                <w:sz w:val="20"/>
                <w:szCs w:val="20"/>
                <w:color w:val="auto"/>
              </w:rPr>
            </w:pPr>
            <w:r>
              <w:rPr>
                <w:rFonts w:ascii="Arial" w:cs="Arial" w:eastAsia="Arial" w:hAnsi="Arial"/>
                <w:sz w:val="17"/>
                <w:szCs w:val="17"/>
                <w:color w:val="auto"/>
              </w:rPr>
              <w:t>Three and Six Months Ended June 30, 2005 and 2004</w:t>
            </w:r>
          </w:p>
        </w:tc>
        <w:tc>
          <w:tcPr>
            <w:tcW w:w="208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80" w:type="dxa"/>
            <w:vAlign w:val="bottom"/>
            <w:shd w:val="clear" w:color="auto" w:fill="E2EEF6"/>
          </w:tcPr>
          <w:p>
            <w:pPr>
              <w:spacing w:after="0"/>
              <w:rPr>
                <w:sz w:val="20"/>
                <w:szCs w:val="20"/>
                <w:color w:val="auto"/>
              </w:rPr>
            </w:pPr>
          </w:p>
        </w:tc>
        <w:tc>
          <w:tcPr>
            <w:tcW w:w="400" w:type="dxa"/>
            <w:vAlign w:val="bottom"/>
            <w:gridSpan w:val="2"/>
            <w:shd w:val="clear" w:color="auto" w:fill="E2EEF6"/>
          </w:tcPr>
          <w:p>
            <w:pPr>
              <w:spacing w:after="0"/>
              <w:rPr>
                <w:sz w:val="20"/>
                <w:szCs w:val="20"/>
                <w:color w:val="auto"/>
              </w:rPr>
            </w:pPr>
          </w:p>
        </w:tc>
        <w:tc>
          <w:tcPr>
            <w:tcW w:w="1700" w:type="dxa"/>
            <w:vAlign w:val="bottom"/>
            <w:shd w:val="clear" w:color="auto" w:fill="E2EEF6"/>
          </w:tcPr>
          <w:p>
            <w:pPr>
              <w:spacing w:after="0"/>
              <w:rPr>
                <w:sz w:val="20"/>
                <w:szCs w:val="20"/>
                <w:color w:val="auto"/>
              </w:rPr>
            </w:pPr>
          </w:p>
        </w:tc>
        <w:tc>
          <w:tcPr>
            <w:tcW w:w="760" w:type="dxa"/>
            <w:vAlign w:val="bottom"/>
            <w:shd w:val="clear" w:color="auto" w:fill="E2EEF6"/>
          </w:tcPr>
          <w:p>
            <w:pPr>
              <w:spacing w:after="0"/>
              <w:rPr>
                <w:sz w:val="20"/>
                <w:szCs w:val="20"/>
                <w:color w:val="auto"/>
              </w:rPr>
            </w:pPr>
          </w:p>
        </w:tc>
        <w:tc>
          <w:tcPr>
            <w:tcW w:w="70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280" w:type="dxa"/>
            <w:vAlign w:val="bottom"/>
            <w:shd w:val="clear" w:color="auto" w:fill="E2EEF6"/>
          </w:tcPr>
          <w:p>
            <w:pPr>
              <w:spacing w:after="0"/>
              <w:rPr>
                <w:sz w:val="20"/>
                <w:szCs w:val="20"/>
                <w:color w:val="auto"/>
              </w:rPr>
            </w:pPr>
          </w:p>
        </w:tc>
        <w:tc>
          <w:tcPr>
            <w:tcW w:w="56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2020" w:type="dxa"/>
            <w:vAlign w:val="bottom"/>
            <w:shd w:val="clear" w:color="auto" w:fill="E2EEF6"/>
          </w:tcPr>
          <w:p>
            <w:pPr>
              <w:spacing w:after="0"/>
              <w:rPr>
                <w:sz w:val="20"/>
                <w:szCs w:val="20"/>
                <w:color w:val="auto"/>
              </w:rPr>
            </w:pPr>
          </w:p>
        </w:tc>
        <w:tc>
          <w:tcPr>
            <w:tcW w:w="1920" w:type="dxa"/>
            <w:vAlign w:val="bottom"/>
            <w:shd w:val="clear" w:color="auto" w:fill="E2EEF6"/>
          </w:tcPr>
          <w:p>
            <w:pPr>
              <w:spacing w:after="0"/>
              <w:rPr>
                <w:sz w:val="20"/>
                <w:szCs w:val="20"/>
                <w:color w:val="auto"/>
              </w:rPr>
            </w:pPr>
          </w:p>
        </w:tc>
        <w:tc>
          <w:tcPr>
            <w:tcW w:w="2080" w:type="dxa"/>
            <w:vAlign w:val="bottom"/>
            <w:shd w:val="clear" w:color="auto" w:fill="E2EEF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9340" w:type="dxa"/>
            <w:vAlign w:val="bottom"/>
            <w:gridSpan w:val="12"/>
          </w:tcPr>
          <w:p>
            <w:pPr>
              <w:ind w:left="780"/>
              <w:spacing w:after="0" w:line="170" w:lineRule="exact"/>
              <w:rPr>
                <w:rFonts w:ascii="Arial" w:cs="Arial" w:eastAsia="Arial" w:hAnsi="Arial"/>
                <w:sz w:val="17"/>
                <w:szCs w:val="17"/>
                <w:color w:val="0000EE"/>
              </w:rPr>
            </w:pPr>
            <w:hyperlink w:anchor="page4">
              <w:r>
                <w:rPr>
                  <w:rFonts w:ascii="Arial" w:cs="Arial" w:eastAsia="Arial" w:hAnsi="Arial"/>
                  <w:sz w:val="17"/>
                  <w:szCs w:val="17"/>
                  <w:color w:val="0000EE"/>
                </w:rPr>
                <w:t>Condensed Consolidated Statements of Comprehensive Income</w:t>
              </w:r>
            </w:hyperlink>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780" w:type="dxa"/>
            <w:vAlign w:val="bottom"/>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700" w:type="dxa"/>
            <w:vAlign w:val="bottom"/>
            <w:tcBorders>
              <w:top w:val="single" w:sz="8" w:color="0000EE"/>
            </w:tcBorders>
          </w:tcPr>
          <w:p>
            <w:pPr>
              <w:spacing w:after="0"/>
              <w:rPr>
                <w:sz w:val="3"/>
                <w:szCs w:val="3"/>
                <w:color w:val="auto"/>
              </w:rPr>
            </w:pPr>
          </w:p>
        </w:tc>
        <w:tc>
          <w:tcPr>
            <w:tcW w:w="760" w:type="dxa"/>
            <w:vAlign w:val="bottom"/>
            <w:tcBorders>
              <w:top w:val="single" w:sz="8" w:color="0000EE"/>
            </w:tcBorders>
          </w:tcPr>
          <w:p>
            <w:pPr>
              <w:spacing w:after="0"/>
              <w:rPr>
                <w:sz w:val="3"/>
                <w:szCs w:val="3"/>
                <w:color w:val="auto"/>
              </w:rPr>
            </w:pPr>
          </w:p>
        </w:tc>
        <w:tc>
          <w:tcPr>
            <w:tcW w:w="7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1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780" w:type="dxa"/>
            <w:vAlign w:val="bottom"/>
            <w:shd w:val="clear" w:color="auto" w:fill="E2EEF6"/>
          </w:tcPr>
          <w:p>
            <w:pPr>
              <w:spacing w:after="0"/>
              <w:rPr>
                <w:sz w:val="18"/>
                <w:szCs w:val="18"/>
                <w:color w:val="auto"/>
              </w:rPr>
            </w:pPr>
          </w:p>
        </w:tc>
        <w:tc>
          <w:tcPr>
            <w:tcW w:w="8560" w:type="dxa"/>
            <w:vAlign w:val="bottom"/>
            <w:gridSpan w:val="11"/>
            <w:shd w:val="clear" w:color="auto" w:fill="E2EEF6"/>
          </w:tcPr>
          <w:p>
            <w:pPr>
              <w:ind w:left="160"/>
              <w:spacing w:after="0"/>
              <w:rPr>
                <w:sz w:val="20"/>
                <w:szCs w:val="20"/>
                <w:color w:val="auto"/>
              </w:rPr>
            </w:pPr>
            <w:r>
              <w:rPr>
                <w:rFonts w:ascii="Arial" w:cs="Arial" w:eastAsia="Arial" w:hAnsi="Arial"/>
                <w:sz w:val="17"/>
                <w:szCs w:val="17"/>
                <w:color w:val="auto"/>
              </w:rPr>
              <w:t>Three and Six Months Ended June 30, 2005 and 2004</w:t>
            </w:r>
          </w:p>
        </w:tc>
        <w:tc>
          <w:tcPr>
            <w:tcW w:w="2080" w:type="dxa"/>
            <w:vAlign w:val="bottom"/>
            <w:shd w:val="clear" w:color="auto" w:fill="E2EEF6"/>
          </w:tcPr>
          <w:p>
            <w:pPr>
              <w:jc w:val="right"/>
              <w:spacing w:after="0"/>
              <w:rPr>
                <w:sz w:val="20"/>
                <w:szCs w:val="20"/>
                <w:color w:val="auto"/>
              </w:rPr>
            </w:pPr>
            <w:r>
              <w:rPr>
                <w:rFonts w:ascii="Arial" w:cs="Arial" w:eastAsia="Arial" w:hAnsi="Arial"/>
                <w:sz w:val="17"/>
                <w:szCs w:val="17"/>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8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1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0" w:type="dxa"/>
            <w:vAlign w:val="bottom"/>
            <w:tcBorders>
              <w:bottom w:val="single" w:sz="8" w:color="E2EEF6"/>
            </w:tcBorders>
            <w:shd w:val="clear" w:color="auto" w:fill="E2EEF6"/>
          </w:tcPr>
          <w:p>
            <w:pPr>
              <w:spacing w:after="0"/>
              <w:rPr>
                <w:sz w:val="18"/>
                <w:szCs w:val="18"/>
                <w:color w:val="auto"/>
              </w:rPr>
            </w:pPr>
          </w:p>
        </w:tc>
        <w:tc>
          <w:tcPr>
            <w:tcW w:w="2860" w:type="dxa"/>
            <w:vAlign w:val="bottom"/>
            <w:tcBorders>
              <w:bottom w:val="single" w:sz="8" w:color="0000EE"/>
            </w:tcBorders>
            <w:gridSpan w:val="4"/>
            <w:shd w:val="clear" w:color="auto" w:fill="E2EEF6"/>
          </w:tcPr>
          <w:p>
            <w:pPr>
              <w:spacing w:after="0" w:line="170" w:lineRule="exact"/>
              <w:rPr>
                <w:rFonts w:ascii="Arial" w:cs="Arial" w:eastAsia="Arial" w:hAnsi="Arial"/>
                <w:sz w:val="17"/>
                <w:szCs w:val="17"/>
                <w:color w:val="0000EE"/>
                <w:w w:val="90"/>
              </w:rPr>
            </w:pPr>
            <w:hyperlink w:anchor="page5">
              <w:r>
                <w:rPr>
                  <w:rFonts w:ascii="Arial" w:cs="Arial" w:eastAsia="Arial" w:hAnsi="Arial"/>
                  <w:sz w:val="17"/>
                  <w:szCs w:val="17"/>
                  <w:color w:val="0000EE"/>
                  <w:w w:val="90"/>
                </w:rPr>
                <w:t>Condensed Consolidated Balance Sheets</w:t>
              </w:r>
            </w:hyperlink>
          </w:p>
        </w:tc>
        <w:tc>
          <w:tcPr>
            <w:tcW w:w="5700" w:type="dxa"/>
            <w:vAlign w:val="bottom"/>
            <w:tcBorders>
              <w:bottom w:val="single" w:sz="8" w:color="E2EEF6"/>
            </w:tcBorders>
            <w:gridSpan w:val="7"/>
            <w:shd w:val="clear" w:color="auto" w:fill="E2EEF6"/>
          </w:tcPr>
          <w:p>
            <w:pPr>
              <w:spacing w:after="0"/>
              <w:rPr>
                <w:sz w:val="18"/>
                <w:szCs w:val="18"/>
                <w:color w:val="auto"/>
              </w:rPr>
            </w:pPr>
          </w:p>
        </w:tc>
        <w:tc>
          <w:tcPr>
            <w:tcW w:w="2080" w:type="dxa"/>
            <w:vAlign w:val="bottom"/>
            <w:tcBorders>
              <w:bottom w:val="single" w:sz="8" w:color="E2EEF6"/>
            </w:tcBorders>
            <w:shd w:val="clear" w:color="auto" w:fill="E2EEF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8560" w:type="dxa"/>
            <w:vAlign w:val="bottom"/>
            <w:gridSpan w:val="11"/>
          </w:tcPr>
          <w:p>
            <w:pPr>
              <w:ind w:left="160"/>
              <w:spacing w:after="0"/>
              <w:rPr>
                <w:sz w:val="20"/>
                <w:szCs w:val="20"/>
                <w:color w:val="auto"/>
              </w:rPr>
            </w:pPr>
            <w:r>
              <w:rPr>
                <w:rFonts w:ascii="Arial" w:cs="Arial" w:eastAsia="Arial" w:hAnsi="Arial"/>
                <w:sz w:val="17"/>
                <w:szCs w:val="17"/>
                <w:color w:val="auto"/>
              </w:rPr>
              <w:t>June 30, 2005 and December 31, 2004</w:t>
            </w:r>
          </w:p>
        </w:tc>
        <w:tc>
          <w:tcPr>
            <w:tcW w:w="208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80" w:type="dxa"/>
            <w:vAlign w:val="bottom"/>
            <w:shd w:val="clear" w:color="auto" w:fill="E2EEF6"/>
          </w:tcPr>
          <w:p>
            <w:pPr>
              <w:spacing w:after="0"/>
              <w:rPr>
                <w:sz w:val="20"/>
                <w:szCs w:val="20"/>
                <w:color w:val="auto"/>
              </w:rPr>
            </w:pPr>
          </w:p>
        </w:tc>
        <w:tc>
          <w:tcPr>
            <w:tcW w:w="400" w:type="dxa"/>
            <w:vAlign w:val="bottom"/>
            <w:gridSpan w:val="2"/>
            <w:shd w:val="clear" w:color="auto" w:fill="E2EEF6"/>
          </w:tcPr>
          <w:p>
            <w:pPr>
              <w:spacing w:after="0"/>
              <w:rPr>
                <w:sz w:val="20"/>
                <w:szCs w:val="20"/>
                <w:color w:val="auto"/>
              </w:rPr>
            </w:pPr>
          </w:p>
        </w:tc>
        <w:tc>
          <w:tcPr>
            <w:tcW w:w="1700" w:type="dxa"/>
            <w:vAlign w:val="bottom"/>
            <w:shd w:val="clear" w:color="auto" w:fill="E2EEF6"/>
          </w:tcPr>
          <w:p>
            <w:pPr>
              <w:spacing w:after="0"/>
              <w:rPr>
                <w:sz w:val="20"/>
                <w:szCs w:val="20"/>
                <w:color w:val="auto"/>
              </w:rPr>
            </w:pPr>
          </w:p>
        </w:tc>
        <w:tc>
          <w:tcPr>
            <w:tcW w:w="760" w:type="dxa"/>
            <w:vAlign w:val="bottom"/>
            <w:shd w:val="clear" w:color="auto" w:fill="E2EEF6"/>
          </w:tcPr>
          <w:p>
            <w:pPr>
              <w:spacing w:after="0"/>
              <w:rPr>
                <w:sz w:val="20"/>
                <w:szCs w:val="20"/>
                <w:color w:val="auto"/>
              </w:rPr>
            </w:pPr>
          </w:p>
        </w:tc>
        <w:tc>
          <w:tcPr>
            <w:tcW w:w="70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280" w:type="dxa"/>
            <w:vAlign w:val="bottom"/>
            <w:shd w:val="clear" w:color="auto" w:fill="E2EEF6"/>
          </w:tcPr>
          <w:p>
            <w:pPr>
              <w:spacing w:after="0"/>
              <w:rPr>
                <w:sz w:val="20"/>
                <w:szCs w:val="20"/>
                <w:color w:val="auto"/>
              </w:rPr>
            </w:pPr>
          </w:p>
        </w:tc>
        <w:tc>
          <w:tcPr>
            <w:tcW w:w="56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2020" w:type="dxa"/>
            <w:vAlign w:val="bottom"/>
            <w:shd w:val="clear" w:color="auto" w:fill="E2EEF6"/>
          </w:tcPr>
          <w:p>
            <w:pPr>
              <w:spacing w:after="0"/>
              <w:rPr>
                <w:sz w:val="20"/>
                <w:szCs w:val="20"/>
                <w:color w:val="auto"/>
              </w:rPr>
            </w:pPr>
          </w:p>
        </w:tc>
        <w:tc>
          <w:tcPr>
            <w:tcW w:w="1920" w:type="dxa"/>
            <w:vAlign w:val="bottom"/>
            <w:shd w:val="clear" w:color="auto" w:fill="E2EEF6"/>
          </w:tcPr>
          <w:p>
            <w:pPr>
              <w:spacing w:after="0"/>
              <w:rPr>
                <w:sz w:val="20"/>
                <w:szCs w:val="20"/>
                <w:color w:val="auto"/>
              </w:rPr>
            </w:pPr>
          </w:p>
        </w:tc>
        <w:tc>
          <w:tcPr>
            <w:tcW w:w="2080" w:type="dxa"/>
            <w:vAlign w:val="bottom"/>
            <w:shd w:val="clear" w:color="auto" w:fill="E2EEF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9340" w:type="dxa"/>
            <w:vAlign w:val="bottom"/>
            <w:gridSpan w:val="12"/>
          </w:tcPr>
          <w:p>
            <w:pPr>
              <w:ind w:left="780"/>
              <w:spacing w:after="0" w:line="170" w:lineRule="exact"/>
              <w:rPr>
                <w:rFonts w:ascii="Arial" w:cs="Arial" w:eastAsia="Arial" w:hAnsi="Arial"/>
                <w:sz w:val="17"/>
                <w:szCs w:val="17"/>
                <w:color w:val="0000EE"/>
              </w:rPr>
            </w:pPr>
            <w:hyperlink w:anchor="page6">
              <w:r>
                <w:rPr>
                  <w:rFonts w:ascii="Arial" w:cs="Arial" w:eastAsia="Arial" w:hAnsi="Arial"/>
                  <w:sz w:val="17"/>
                  <w:szCs w:val="17"/>
                  <w:color w:val="0000EE"/>
                </w:rPr>
                <w:t>Condensed Consolidated Statements of Cash Flows</w:t>
              </w:r>
            </w:hyperlink>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780" w:type="dxa"/>
            <w:vAlign w:val="bottom"/>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700" w:type="dxa"/>
            <w:vAlign w:val="bottom"/>
            <w:tcBorders>
              <w:top w:val="single" w:sz="8" w:color="0000EE"/>
            </w:tcBorders>
          </w:tcPr>
          <w:p>
            <w:pPr>
              <w:spacing w:after="0"/>
              <w:rPr>
                <w:sz w:val="3"/>
                <w:szCs w:val="3"/>
                <w:color w:val="auto"/>
              </w:rPr>
            </w:pPr>
          </w:p>
        </w:tc>
        <w:tc>
          <w:tcPr>
            <w:tcW w:w="760" w:type="dxa"/>
            <w:vAlign w:val="bottom"/>
            <w:tcBorders>
              <w:top w:val="single" w:sz="8" w:color="0000EE"/>
            </w:tcBorders>
          </w:tcPr>
          <w:p>
            <w:pPr>
              <w:spacing w:after="0"/>
              <w:rPr>
                <w:sz w:val="3"/>
                <w:szCs w:val="3"/>
                <w:color w:val="auto"/>
              </w:rPr>
            </w:pPr>
          </w:p>
        </w:tc>
        <w:tc>
          <w:tcPr>
            <w:tcW w:w="7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780" w:type="dxa"/>
            <w:vAlign w:val="bottom"/>
            <w:shd w:val="clear" w:color="auto" w:fill="E2EEF6"/>
          </w:tcPr>
          <w:p>
            <w:pPr>
              <w:spacing w:after="0"/>
              <w:rPr>
                <w:sz w:val="18"/>
                <w:szCs w:val="18"/>
                <w:color w:val="auto"/>
              </w:rPr>
            </w:pPr>
          </w:p>
        </w:tc>
        <w:tc>
          <w:tcPr>
            <w:tcW w:w="8560" w:type="dxa"/>
            <w:vAlign w:val="bottom"/>
            <w:gridSpan w:val="11"/>
            <w:shd w:val="clear" w:color="auto" w:fill="E2EEF6"/>
          </w:tcPr>
          <w:p>
            <w:pPr>
              <w:ind w:left="160"/>
              <w:spacing w:after="0"/>
              <w:rPr>
                <w:sz w:val="20"/>
                <w:szCs w:val="20"/>
                <w:color w:val="auto"/>
              </w:rPr>
            </w:pPr>
            <w:r>
              <w:rPr>
                <w:rFonts w:ascii="Arial" w:cs="Arial" w:eastAsia="Arial" w:hAnsi="Arial"/>
                <w:sz w:val="17"/>
                <w:szCs w:val="17"/>
                <w:color w:val="auto"/>
              </w:rPr>
              <w:t>Three and Six Months Ended June 30, 2005 and 2004</w:t>
            </w:r>
          </w:p>
        </w:tc>
        <w:tc>
          <w:tcPr>
            <w:tcW w:w="2080" w:type="dxa"/>
            <w:vAlign w:val="bottom"/>
            <w:shd w:val="clear" w:color="auto" w:fill="E2EEF6"/>
          </w:tcPr>
          <w:p>
            <w:pPr>
              <w:jc w:val="right"/>
              <w:spacing w:after="0"/>
              <w:rPr>
                <w:sz w:val="20"/>
                <w:szCs w:val="20"/>
                <w:color w:val="auto"/>
              </w:rPr>
            </w:pPr>
            <w:r>
              <w:rPr>
                <w:rFonts w:ascii="Arial" w:cs="Arial" w:eastAsia="Arial" w:hAnsi="Arial"/>
                <w:sz w:val="17"/>
                <w:szCs w:val="17"/>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8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1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340" w:type="dxa"/>
            <w:vAlign w:val="bottom"/>
            <w:gridSpan w:val="12"/>
            <w:shd w:val="clear" w:color="auto" w:fill="E2EEF6"/>
          </w:tcPr>
          <w:p>
            <w:pPr>
              <w:ind w:left="780"/>
              <w:spacing w:after="0" w:line="170" w:lineRule="exact"/>
              <w:rPr>
                <w:rFonts w:ascii="Arial" w:cs="Arial" w:eastAsia="Arial" w:hAnsi="Arial"/>
                <w:sz w:val="17"/>
                <w:szCs w:val="17"/>
                <w:color w:val="0000EE"/>
              </w:rPr>
            </w:pPr>
            <w:hyperlink w:anchor="page7">
              <w:r>
                <w:rPr>
                  <w:rFonts w:ascii="Arial" w:cs="Arial" w:eastAsia="Arial" w:hAnsi="Arial"/>
                  <w:sz w:val="17"/>
                  <w:szCs w:val="17"/>
                  <w:color w:val="0000EE"/>
                </w:rPr>
                <w:t>Notes to Condensed Consolidated Financial Statements</w:t>
              </w:r>
            </w:hyperlink>
          </w:p>
        </w:tc>
        <w:tc>
          <w:tcPr>
            <w:tcW w:w="2080" w:type="dxa"/>
            <w:vAlign w:val="bottom"/>
            <w:shd w:val="clear" w:color="auto" w:fill="E2EEF6"/>
          </w:tcPr>
          <w:p>
            <w:pPr>
              <w:jc w:val="right"/>
              <w:spacing w:after="0" w:line="170" w:lineRule="exact"/>
              <w:rPr>
                <w:sz w:val="20"/>
                <w:szCs w:val="20"/>
                <w:color w:val="auto"/>
              </w:rPr>
            </w:pPr>
            <w:r>
              <w:rPr>
                <w:rFonts w:ascii="Arial" w:cs="Arial" w:eastAsia="Arial" w:hAnsi="Arial"/>
                <w:sz w:val="17"/>
                <w:szCs w:val="17"/>
                <w:color w:val="auto"/>
              </w:rPr>
              <w:t>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80" w:type="dxa"/>
            <w:vAlign w:val="bottom"/>
            <w:tcBorders>
              <w:top w:val="single" w:sz="8" w:color="E2EEF6"/>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70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560" w:type="dxa"/>
            <w:vAlign w:val="bottom"/>
            <w:tcBorders>
              <w:top w:val="single" w:sz="8" w:color="E2EEF6"/>
            </w:tcBorders>
          </w:tcPr>
          <w:p>
            <w:pPr>
              <w:spacing w:after="0"/>
              <w:rPr>
                <w:sz w:val="20"/>
                <w:szCs w:val="20"/>
                <w:color w:val="auto"/>
              </w:rPr>
            </w:pPr>
          </w:p>
        </w:tc>
        <w:tc>
          <w:tcPr>
            <w:tcW w:w="180" w:type="dxa"/>
            <w:vAlign w:val="bottom"/>
            <w:tcBorders>
              <w:top w:val="single" w:sz="8" w:color="E2EEF6"/>
            </w:tcBorders>
          </w:tcPr>
          <w:p>
            <w:pPr>
              <w:spacing w:after="0"/>
              <w:rPr>
                <w:sz w:val="20"/>
                <w:szCs w:val="20"/>
                <w:color w:val="auto"/>
              </w:rPr>
            </w:pPr>
          </w:p>
        </w:tc>
        <w:tc>
          <w:tcPr>
            <w:tcW w:w="2020" w:type="dxa"/>
            <w:vAlign w:val="bottom"/>
            <w:tcBorders>
              <w:top w:val="single" w:sz="8" w:color="E2EEF6"/>
            </w:tcBorders>
          </w:tcPr>
          <w:p>
            <w:pPr>
              <w:spacing w:after="0"/>
              <w:rPr>
                <w:sz w:val="20"/>
                <w:szCs w:val="20"/>
                <w:color w:val="auto"/>
              </w:rPr>
            </w:pPr>
          </w:p>
        </w:tc>
        <w:tc>
          <w:tcPr>
            <w:tcW w:w="1920" w:type="dxa"/>
            <w:vAlign w:val="bottom"/>
            <w:tcBorders>
              <w:top w:val="single" w:sz="8" w:color="E2EEF6"/>
            </w:tcBorders>
          </w:tcPr>
          <w:p>
            <w:pPr>
              <w:spacing w:after="0"/>
              <w:rPr>
                <w:sz w:val="20"/>
                <w:szCs w:val="20"/>
                <w:color w:val="auto"/>
              </w:rPr>
            </w:pPr>
          </w:p>
        </w:tc>
        <w:tc>
          <w:tcPr>
            <w:tcW w:w="2080" w:type="dxa"/>
            <w:vAlign w:val="bottom"/>
            <w:tcBorders>
              <w:top w:val="single" w:sz="8" w:color="E2EEF6"/>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80" w:type="dxa"/>
            <w:vAlign w:val="bottom"/>
            <w:gridSpan w:val="2"/>
            <w:shd w:val="clear" w:color="auto" w:fill="E2EEF6"/>
          </w:tcPr>
          <w:p>
            <w:pPr>
              <w:ind w:left="480"/>
              <w:spacing w:after="0" w:line="170" w:lineRule="exact"/>
              <w:rPr>
                <w:sz w:val="20"/>
                <w:szCs w:val="20"/>
                <w:color w:val="auto"/>
              </w:rPr>
            </w:pPr>
            <w:r>
              <w:rPr>
                <w:rFonts w:ascii="Arial" w:cs="Arial" w:eastAsia="Arial" w:hAnsi="Arial"/>
                <w:sz w:val="17"/>
                <w:szCs w:val="17"/>
                <w:b w:val="1"/>
                <w:bCs w:val="1"/>
                <w:color w:val="auto"/>
              </w:rPr>
              <w:t>Item 2.</w:t>
            </w:r>
          </w:p>
        </w:tc>
        <w:tc>
          <w:tcPr>
            <w:tcW w:w="8260" w:type="dxa"/>
            <w:vAlign w:val="bottom"/>
            <w:gridSpan w:val="10"/>
            <w:shd w:val="clear" w:color="auto" w:fill="E2EEF6"/>
          </w:tcPr>
          <w:p>
            <w:pPr>
              <w:ind w:left="100"/>
              <w:spacing w:after="0" w:line="170" w:lineRule="exact"/>
              <w:rPr>
                <w:rFonts w:ascii="Arial" w:cs="Arial" w:eastAsia="Arial" w:hAnsi="Arial"/>
                <w:sz w:val="17"/>
                <w:szCs w:val="17"/>
                <w:color w:val="0000EE"/>
              </w:rPr>
            </w:pPr>
            <w:hyperlink w:anchor="page22">
              <w:r>
                <w:rPr>
                  <w:rFonts w:ascii="Arial" w:cs="Arial" w:eastAsia="Arial" w:hAnsi="Arial"/>
                  <w:sz w:val="17"/>
                  <w:szCs w:val="17"/>
                  <w:color w:val="0000EE"/>
                </w:rPr>
                <w:t>Management’s Discussion and Analysis of Financial Condition and Results of Operations</w:t>
              </w:r>
            </w:hyperlink>
          </w:p>
        </w:tc>
        <w:tc>
          <w:tcPr>
            <w:tcW w:w="2080" w:type="dxa"/>
            <w:vAlign w:val="bottom"/>
            <w:shd w:val="clear" w:color="auto" w:fill="E2EEF6"/>
          </w:tcPr>
          <w:p>
            <w:pPr>
              <w:jc w:val="right"/>
              <w:spacing w:after="0" w:line="170" w:lineRule="exact"/>
              <w:rPr>
                <w:sz w:val="20"/>
                <w:szCs w:val="20"/>
                <w:color w:val="auto"/>
              </w:rPr>
            </w:pPr>
            <w:r>
              <w:rPr>
                <w:rFonts w:ascii="Arial" w:cs="Arial" w:eastAsia="Arial" w:hAnsi="Arial"/>
                <w:sz w:val="17"/>
                <w:szCs w:val="17"/>
                <w:color w:val="auto"/>
              </w:rPr>
              <w:t>20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80" w:type="dxa"/>
            <w:vAlign w:val="bottom"/>
            <w:tcBorders>
              <w:top w:val="single" w:sz="8" w:color="E2EEF6"/>
            </w:tcBorders>
          </w:tcPr>
          <w:p>
            <w:pPr>
              <w:spacing w:after="0"/>
              <w:rPr>
                <w:sz w:val="20"/>
                <w:szCs w:val="20"/>
                <w:color w:val="auto"/>
              </w:rPr>
            </w:pPr>
          </w:p>
        </w:tc>
        <w:tc>
          <w:tcPr>
            <w:tcW w:w="30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170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20" w:type="dxa"/>
            <w:vAlign w:val="bottom"/>
            <w:tcBorders>
              <w:top w:val="single" w:sz="8" w:color="0000EE"/>
            </w:tcBorders>
          </w:tcPr>
          <w:p>
            <w:pPr>
              <w:spacing w:after="0"/>
              <w:rPr>
                <w:sz w:val="20"/>
                <w:szCs w:val="20"/>
                <w:color w:val="auto"/>
              </w:rPr>
            </w:pPr>
          </w:p>
        </w:tc>
        <w:tc>
          <w:tcPr>
            <w:tcW w:w="1920" w:type="dxa"/>
            <w:vAlign w:val="bottom"/>
            <w:tcBorders>
              <w:top w:val="single" w:sz="8" w:color="E2EEF6"/>
            </w:tcBorders>
          </w:tcPr>
          <w:p>
            <w:pPr>
              <w:spacing w:after="0"/>
              <w:rPr>
                <w:sz w:val="20"/>
                <w:szCs w:val="20"/>
                <w:color w:val="auto"/>
              </w:rPr>
            </w:pPr>
          </w:p>
        </w:tc>
        <w:tc>
          <w:tcPr>
            <w:tcW w:w="2080" w:type="dxa"/>
            <w:vAlign w:val="bottom"/>
            <w:tcBorders>
              <w:top w:val="single" w:sz="8" w:color="E2EEF6"/>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80" w:type="dxa"/>
            <w:vAlign w:val="bottom"/>
            <w:gridSpan w:val="2"/>
            <w:shd w:val="clear" w:color="auto" w:fill="E2EEF6"/>
          </w:tcPr>
          <w:p>
            <w:pPr>
              <w:ind w:left="480"/>
              <w:spacing w:after="0" w:line="170" w:lineRule="exact"/>
              <w:rPr>
                <w:sz w:val="20"/>
                <w:szCs w:val="20"/>
                <w:color w:val="auto"/>
              </w:rPr>
            </w:pPr>
            <w:r>
              <w:rPr>
                <w:rFonts w:ascii="Arial" w:cs="Arial" w:eastAsia="Arial" w:hAnsi="Arial"/>
                <w:sz w:val="17"/>
                <w:szCs w:val="17"/>
                <w:b w:val="1"/>
                <w:bCs w:val="1"/>
                <w:color w:val="auto"/>
              </w:rPr>
              <w:t>Item 3.</w:t>
            </w:r>
          </w:p>
        </w:tc>
        <w:tc>
          <w:tcPr>
            <w:tcW w:w="8260" w:type="dxa"/>
            <w:vAlign w:val="bottom"/>
            <w:gridSpan w:val="10"/>
            <w:shd w:val="clear" w:color="auto" w:fill="E2EEF6"/>
          </w:tcPr>
          <w:p>
            <w:pPr>
              <w:ind w:left="100"/>
              <w:spacing w:after="0" w:line="170" w:lineRule="exact"/>
              <w:rPr>
                <w:rFonts w:ascii="Arial" w:cs="Arial" w:eastAsia="Arial" w:hAnsi="Arial"/>
                <w:sz w:val="17"/>
                <w:szCs w:val="17"/>
                <w:color w:val="0000EE"/>
              </w:rPr>
            </w:pPr>
            <w:hyperlink w:anchor="page41">
              <w:r>
                <w:rPr>
                  <w:rFonts w:ascii="Arial" w:cs="Arial" w:eastAsia="Arial" w:hAnsi="Arial"/>
                  <w:sz w:val="17"/>
                  <w:szCs w:val="17"/>
                  <w:color w:val="0000EE"/>
                </w:rPr>
                <w:t>Quantitative and Qualitative Disclosures About Market Risk</w:t>
              </w:r>
            </w:hyperlink>
          </w:p>
        </w:tc>
        <w:tc>
          <w:tcPr>
            <w:tcW w:w="2080" w:type="dxa"/>
            <w:vAlign w:val="bottom"/>
            <w:shd w:val="clear" w:color="auto" w:fill="E2EEF6"/>
          </w:tcPr>
          <w:p>
            <w:pPr>
              <w:jc w:val="right"/>
              <w:spacing w:after="0" w:line="170" w:lineRule="exact"/>
              <w:rPr>
                <w:sz w:val="20"/>
                <w:szCs w:val="20"/>
                <w:color w:val="auto"/>
              </w:rPr>
            </w:pPr>
            <w:r>
              <w:rPr>
                <w:rFonts w:ascii="Arial" w:cs="Arial" w:eastAsia="Arial" w:hAnsi="Arial"/>
                <w:sz w:val="17"/>
                <w:szCs w:val="17"/>
                <w:color w:val="auto"/>
              </w:rPr>
              <w:t>39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80" w:type="dxa"/>
            <w:vAlign w:val="bottom"/>
            <w:tcBorders>
              <w:top w:val="single" w:sz="8" w:color="E2EEF6"/>
            </w:tcBorders>
          </w:tcPr>
          <w:p>
            <w:pPr>
              <w:spacing w:after="0"/>
              <w:rPr>
                <w:sz w:val="20"/>
                <w:szCs w:val="20"/>
                <w:color w:val="auto"/>
              </w:rPr>
            </w:pPr>
          </w:p>
        </w:tc>
        <w:tc>
          <w:tcPr>
            <w:tcW w:w="30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170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20" w:type="dxa"/>
            <w:vAlign w:val="bottom"/>
            <w:tcBorders>
              <w:top w:val="single" w:sz="8" w:color="E2EEF6"/>
            </w:tcBorders>
          </w:tcPr>
          <w:p>
            <w:pPr>
              <w:spacing w:after="0"/>
              <w:rPr>
                <w:sz w:val="20"/>
                <w:szCs w:val="20"/>
                <w:color w:val="auto"/>
              </w:rPr>
            </w:pPr>
          </w:p>
        </w:tc>
        <w:tc>
          <w:tcPr>
            <w:tcW w:w="1920" w:type="dxa"/>
            <w:vAlign w:val="bottom"/>
            <w:tcBorders>
              <w:top w:val="single" w:sz="8" w:color="E2EEF6"/>
            </w:tcBorders>
          </w:tcPr>
          <w:p>
            <w:pPr>
              <w:spacing w:after="0"/>
              <w:rPr>
                <w:sz w:val="20"/>
                <w:szCs w:val="20"/>
                <w:color w:val="auto"/>
              </w:rPr>
            </w:pPr>
          </w:p>
        </w:tc>
        <w:tc>
          <w:tcPr>
            <w:tcW w:w="2080" w:type="dxa"/>
            <w:vAlign w:val="bottom"/>
            <w:tcBorders>
              <w:top w:val="single" w:sz="8" w:color="E2EEF6"/>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080" w:type="dxa"/>
            <w:vAlign w:val="bottom"/>
            <w:gridSpan w:val="2"/>
            <w:shd w:val="clear" w:color="auto" w:fill="E2EEF6"/>
          </w:tcPr>
          <w:p>
            <w:pPr>
              <w:ind w:left="480"/>
              <w:spacing w:after="0" w:line="170" w:lineRule="exact"/>
              <w:rPr>
                <w:sz w:val="20"/>
                <w:szCs w:val="20"/>
                <w:color w:val="auto"/>
              </w:rPr>
            </w:pPr>
            <w:r>
              <w:rPr>
                <w:rFonts w:ascii="Arial" w:cs="Arial" w:eastAsia="Arial" w:hAnsi="Arial"/>
                <w:sz w:val="17"/>
                <w:szCs w:val="17"/>
                <w:b w:val="1"/>
                <w:bCs w:val="1"/>
                <w:color w:val="auto"/>
              </w:rPr>
              <w:t>Item 4.</w:t>
            </w:r>
          </w:p>
        </w:tc>
        <w:tc>
          <w:tcPr>
            <w:tcW w:w="8260" w:type="dxa"/>
            <w:vAlign w:val="bottom"/>
            <w:gridSpan w:val="10"/>
            <w:shd w:val="clear" w:color="auto" w:fill="E2EEF6"/>
          </w:tcPr>
          <w:p>
            <w:pPr>
              <w:ind w:left="100"/>
              <w:spacing w:after="0" w:line="170" w:lineRule="exact"/>
              <w:rPr>
                <w:rFonts w:ascii="Arial" w:cs="Arial" w:eastAsia="Arial" w:hAnsi="Arial"/>
                <w:sz w:val="17"/>
                <w:szCs w:val="17"/>
                <w:color w:val="0000EE"/>
              </w:rPr>
            </w:pPr>
            <w:hyperlink w:anchor="page42">
              <w:r>
                <w:rPr>
                  <w:rFonts w:ascii="Arial" w:cs="Arial" w:eastAsia="Arial" w:hAnsi="Arial"/>
                  <w:sz w:val="17"/>
                  <w:szCs w:val="17"/>
                  <w:color w:val="0000EE"/>
                </w:rPr>
                <w:t>Controls and Procedures</w:t>
              </w:r>
            </w:hyperlink>
          </w:p>
        </w:tc>
        <w:tc>
          <w:tcPr>
            <w:tcW w:w="2080" w:type="dxa"/>
            <w:vAlign w:val="bottom"/>
            <w:shd w:val="clear" w:color="auto" w:fill="E2EEF6"/>
          </w:tcPr>
          <w:p>
            <w:pPr>
              <w:jc w:val="right"/>
              <w:spacing w:after="0" w:line="170" w:lineRule="exact"/>
              <w:rPr>
                <w:sz w:val="20"/>
                <w:szCs w:val="20"/>
                <w:color w:val="auto"/>
              </w:rPr>
            </w:pPr>
            <w:r>
              <w:rPr>
                <w:rFonts w:ascii="Arial" w:cs="Arial" w:eastAsia="Arial" w:hAnsi="Arial"/>
                <w:sz w:val="17"/>
                <w:szCs w:val="17"/>
                <w:color w:val="auto"/>
              </w:rPr>
              <w:t>40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780" w:type="dxa"/>
            <w:vAlign w:val="bottom"/>
            <w:shd w:val="clear" w:color="auto" w:fill="E2EEF6"/>
          </w:tcPr>
          <w:p>
            <w:pPr>
              <w:spacing w:after="0"/>
              <w:rPr>
                <w:sz w:val="3"/>
                <w:szCs w:val="3"/>
                <w:color w:val="auto"/>
              </w:rPr>
            </w:pPr>
          </w:p>
        </w:tc>
        <w:tc>
          <w:tcPr>
            <w:tcW w:w="300" w:type="dxa"/>
            <w:vAlign w:val="bottom"/>
            <w:shd w:val="clear" w:color="auto" w:fill="E2EEF6"/>
          </w:tcPr>
          <w:p>
            <w:pPr>
              <w:spacing w:after="0"/>
              <w:rPr>
                <w:sz w:val="3"/>
                <w:szCs w:val="3"/>
                <w:color w:val="auto"/>
              </w:rPr>
            </w:pPr>
          </w:p>
        </w:tc>
        <w:tc>
          <w:tcPr>
            <w:tcW w:w="100" w:type="dxa"/>
            <w:vAlign w:val="bottom"/>
            <w:shd w:val="clear" w:color="auto" w:fill="E2EEF6"/>
          </w:tcPr>
          <w:p>
            <w:pPr>
              <w:spacing w:after="0"/>
              <w:rPr>
                <w:sz w:val="3"/>
                <w:szCs w:val="3"/>
                <w:color w:val="auto"/>
              </w:rPr>
            </w:pPr>
          </w:p>
        </w:tc>
        <w:tc>
          <w:tcPr>
            <w:tcW w:w="1700" w:type="dxa"/>
            <w:vAlign w:val="bottom"/>
            <w:shd w:val="clear" w:color="auto" w:fill="0000EE"/>
          </w:tcPr>
          <w:p>
            <w:pPr>
              <w:spacing w:after="0"/>
              <w:rPr>
                <w:sz w:val="3"/>
                <w:szCs w:val="3"/>
                <w:color w:val="auto"/>
              </w:rPr>
            </w:pPr>
          </w:p>
        </w:tc>
        <w:tc>
          <w:tcPr>
            <w:tcW w:w="760" w:type="dxa"/>
            <w:vAlign w:val="bottom"/>
            <w:shd w:val="clear" w:color="auto" w:fill="E2EEF6"/>
          </w:tcPr>
          <w:p>
            <w:pPr>
              <w:spacing w:after="0"/>
              <w:rPr>
                <w:sz w:val="3"/>
                <w:szCs w:val="3"/>
                <w:color w:val="auto"/>
              </w:rPr>
            </w:pPr>
          </w:p>
        </w:tc>
        <w:tc>
          <w:tcPr>
            <w:tcW w:w="700" w:type="dxa"/>
            <w:vAlign w:val="bottom"/>
            <w:shd w:val="clear" w:color="auto" w:fill="E2EEF6"/>
          </w:tcPr>
          <w:p>
            <w:pPr>
              <w:spacing w:after="0"/>
              <w:rPr>
                <w:sz w:val="3"/>
                <w:szCs w:val="3"/>
                <w:color w:val="auto"/>
              </w:rPr>
            </w:pPr>
          </w:p>
        </w:tc>
        <w:tc>
          <w:tcPr>
            <w:tcW w:w="40" w:type="dxa"/>
            <w:vAlign w:val="bottom"/>
            <w:shd w:val="clear" w:color="auto" w:fill="E2EEF6"/>
          </w:tcPr>
          <w:p>
            <w:pPr>
              <w:spacing w:after="0"/>
              <w:rPr>
                <w:sz w:val="3"/>
                <w:szCs w:val="3"/>
                <w:color w:val="auto"/>
              </w:rPr>
            </w:pPr>
          </w:p>
        </w:tc>
        <w:tc>
          <w:tcPr>
            <w:tcW w:w="280" w:type="dxa"/>
            <w:vAlign w:val="bottom"/>
            <w:shd w:val="clear" w:color="auto" w:fill="E2EEF6"/>
          </w:tcPr>
          <w:p>
            <w:pPr>
              <w:spacing w:after="0"/>
              <w:rPr>
                <w:sz w:val="3"/>
                <w:szCs w:val="3"/>
                <w:color w:val="auto"/>
              </w:rPr>
            </w:pPr>
          </w:p>
        </w:tc>
        <w:tc>
          <w:tcPr>
            <w:tcW w:w="560" w:type="dxa"/>
            <w:vAlign w:val="bottom"/>
            <w:shd w:val="clear" w:color="auto" w:fill="E2EEF6"/>
          </w:tcPr>
          <w:p>
            <w:pPr>
              <w:spacing w:after="0"/>
              <w:rPr>
                <w:sz w:val="3"/>
                <w:szCs w:val="3"/>
                <w:color w:val="auto"/>
              </w:rPr>
            </w:pPr>
          </w:p>
        </w:tc>
        <w:tc>
          <w:tcPr>
            <w:tcW w:w="180" w:type="dxa"/>
            <w:vAlign w:val="bottom"/>
            <w:shd w:val="clear" w:color="auto" w:fill="E2EEF6"/>
          </w:tcPr>
          <w:p>
            <w:pPr>
              <w:spacing w:after="0"/>
              <w:rPr>
                <w:sz w:val="3"/>
                <w:szCs w:val="3"/>
                <w:color w:val="auto"/>
              </w:rPr>
            </w:pPr>
          </w:p>
        </w:tc>
        <w:tc>
          <w:tcPr>
            <w:tcW w:w="2020" w:type="dxa"/>
            <w:vAlign w:val="bottom"/>
            <w:shd w:val="clear" w:color="auto" w:fill="E2EEF6"/>
          </w:tcPr>
          <w:p>
            <w:pPr>
              <w:spacing w:after="0"/>
              <w:rPr>
                <w:sz w:val="3"/>
                <w:szCs w:val="3"/>
                <w:color w:val="auto"/>
              </w:rPr>
            </w:pPr>
          </w:p>
        </w:tc>
        <w:tc>
          <w:tcPr>
            <w:tcW w:w="1920" w:type="dxa"/>
            <w:vAlign w:val="bottom"/>
            <w:shd w:val="clear" w:color="auto" w:fill="E2EEF6"/>
          </w:tcPr>
          <w:p>
            <w:pPr>
              <w:spacing w:after="0"/>
              <w:rPr>
                <w:sz w:val="3"/>
                <w:szCs w:val="3"/>
                <w:color w:val="auto"/>
              </w:rPr>
            </w:pPr>
          </w:p>
        </w:tc>
        <w:tc>
          <w:tcPr>
            <w:tcW w:w="2080" w:type="dxa"/>
            <w:vAlign w:val="bottom"/>
            <w:shd w:val="clear" w:color="auto" w:fill="E2EEF6"/>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1065" cy="149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14922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80" w:type="dxa"/>
            <w:vAlign w:val="bottom"/>
            <w:shd w:val="clear" w:color="auto" w:fill="E2EEF6"/>
          </w:tcPr>
          <w:p>
            <w:pPr>
              <w:ind w:left="480"/>
              <w:spacing w:after="0"/>
              <w:rPr>
                <w:sz w:val="20"/>
                <w:szCs w:val="20"/>
                <w:color w:val="auto"/>
              </w:rPr>
            </w:pPr>
            <w:r>
              <w:rPr>
                <w:rFonts w:ascii="Arial" w:cs="Arial" w:eastAsia="Arial" w:hAnsi="Arial"/>
                <w:sz w:val="17"/>
                <w:szCs w:val="17"/>
                <w:b w:val="1"/>
                <w:bCs w:val="1"/>
                <w:color w:val="auto"/>
              </w:rPr>
              <w:t>Item 1.</w:t>
            </w:r>
          </w:p>
        </w:tc>
        <w:tc>
          <w:tcPr>
            <w:tcW w:w="7240" w:type="dxa"/>
            <w:vAlign w:val="bottom"/>
            <w:gridSpan w:val="6"/>
            <w:shd w:val="clear" w:color="auto" w:fill="E2EEF6"/>
          </w:tcPr>
          <w:p>
            <w:pPr>
              <w:ind w:left="100"/>
              <w:spacing w:after="0"/>
              <w:rPr>
                <w:rFonts w:ascii="Arial" w:cs="Arial" w:eastAsia="Arial" w:hAnsi="Arial"/>
                <w:sz w:val="17"/>
                <w:szCs w:val="17"/>
                <w:color w:val="0000EE"/>
              </w:rPr>
            </w:pPr>
            <w:hyperlink w:anchor="page42">
              <w:r>
                <w:rPr>
                  <w:rFonts w:ascii="Arial" w:cs="Arial" w:eastAsia="Arial" w:hAnsi="Arial"/>
                  <w:sz w:val="17"/>
                  <w:szCs w:val="17"/>
                  <w:color w:val="0000EE"/>
                </w:rPr>
                <w:t>Legal Proceedings</w:t>
              </w:r>
            </w:hyperlink>
          </w:p>
        </w:tc>
        <w:tc>
          <w:tcPr>
            <w:tcW w:w="3100" w:type="dxa"/>
            <w:vAlign w:val="bottom"/>
            <w:shd w:val="clear" w:color="auto" w:fill="E2EEF6"/>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08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2360" w:type="dxa"/>
            <w:vAlign w:val="bottom"/>
            <w:tcBorders>
              <w:top w:val="single" w:sz="8" w:color="E2EEF6"/>
            </w:tcBorders>
          </w:tcPr>
          <w:p>
            <w:pPr>
              <w:spacing w:after="0"/>
              <w:rPr>
                <w:sz w:val="20"/>
                <w:szCs w:val="20"/>
                <w:color w:val="auto"/>
              </w:rPr>
            </w:pPr>
          </w:p>
        </w:tc>
        <w:tc>
          <w:tcPr>
            <w:tcW w:w="560" w:type="dxa"/>
            <w:vAlign w:val="bottom"/>
            <w:tcBorders>
              <w:top w:val="single" w:sz="8" w:color="E2EEF6"/>
            </w:tcBorders>
          </w:tcPr>
          <w:p>
            <w:pPr>
              <w:spacing w:after="0"/>
              <w:rPr>
                <w:sz w:val="20"/>
                <w:szCs w:val="20"/>
                <w:color w:val="auto"/>
              </w:rPr>
            </w:pPr>
          </w:p>
        </w:tc>
        <w:tc>
          <w:tcPr>
            <w:tcW w:w="2940" w:type="dxa"/>
            <w:vAlign w:val="bottom"/>
            <w:tcBorders>
              <w:top w:val="single" w:sz="8" w:color="E2EEF6"/>
            </w:tcBorders>
          </w:tcPr>
          <w:p>
            <w:pPr>
              <w:spacing w:after="0"/>
              <w:rPr>
                <w:sz w:val="20"/>
                <w:szCs w:val="20"/>
                <w:color w:val="auto"/>
              </w:rPr>
            </w:pPr>
          </w:p>
        </w:tc>
        <w:tc>
          <w:tcPr>
            <w:tcW w:w="3100" w:type="dxa"/>
            <w:vAlign w:val="bottom"/>
            <w:tcBorders>
              <w:top w:val="single" w:sz="8" w:color="E2EEF6"/>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E2EEF6"/>
          </w:tcPr>
          <w:p>
            <w:pPr>
              <w:ind w:left="480"/>
              <w:spacing w:after="0" w:line="170" w:lineRule="exact"/>
              <w:rPr>
                <w:sz w:val="20"/>
                <w:szCs w:val="20"/>
                <w:color w:val="auto"/>
              </w:rPr>
            </w:pPr>
            <w:r>
              <w:rPr>
                <w:rFonts w:ascii="Arial" w:cs="Arial" w:eastAsia="Arial" w:hAnsi="Arial"/>
                <w:sz w:val="17"/>
                <w:szCs w:val="17"/>
                <w:b w:val="1"/>
                <w:bCs w:val="1"/>
                <w:color w:val="auto"/>
              </w:rPr>
              <w:t>Item 2.</w:t>
            </w:r>
          </w:p>
        </w:tc>
        <w:tc>
          <w:tcPr>
            <w:tcW w:w="7240" w:type="dxa"/>
            <w:vAlign w:val="bottom"/>
            <w:gridSpan w:val="6"/>
            <w:shd w:val="clear" w:color="auto" w:fill="E2EEF6"/>
          </w:tcPr>
          <w:p>
            <w:pPr>
              <w:ind w:left="100"/>
              <w:spacing w:after="0" w:line="170" w:lineRule="exact"/>
              <w:rPr>
                <w:rFonts w:ascii="Arial" w:cs="Arial" w:eastAsia="Arial" w:hAnsi="Arial"/>
                <w:sz w:val="17"/>
                <w:szCs w:val="17"/>
                <w:color w:val="0000EE"/>
              </w:rPr>
            </w:pPr>
            <w:hyperlink w:anchor="page42">
              <w:r>
                <w:rPr>
                  <w:rFonts w:ascii="Arial" w:cs="Arial" w:eastAsia="Arial" w:hAnsi="Arial"/>
                  <w:sz w:val="17"/>
                  <w:szCs w:val="17"/>
                  <w:color w:val="0000EE"/>
                </w:rPr>
                <w:t>Unregistered Sales of Equity Securities and Use of Proceeds</w:t>
              </w:r>
            </w:hyperlink>
          </w:p>
        </w:tc>
        <w:tc>
          <w:tcPr>
            <w:tcW w:w="3100" w:type="dxa"/>
            <w:vAlign w:val="bottom"/>
            <w:shd w:val="clear" w:color="auto" w:fill="E2EEF6"/>
          </w:tcPr>
          <w:p>
            <w:pPr>
              <w:jc w:val="right"/>
              <w:spacing w:after="0" w:line="170" w:lineRule="exact"/>
              <w:rPr>
                <w:sz w:val="20"/>
                <w:szCs w:val="20"/>
                <w:color w:val="auto"/>
              </w:rPr>
            </w:pPr>
            <w:r>
              <w:rPr>
                <w:rFonts w:ascii="Arial" w:cs="Arial" w:eastAsia="Arial" w:hAnsi="Arial"/>
                <w:sz w:val="17"/>
                <w:szCs w:val="17"/>
                <w:color w:val="auto"/>
              </w:rPr>
              <w:t>40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08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236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2940" w:type="dxa"/>
            <w:vAlign w:val="bottom"/>
            <w:tcBorders>
              <w:top w:val="single" w:sz="8" w:color="E2EEF6"/>
            </w:tcBorders>
          </w:tcPr>
          <w:p>
            <w:pPr>
              <w:spacing w:after="0"/>
              <w:rPr>
                <w:sz w:val="20"/>
                <w:szCs w:val="20"/>
                <w:color w:val="auto"/>
              </w:rPr>
            </w:pPr>
          </w:p>
        </w:tc>
        <w:tc>
          <w:tcPr>
            <w:tcW w:w="3100" w:type="dxa"/>
            <w:vAlign w:val="bottom"/>
            <w:tcBorders>
              <w:top w:val="single" w:sz="8" w:color="E2EEF6"/>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E2EEF6"/>
          </w:tcPr>
          <w:p>
            <w:pPr>
              <w:ind w:left="480"/>
              <w:spacing w:after="0" w:line="170" w:lineRule="exact"/>
              <w:rPr>
                <w:sz w:val="20"/>
                <w:szCs w:val="20"/>
                <w:color w:val="auto"/>
              </w:rPr>
            </w:pPr>
            <w:r>
              <w:rPr>
                <w:rFonts w:ascii="Arial" w:cs="Arial" w:eastAsia="Arial" w:hAnsi="Arial"/>
                <w:sz w:val="17"/>
                <w:szCs w:val="17"/>
                <w:b w:val="1"/>
                <w:bCs w:val="1"/>
                <w:color w:val="auto"/>
              </w:rPr>
              <w:t>Item 4.</w:t>
            </w:r>
          </w:p>
        </w:tc>
        <w:tc>
          <w:tcPr>
            <w:tcW w:w="7240" w:type="dxa"/>
            <w:vAlign w:val="bottom"/>
            <w:gridSpan w:val="6"/>
            <w:shd w:val="clear" w:color="auto" w:fill="E2EEF6"/>
          </w:tcPr>
          <w:p>
            <w:pPr>
              <w:ind w:left="100"/>
              <w:spacing w:after="0" w:line="170" w:lineRule="exact"/>
              <w:rPr>
                <w:rFonts w:ascii="Arial" w:cs="Arial" w:eastAsia="Arial" w:hAnsi="Arial"/>
                <w:sz w:val="17"/>
                <w:szCs w:val="17"/>
                <w:color w:val="0000EE"/>
              </w:rPr>
            </w:pPr>
            <w:hyperlink w:anchor="page43">
              <w:r>
                <w:rPr>
                  <w:rFonts w:ascii="Arial" w:cs="Arial" w:eastAsia="Arial" w:hAnsi="Arial"/>
                  <w:sz w:val="17"/>
                  <w:szCs w:val="17"/>
                  <w:color w:val="0000EE"/>
                </w:rPr>
                <w:t>Submission of Matters to a Vote of Security Holders</w:t>
              </w:r>
            </w:hyperlink>
          </w:p>
        </w:tc>
        <w:tc>
          <w:tcPr>
            <w:tcW w:w="3100" w:type="dxa"/>
            <w:vAlign w:val="bottom"/>
            <w:shd w:val="clear" w:color="auto" w:fill="E2EEF6"/>
          </w:tcPr>
          <w:p>
            <w:pPr>
              <w:jc w:val="right"/>
              <w:spacing w:after="0" w:line="170" w:lineRule="exact"/>
              <w:rPr>
                <w:sz w:val="20"/>
                <w:szCs w:val="20"/>
                <w:color w:val="auto"/>
              </w:rPr>
            </w:pPr>
            <w:r>
              <w:rPr>
                <w:rFonts w:ascii="Arial" w:cs="Arial" w:eastAsia="Arial" w:hAnsi="Arial"/>
                <w:sz w:val="17"/>
                <w:szCs w:val="17"/>
                <w:color w:val="auto"/>
              </w:rPr>
              <w:t>41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080" w:type="dxa"/>
            <w:vAlign w:val="bottom"/>
            <w:tcBorders>
              <w:top w:val="single" w:sz="8" w:color="E2EEF6"/>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2360" w:type="dxa"/>
            <w:vAlign w:val="bottom"/>
            <w:tcBorders>
              <w:top w:val="single" w:sz="8" w:color="0000EE"/>
            </w:tcBorders>
          </w:tcPr>
          <w:p>
            <w:pPr>
              <w:spacing w:after="0"/>
              <w:rPr>
                <w:sz w:val="20"/>
                <w:szCs w:val="20"/>
                <w:color w:val="auto"/>
              </w:rPr>
            </w:pPr>
          </w:p>
        </w:tc>
        <w:tc>
          <w:tcPr>
            <w:tcW w:w="560" w:type="dxa"/>
            <w:vAlign w:val="bottom"/>
            <w:tcBorders>
              <w:top w:val="single" w:sz="8" w:color="E2EEF6"/>
            </w:tcBorders>
          </w:tcPr>
          <w:p>
            <w:pPr>
              <w:spacing w:after="0"/>
              <w:rPr>
                <w:sz w:val="20"/>
                <w:szCs w:val="20"/>
                <w:color w:val="auto"/>
              </w:rPr>
            </w:pPr>
          </w:p>
        </w:tc>
        <w:tc>
          <w:tcPr>
            <w:tcW w:w="2940" w:type="dxa"/>
            <w:vAlign w:val="bottom"/>
            <w:tcBorders>
              <w:top w:val="single" w:sz="8" w:color="E2EEF6"/>
            </w:tcBorders>
          </w:tcPr>
          <w:p>
            <w:pPr>
              <w:spacing w:after="0"/>
              <w:rPr>
                <w:sz w:val="20"/>
                <w:szCs w:val="20"/>
                <w:color w:val="auto"/>
              </w:rPr>
            </w:pPr>
          </w:p>
        </w:tc>
        <w:tc>
          <w:tcPr>
            <w:tcW w:w="3100" w:type="dxa"/>
            <w:vAlign w:val="bottom"/>
            <w:tcBorders>
              <w:top w:val="single" w:sz="8" w:color="E2EEF6"/>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E2EEF6"/>
          </w:tcPr>
          <w:p>
            <w:pPr>
              <w:ind w:left="480"/>
              <w:spacing w:after="0" w:line="170" w:lineRule="exact"/>
              <w:rPr>
                <w:sz w:val="20"/>
                <w:szCs w:val="20"/>
                <w:color w:val="auto"/>
              </w:rPr>
            </w:pPr>
            <w:r>
              <w:rPr>
                <w:rFonts w:ascii="Arial" w:cs="Arial" w:eastAsia="Arial" w:hAnsi="Arial"/>
                <w:sz w:val="17"/>
                <w:szCs w:val="17"/>
                <w:b w:val="1"/>
                <w:bCs w:val="1"/>
                <w:color w:val="auto"/>
              </w:rPr>
              <w:t>Item 6.</w:t>
            </w:r>
          </w:p>
        </w:tc>
        <w:tc>
          <w:tcPr>
            <w:tcW w:w="7240" w:type="dxa"/>
            <w:vAlign w:val="bottom"/>
            <w:gridSpan w:val="6"/>
            <w:shd w:val="clear" w:color="auto" w:fill="E2EEF6"/>
          </w:tcPr>
          <w:p>
            <w:pPr>
              <w:ind w:left="100"/>
              <w:spacing w:after="0" w:line="170" w:lineRule="exact"/>
              <w:rPr>
                <w:rFonts w:ascii="Arial" w:cs="Arial" w:eastAsia="Arial" w:hAnsi="Arial"/>
                <w:sz w:val="17"/>
                <w:szCs w:val="17"/>
                <w:color w:val="0000EE"/>
              </w:rPr>
            </w:pPr>
            <w:hyperlink w:anchor="page44">
              <w:r>
                <w:rPr>
                  <w:rFonts w:ascii="Arial" w:cs="Arial" w:eastAsia="Arial" w:hAnsi="Arial"/>
                  <w:sz w:val="17"/>
                  <w:szCs w:val="17"/>
                  <w:color w:val="0000EE"/>
                </w:rPr>
                <w:t>Exhibits</w:t>
              </w:r>
            </w:hyperlink>
          </w:p>
        </w:tc>
        <w:tc>
          <w:tcPr>
            <w:tcW w:w="3100" w:type="dxa"/>
            <w:vAlign w:val="bottom"/>
            <w:shd w:val="clear" w:color="auto" w:fill="E2EEF6"/>
          </w:tcPr>
          <w:p>
            <w:pPr>
              <w:jc w:val="right"/>
              <w:spacing w:after="0" w:line="170" w:lineRule="exact"/>
              <w:rPr>
                <w:sz w:val="20"/>
                <w:szCs w:val="20"/>
                <w:color w:val="auto"/>
              </w:rPr>
            </w:pPr>
            <w:r>
              <w:rPr>
                <w:rFonts w:ascii="Arial" w:cs="Arial" w:eastAsia="Arial" w:hAnsi="Arial"/>
                <w:sz w:val="17"/>
                <w:szCs w:val="17"/>
                <w:color w:val="auto"/>
              </w:rPr>
              <w:t>42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1080" w:type="dxa"/>
            <w:vAlign w:val="bottom"/>
            <w:tcBorders>
              <w:top w:val="single" w:sz="8" w:color="E2EEF6"/>
              <w:bottom w:val="single" w:sz="8" w:color="808080"/>
            </w:tcBorders>
          </w:tcPr>
          <w:p>
            <w:pPr>
              <w:spacing w:after="0"/>
              <w:rPr>
                <w:sz w:val="24"/>
                <w:szCs w:val="24"/>
                <w:color w:val="auto"/>
              </w:rPr>
            </w:pPr>
          </w:p>
        </w:tc>
        <w:tc>
          <w:tcPr>
            <w:tcW w:w="100" w:type="dxa"/>
            <w:vAlign w:val="bottom"/>
            <w:tcBorders>
              <w:top w:val="single" w:sz="8" w:color="E2EEF6"/>
              <w:bottom w:val="single" w:sz="8" w:color="808080"/>
            </w:tcBorders>
          </w:tcPr>
          <w:p>
            <w:pPr>
              <w:spacing w:after="0"/>
              <w:rPr>
                <w:sz w:val="24"/>
                <w:szCs w:val="24"/>
                <w:color w:val="auto"/>
              </w:rPr>
            </w:pPr>
          </w:p>
        </w:tc>
        <w:tc>
          <w:tcPr>
            <w:tcW w:w="580" w:type="dxa"/>
            <w:vAlign w:val="bottom"/>
            <w:tcBorders>
              <w:top w:val="single" w:sz="8" w:color="0000EE"/>
              <w:bottom w:val="single" w:sz="8" w:color="808080"/>
            </w:tcBorders>
          </w:tcPr>
          <w:p>
            <w:pPr>
              <w:spacing w:after="0"/>
              <w:rPr>
                <w:sz w:val="24"/>
                <w:szCs w:val="24"/>
                <w:color w:val="auto"/>
              </w:rPr>
            </w:pPr>
          </w:p>
        </w:tc>
        <w:tc>
          <w:tcPr>
            <w:tcW w:w="700" w:type="dxa"/>
            <w:vAlign w:val="bottom"/>
            <w:tcBorders>
              <w:top w:val="single" w:sz="8" w:color="E2EEF6"/>
              <w:bottom w:val="single" w:sz="8" w:color="808080"/>
            </w:tcBorders>
          </w:tcPr>
          <w:p>
            <w:pPr>
              <w:spacing w:after="0"/>
              <w:rPr>
                <w:sz w:val="24"/>
                <w:szCs w:val="24"/>
                <w:color w:val="auto"/>
              </w:rPr>
            </w:pPr>
          </w:p>
        </w:tc>
        <w:tc>
          <w:tcPr>
            <w:tcW w:w="2360" w:type="dxa"/>
            <w:vAlign w:val="bottom"/>
            <w:tcBorders>
              <w:top w:val="single" w:sz="8" w:color="E2EEF6"/>
              <w:bottom w:val="single" w:sz="8" w:color="808080"/>
            </w:tcBorders>
          </w:tcPr>
          <w:p>
            <w:pPr>
              <w:spacing w:after="0"/>
              <w:rPr>
                <w:sz w:val="24"/>
                <w:szCs w:val="24"/>
                <w:color w:val="auto"/>
              </w:rPr>
            </w:pPr>
          </w:p>
        </w:tc>
        <w:tc>
          <w:tcPr>
            <w:tcW w:w="560" w:type="dxa"/>
            <w:vAlign w:val="bottom"/>
            <w:tcBorders>
              <w:top w:val="single" w:sz="8" w:color="E2EEF6"/>
              <w:bottom w:val="single" w:sz="8" w:color="808080"/>
            </w:tcBorders>
          </w:tcPr>
          <w:p>
            <w:pPr>
              <w:spacing w:after="0"/>
              <w:rPr>
                <w:sz w:val="24"/>
                <w:szCs w:val="24"/>
                <w:color w:val="auto"/>
              </w:rPr>
            </w:pPr>
          </w:p>
        </w:tc>
        <w:tc>
          <w:tcPr>
            <w:tcW w:w="2940" w:type="dxa"/>
            <w:vAlign w:val="bottom"/>
            <w:tcBorders>
              <w:top w:val="single" w:sz="8" w:color="E2EEF6"/>
              <w:bottom w:val="single" w:sz="8" w:color="808080"/>
            </w:tcBorders>
          </w:tcPr>
          <w:p>
            <w:pPr>
              <w:spacing w:after="0"/>
              <w:rPr>
                <w:sz w:val="24"/>
                <w:szCs w:val="24"/>
                <w:color w:val="auto"/>
              </w:rPr>
            </w:pPr>
          </w:p>
        </w:tc>
        <w:tc>
          <w:tcPr>
            <w:tcW w:w="3100" w:type="dxa"/>
            <w:vAlign w:val="bottom"/>
            <w:tcBorders>
              <w:top w:val="single" w:sz="8" w:color="E2EEF6"/>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TRANSOCEAN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 except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6"/>
          </w:tcPr>
          <w:p>
            <w:pPr>
              <w:jc w:val="right"/>
              <w:ind w:right="680"/>
              <w:spacing w:after="0"/>
              <w:rPr>
                <w:sz w:val="20"/>
                <w:szCs w:val="20"/>
                <w:color w:val="auto"/>
              </w:rPr>
            </w:pPr>
            <w:r>
              <w:rPr>
                <w:rFonts w:ascii="Arial" w:cs="Arial" w:eastAsia="Arial" w:hAnsi="Arial"/>
                <w:sz w:val="17"/>
                <w:szCs w:val="17"/>
                <w:color w:val="auto"/>
                <w:w w:val="98"/>
              </w:rPr>
              <w:t>Three Months Ended June 30,</w:t>
            </w:r>
          </w:p>
        </w:tc>
        <w:tc>
          <w:tcPr>
            <w:tcW w:w="300" w:type="dxa"/>
            <w:vAlign w:val="bottom"/>
          </w:tcPr>
          <w:p>
            <w:pPr>
              <w:spacing w:after="0"/>
              <w:rPr>
                <w:sz w:val="19"/>
                <w:szCs w:val="19"/>
                <w:color w:val="auto"/>
              </w:rPr>
            </w:pPr>
          </w:p>
        </w:tc>
        <w:tc>
          <w:tcPr>
            <w:tcW w:w="2740" w:type="dxa"/>
            <w:vAlign w:val="bottom"/>
            <w:gridSpan w:val="6"/>
          </w:tcPr>
          <w:p>
            <w:pPr>
              <w:jc w:val="right"/>
              <w:ind w:right="620"/>
              <w:spacing w:after="0"/>
              <w:rPr>
                <w:sz w:val="20"/>
                <w:szCs w:val="20"/>
                <w:color w:val="auto"/>
              </w:rPr>
            </w:pPr>
            <w:r>
              <w:rPr>
                <w:rFonts w:ascii="Arial" w:cs="Arial" w:eastAsia="Arial" w:hAnsi="Arial"/>
                <w:sz w:val="17"/>
                <w:szCs w:val="17"/>
                <w:color w:val="auto"/>
              </w:rPr>
              <w:t>Six Months Ended June 30,</w:t>
            </w:r>
          </w:p>
        </w:tc>
      </w:tr>
      <w:tr>
        <w:trPr>
          <w:trHeight w:val="229"/>
        </w:trPr>
        <w:tc>
          <w:tcPr>
            <w:tcW w:w="5160" w:type="dxa"/>
            <w:vAlign w:val="bottom"/>
          </w:tcPr>
          <w:p>
            <w:pPr>
              <w:spacing w:after="0"/>
              <w:rPr>
                <w:sz w:val="20"/>
                <w:szCs w:val="20"/>
                <w:color w:val="auto"/>
              </w:rPr>
            </w:pPr>
            <w:r>
              <w:rPr>
                <w:rFonts w:ascii="Arial" w:cs="Arial" w:eastAsia="Arial" w:hAnsi="Arial"/>
                <w:sz w:val="17"/>
                <w:szCs w:val="17"/>
                <w:color w:val="FFFFFF"/>
              </w:rPr>
              <w:t>&lt;B&gt;</w:t>
            </w: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7"/>
                <w:szCs w:val="17"/>
                <w:color w:val="auto"/>
              </w:rPr>
              <w:t>2005</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7"/>
                <w:szCs w:val="17"/>
                <w:color w:val="auto"/>
              </w:rPr>
              <w:t>2004</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7"/>
                <w:szCs w:val="17"/>
                <w:color w:val="auto"/>
              </w:rPr>
              <w:t>2005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7"/>
                <w:szCs w:val="17"/>
                <w:color w:val="auto"/>
              </w:rPr>
              <w:t>2004</w:t>
            </w:r>
          </w:p>
        </w:tc>
        <w:tc>
          <w:tcPr>
            <w:tcW w:w="100" w:type="dxa"/>
            <w:vAlign w:val="bottom"/>
            <w:tcBorders>
              <w:top w:val="single" w:sz="8" w:color="auto"/>
            </w:tcBorders>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7"/>
                <w:szCs w:val="17"/>
                <w:color w:val="auto"/>
              </w:rPr>
              <w:t>Operating Revenues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5160" w:type="dxa"/>
            <w:vAlign w:val="bottom"/>
            <w:shd w:val="clear" w:color="auto" w:fill="E2EEF6"/>
          </w:tcPr>
          <w:p>
            <w:pPr>
              <w:ind w:left="160"/>
              <w:spacing w:after="0"/>
              <w:rPr>
                <w:sz w:val="20"/>
                <w:szCs w:val="20"/>
                <w:color w:val="auto"/>
              </w:rPr>
            </w:pPr>
            <w:r>
              <w:rPr>
                <w:rFonts w:ascii="Arial" w:cs="Arial" w:eastAsia="Arial" w:hAnsi="Arial"/>
                <w:sz w:val="17"/>
                <w:szCs w:val="17"/>
                <w:color w:val="auto"/>
              </w:rPr>
              <w:t>Contract drilling revenues</w:t>
            </w:r>
          </w:p>
        </w:tc>
        <w:tc>
          <w:tcPr>
            <w:tcW w:w="260" w:type="dxa"/>
            <w:vAlign w:val="bottom"/>
            <w:shd w:val="clear" w:color="auto" w:fill="E2EEF6"/>
          </w:tcPr>
          <w:p>
            <w:pPr>
              <w:jc w:val="right"/>
              <w:ind w:right="10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682.1</w:t>
            </w:r>
          </w:p>
        </w:tc>
        <w:tc>
          <w:tcPr>
            <w:tcW w:w="38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584.9</w:t>
            </w:r>
          </w:p>
        </w:tc>
        <w:tc>
          <w:tcPr>
            <w:tcW w:w="300" w:type="dxa"/>
            <w:vAlign w:val="bottom"/>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1,282.7</w:t>
            </w:r>
          </w:p>
        </w:tc>
        <w:tc>
          <w:tcPr>
            <w:tcW w:w="140" w:type="dxa"/>
            <w:vAlign w:val="bottom"/>
            <w:shd w:val="clear" w:color="auto" w:fill="E2EEF6"/>
          </w:tcPr>
          <w:p>
            <w:pPr>
              <w:spacing w:after="0"/>
              <w:rPr>
                <w:sz w:val="20"/>
                <w:szCs w:val="20"/>
                <w:color w:val="auto"/>
              </w:rPr>
            </w:pPr>
          </w:p>
        </w:tc>
        <w:tc>
          <w:tcPr>
            <w:tcW w:w="38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1,182.4</w:t>
            </w:r>
          </w:p>
        </w:tc>
      </w:tr>
      <w:tr>
        <w:trPr>
          <w:trHeight w:val="235"/>
        </w:trPr>
        <w:tc>
          <w:tcPr>
            <w:tcW w:w="51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Other revenues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45.3</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48.3</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75.2</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102.8</w:t>
            </w:r>
          </w:p>
        </w:tc>
      </w:tr>
      <w:tr>
        <w:trPr>
          <w:trHeight w:val="229"/>
        </w:trPr>
        <w:tc>
          <w:tcPr>
            <w:tcW w:w="5160" w:type="dxa"/>
            <w:vAlign w:val="bottom"/>
            <w:tcBorders>
              <w:bottom w:val="single" w:sz="8" w:color="auto"/>
            </w:tcBorders>
            <w:shd w:val="clear" w:color="auto" w:fill="E2EEF6"/>
          </w:tcPr>
          <w:p>
            <w:pPr>
              <w:spacing w:after="0"/>
              <w:rPr>
                <w:sz w:val="19"/>
                <w:szCs w:val="19"/>
                <w:color w:val="auto"/>
              </w:rPr>
            </w:pPr>
          </w:p>
        </w:tc>
        <w:tc>
          <w:tcPr>
            <w:tcW w:w="260" w:type="dxa"/>
            <w:vAlign w:val="bottom"/>
            <w:tcBorders>
              <w:bottom w:val="single" w:sz="8" w:color="auto"/>
            </w:tcBorders>
            <w:shd w:val="clear" w:color="auto" w:fill="E2EEF6"/>
          </w:tcPr>
          <w:p>
            <w:pPr>
              <w:spacing w:after="0"/>
              <w:rPr>
                <w:sz w:val="19"/>
                <w:szCs w:val="19"/>
                <w:color w:val="auto"/>
              </w:rPr>
            </w:pPr>
          </w:p>
        </w:tc>
        <w:tc>
          <w:tcPr>
            <w:tcW w:w="128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727.4</w:t>
            </w:r>
          </w:p>
        </w:tc>
        <w:tc>
          <w:tcPr>
            <w:tcW w:w="80" w:type="dxa"/>
            <w:vAlign w:val="bottom"/>
            <w:tcBorders>
              <w:bottom w:val="single" w:sz="8" w:color="auto"/>
            </w:tcBorders>
            <w:shd w:val="clear" w:color="auto" w:fill="E2EEF6"/>
          </w:tcPr>
          <w:p>
            <w:pPr>
              <w:spacing w:after="0"/>
              <w:rPr>
                <w:sz w:val="19"/>
                <w:szCs w:val="19"/>
                <w:color w:val="auto"/>
              </w:rPr>
            </w:pPr>
          </w:p>
        </w:tc>
        <w:tc>
          <w:tcPr>
            <w:tcW w:w="300" w:type="dxa"/>
            <w:vAlign w:val="bottom"/>
            <w:tcBorders>
              <w:bottom w:val="single" w:sz="8" w:color="auto"/>
            </w:tcBorders>
            <w:shd w:val="clear" w:color="auto" w:fill="E2EEF6"/>
          </w:tcPr>
          <w:p>
            <w:pPr>
              <w:spacing w:after="0"/>
              <w:rPr>
                <w:sz w:val="19"/>
                <w:szCs w:val="19"/>
                <w:color w:val="auto"/>
              </w:rPr>
            </w:pPr>
          </w:p>
        </w:tc>
        <w:tc>
          <w:tcPr>
            <w:tcW w:w="130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633.2</w:t>
            </w:r>
          </w:p>
        </w:tc>
        <w:tc>
          <w:tcPr>
            <w:tcW w:w="300" w:type="dxa"/>
            <w:vAlign w:val="bottom"/>
            <w:tcBorders>
              <w:bottom w:val="single" w:sz="8" w:color="auto"/>
            </w:tcBorders>
            <w:shd w:val="clear" w:color="auto" w:fill="E2EEF6"/>
          </w:tcPr>
          <w:p>
            <w:pPr>
              <w:spacing w:after="0"/>
              <w:rPr>
                <w:sz w:val="19"/>
                <w:szCs w:val="19"/>
                <w:color w:val="auto"/>
              </w:rPr>
            </w:pPr>
          </w:p>
        </w:tc>
        <w:tc>
          <w:tcPr>
            <w:tcW w:w="10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7"/>
                <w:szCs w:val="17"/>
                <w:color w:val="auto"/>
              </w:rPr>
              <w:t>1,357.9</w:t>
            </w:r>
          </w:p>
        </w:tc>
        <w:tc>
          <w:tcPr>
            <w:tcW w:w="140" w:type="dxa"/>
            <w:vAlign w:val="bottom"/>
            <w:tcBorders>
              <w:bottom w:val="single" w:sz="8" w:color="auto"/>
            </w:tcBorders>
            <w:shd w:val="clear" w:color="auto" w:fill="E2EEF6"/>
          </w:tcPr>
          <w:p>
            <w:pPr>
              <w:spacing w:after="0"/>
              <w:rPr>
                <w:sz w:val="19"/>
                <w:szCs w:val="19"/>
                <w:color w:val="auto"/>
              </w:rPr>
            </w:pPr>
          </w:p>
        </w:tc>
        <w:tc>
          <w:tcPr>
            <w:tcW w:w="80" w:type="dxa"/>
            <w:vAlign w:val="bottom"/>
            <w:tcBorders>
              <w:bottom w:val="single" w:sz="8" w:color="auto"/>
            </w:tcBorders>
            <w:shd w:val="clear" w:color="auto" w:fill="E2EEF6"/>
          </w:tcPr>
          <w:p>
            <w:pPr>
              <w:spacing w:after="0"/>
              <w:rPr>
                <w:sz w:val="19"/>
                <w:szCs w:val="19"/>
                <w:color w:val="auto"/>
              </w:rPr>
            </w:pPr>
          </w:p>
        </w:tc>
        <w:tc>
          <w:tcPr>
            <w:tcW w:w="300" w:type="dxa"/>
            <w:vAlign w:val="bottom"/>
            <w:tcBorders>
              <w:bottom w:val="single" w:sz="8" w:color="auto"/>
            </w:tcBorders>
            <w:shd w:val="clear" w:color="auto" w:fill="E2EEF6"/>
          </w:tcPr>
          <w:p>
            <w:pPr>
              <w:spacing w:after="0"/>
              <w:rPr>
                <w:sz w:val="19"/>
                <w:szCs w:val="19"/>
                <w:color w:val="auto"/>
              </w:rPr>
            </w:pPr>
          </w:p>
        </w:tc>
        <w:tc>
          <w:tcPr>
            <w:tcW w:w="116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1,285.2</w:t>
            </w:r>
          </w:p>
        </w:tc>
      </w:tr>
      <w:tr>
        <w:trPr>
          <w:trHeight w:val="229"/>
        </w:trPr>
        <w:tc>
          <w:tcPr>
            <w:tcW w:w="5160" w:type="dxa"/>
            <w:vAlign w:val="bottom"/>
          </w:tcPr>
          <w:p>
            <w:pPr>
              <w:spacing w:after="0"/>
              <w:rPr>
                <w:sz w:val="20"/>
                <w:szCs w:val="20"/>
                <w:color w:val="auto"/>
              </w:rPr>
            </w:pPr>
            <w:r>
              <w:rPr>
                <w:rFonts w:ascii="Arial" w:cs="Arial" w:eastAsia="Arial" w:hAnsi="Arial"/>
                <w:sz w:val="17"/>
                <w:szCs w:val="17"/>
                <w:color w:val="auto"/>
              </w:rPr>
              <w:t>Costs and Expenses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5160" w:type="dxa"/>
            <w:vAlign w:val="bottom"/>
            <w:shd w:val="clear" w:color="auto" w:fill="E2EEF6"/>
          </w:tcPr>
          <w:p>
            <w:pPr>
              <w:ind w:left="160"/>
              <w:spacing w:after="0"/>
              <w:rPr>
                <w:sz w:val="20"/>
                <w:szCs w:val="20"/>
                <w:color w:val="auto"/>
              </w:rPr>
            </w:pPr>
            <w:r>
              <w:rPr>
                <w:rFonts w:ascii="Arial" w:cs="Arial" w:eastAsia="Arial" w:hAnsi="Arial"/>
                <w:sz w:val="17"/>
                <w:szCs w:val="17"/>
                <w:color w:val="auto"/>
              </w:rPr>
              <w:t>Operating and maintenance</w:t>
            </w:r>
          </w:p>
        </w:tc>
        <w:tc>
          <w:tcPr>
            <w:tcW w:w="26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438.9</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30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406.2</w:t>
            </w:r>
          </w:p>
        </w:tc>
        <w:tc>
          <w:tcPr>
            <w:tcW w:w="30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827.5</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818.6</w:t>
            </w:r>
          </w:p>
        </w:tc>
      </w:tr>
      <w:tr>
        <w:trPr>
          <w:trHeight w:val="235"/>
        </w:trPr>
        <w:tc>
          <w:tcPr>
            <w:tcW w:w="5160" w:type="dxa"/>
            <w:vAlign w:val="bottom"/>
          </w:tcPr>
          <w:p>
            <w:pPr>
              <w:ind w:left="160"/>
              <w:spacing w:after="0"/>
              <w:rPr>
                <w:sz w:val="20"/>
                <w:szCs w:val="20"/>
                <w:color w:val="auto"/>
              </w:rPr>
            </w:pPr>
            <w:r>
              <w:rPr>
                <w:rFonts w:ascii="Arial" w:cs="Arial" w:eastAsia="Arial" w:hAnsi="Arial"/>
                <w:sz w:val="17"/>
                <w:szCs w:val="17"/>
                <w:color w:val="auto"/>
              </w:rPr>
              <w:t>Depreciation</w:t>
            </w:r>
          </w:p>
        </w:tc>
        <w:tc>
          <w:tcPr>
            <w:tcW w:w="2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101.2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133.0</w:t>
            </w:r>
          </w:p>
        </w:tc>
        <w:tc>
          <w:tcPr>
            <w:tcW w:w="3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264.5</w:t>
            </w:r>
          </w:p>
        </w:tc>
      </w:tr>
      <w:tr>
        <w:trPr>
          <w:trHeight w:val="235"/>
        </w:trPr>
        <w:tc>
          <w:tcPr>
            <w:tcW w:w="5160" w:type="dxa"/>
            <w:vAlign w:val="bottom"/>
            <w:tcBorders>
              <w:bottom w:val="single" w:sz="8" w:color="auto"/>
            </w:tcBorders>
            <w:shd w:val="clear" w:color="auto" w:fill="E2EEF6"/>
          </w:tcPr>
          <w:p>
            <w:pPr>
              <w:ind w:left="160"/>
              <w:spacing w:after="0"/>
              <w:rPr>
                <w:sz w:val="20"/>
                <w:szCs w:val="20"/>
                <w:color w:val="auto"/>
              </w:rPr>
            </w:pPr>
            <w:r>
              <w:rPr>
                <w:rFonts w:ascii="Arial" w:cs="Arial" w:eastAsia="Arial" w:hAnsi="Arial"/>
                <w:sz w:val="17"/>
                <w:szCs w:val="17"/>
                <w:color w:val="auto"/>
              </w:rPr>
              <w:t>General and administrative</w:t>
            </w:r>
          </w:p>
        </w:tc>
        <w:tc>
          <w:tcPr>
            <w:tcW w:w="260" w:type="dxa"/>
            <w:vAlign w:val="bottom"/>
            <w:tcBorders>
              <w:bottom w:val="single" w:sz="8" w:color="auto"/>
            </w:tcBorders>
            <w:shd w:val="clear" w:color="auto" w:fill="E2EEF6"/>
          </w:tcPr>
          <w:p>
            <w:pPr>
              <w:spacing w:after="0"/>
              <w:rPr>
                <w:sz w:val="20"/>
                <w:szCs w:val="20"/>
                <w:color w:val="auto"/>
              </w:rPr>
            </w:pPr>
          </w:p>
        </w:tc>
        <w:tc>
          <w:tcPr>
            <w:tcW w:w="128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18.0</w:t>
            </w:r>
          </w:p>
        </w:tc>
        <w:tc>
          <w:tcPr>
            <w:tcW w:w="80" w:type="dxa"/>
            <w:vAlign w:val="bottom"/>
            <w:tcBorders>
              <w:bottom w:val="single" w:sz="8" w:color="auto"/>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30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14.0</w:t>
            </w:r>
          </w:p>
        </w:tc>
        <w:tc>
          <w:tcPr>
            <w:tcW w:w="300" w:type="dxa"/>
            <w:vAlign w:val="bottom"/>
            <w:tcBorders>
              <w:bottom w:val="single" w:sz="8" w:color="auto"/>
            </w:tcBorders>
            <w:shd w:val="clear" w:color="auto" w:fill="E2EEF6"/>
          </w:tcPr>
          <w:p>
            <w:pPr>
              <w:spacing w:after="0"/>
              <w:rPr>
                <w:sz w:val="20"/>
                <w:szCs w:val="20"/>
                <w:color w:val="auto"/>
              </w:rPr>
            </w:pPr>
          </w:p>
        </w:tc>
        <w:tc>
          <w:tcPr>
            <w:tcW w:w="12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36.1</w:t>
            </w:r>
          </w:p>
        </w:tc>
        <w:tc>
          <w:tcPr>
            <w:tcW w:w="80" w:type="dxa"/>
            <w:vAlign w:val="bottom"/>
            <w:tcBorders>
              <w:bottom w:val="single" w:sz="8" w:color="auto"/>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16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29.1</w:t>
            </w:r>
          </w:p>
        </w:tc>
      </w:tr>
      <w:tr>
        <w:trPr>
          <w:trHeight w:val="229"/>
        </w:trPr>
        <w:tc>
          <w:tcPr>
            <w:tcW w:w="5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558.1</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553.2</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1,065.5</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1,112.2</w:t>
            </w:r>
          </w:p>
        </w:tc>
      </w:tr>
      <w:tr>
        <w:trPr>
          <w:trHeight w:val="229"/>
        </w:trPr>
        <w:tc>
          <w:tcPr>
            <w:tcW w:w="516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7"/>
                <w:szCs w:val="17"/>
                <w:color w:val="auto"/>
              </w:rPr>
              <w:t>Gain from sale of assets, net</w:t>
            </w:r>
          </w:p>
        </w:tc>
        <w:tc>
          <w:tcPr>
            <w:tcW w:w="260" w:type="dxa"/>
            <w:vAlign w:val="bottom"/>
            <w:tcBorders>
              <w:bottom w:val="single" w:sz="8" w:color="auto"/>
            </w:tcBorders>
            <w:shd w:val="clear" w:color="auto" w:fill="E2EEF6"/>
          </w:tcPr>
          <w:p>
            <w:pPr>
              <w:spacing w:after="0"/>
              <w:rPr>
                <w:sz w:val="19"/>
                <w:szCs w:val="19"/>
                <w:color w:val="auto"/>
              </w:rPr>
            </w:pPr>
          </w:p>
        </w:tc>
        <w:tc>
          <w:tcPr>
            <w:tcW w:w="128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15.5</w:t>
            </w:r>
          </w:p>
        </w:tc>
        <w:tc>
          <w:tcPr>
            <w:tcW w:w="80" w:type="dxa"/>
            <w:vAlign w:val="bottom"/>
            <w:tcBorders>
              <w:bottom w:val="single" w:sz="8" w:color="auto"/>
            </w:tcBorders>
            <w:shd w:val="clear" w:color="auto" w:fill="E2EEF6"/>
          </w:tcPr>
          <w:p>
            <w:pPr>
              <w:spacing w:after="0"/>
              <w:rPr>
                <w:sz w:val="19"/>
                <w:szCs w:val="19"/>
                <w:color w:val="auto"/>
              </w:rPr>
            </w:pPr>
          </w:p>
        </w:tc>
        <w:tc>
          <w:tcPr>
            <w:tcW w:w="300" w:type="dxa"/>
            <w:vAlign w:val="bottom"/>
            <w:tcBorders>
              <w:bottom w:val="single" w:sz="8" w:color="auto"/>
            </w:tcBorders>
            <w:shd w:val="clear" w:color="auto" w:fill="E2EEF6"/>
          </w:tcPr>
          <w:p>
            <w:pPr>
              <w:spacing w:after="0"/>
              <w:rPr>
                <w:sz w:val="19"/>
                <w:szCs w:val="19"/>
                <w:color w:val="auto"/>
              </w:rPr>
            </w:pPr>
          </w:p>
        </w:tc>
        <w:tc>
          <w:tcPr>
            <w:tcW w:w="130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23.8</w:t>
            </w:r>
          </w:p>
        </w:tc>
        <w:tc>
          <w:tcPr>
            <w:tcW w:w="300" w:type="dxa"/>
            <w:vAlign w:val="bottom"/>
            <w:tcBorders>
              <w:bottom w:val="single" w:sz="8" w:color="auto"/>
            </w:tcBorders>
            <w:shd w:val="clear" w:color="auto" w:fill="E2EEF6"/>
          </w:tcPr>
          <w:p>
            <w:pPr>
              <w:spacing w:after="0"/>
              <w:rPr>
                <w:sz w:val="19"/>
                <w:szCs w:val="19"/>
                <w:color w:val="auto"/>
              </w:rPr>
            </w:pPr>
          </w:p>
        </w:tc>
        <w:tc>
          <w:tcPr>
            <w:tcW w:w="12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35.7</w:t>
            </w:r>
          </w:p>
        </w:tc>
        <w:tc>
          <w:tcPr>
            <w:tcW w:w="80" w:type="dxa"/>
            <w:vAlign w:val="bottom"/>
            <w:tcBorders>
              <w:bottom w:val="single" w:sz="8" w:color="auto"/>
            </w:tcBorders>
            <w:shd w:val="clear" w:color="auto" w:fill="E2EEF6"/>
          </w:tcPr>
          <w:p>
            <w:pPr>
              <w:spacing w:after="0"/>
              <w:rPr>
                <w:sz w:val="19"/>
                <w:szCs w:val="19"/>
                <w:color w:val="auto"/>
              </w:rPr>
            </w:pPr>
          </w:p>
        </w:tc>
        <w:tc>
          <w:tcPr>
            <w:tcW w:w="300" w:type="dxa"/>
            <w:vAlign w:val="bottom"/>
            <w:tcBorders>
              <w:bottom w:val="single" w:sz="8" w:color="auto"/>
            </w:tcBorders>
            <w:shd w:val="clear" w:color="auto" w:fill="E2EEF6"/>
          </w:tcPr>
          <w:p>
            <w:pPr>
              <w:spacing w:after="0"/>
              <w:rPr>
                <w:sz w:val="19"/>
                <w:szCs w:val="19"/>
                <w:color w:val="auto"/>
              </w:rPr>
            </w:pPr>
          </w:p>
        </w:tc>
        <w:tc>
          <w:tcPr>
            <w:tcW w:w="116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27.6</w:t>
            </w:r>
          </w:p>
        </w:tc>
      </w:tr>
      <w:tr>
        <w:trPr>
          <w:trHeight w:val="229"/>
        </w:trPr>
        <w:tc>
          <w:tcPr>
            <w:tcW w:w="5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Operating Income</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184.8</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103.8</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328.1</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200.6</w:t>
            </w:r>
          </w:p>
        </w:tc>
      </w:tr>
      <w:tr>
        <w:trPr>
          <w:trHeight w:val="229"/>
        </w:trPr>
        <w:tc>
          <w:tcPr>
            <w:tcW w:w="5160" w:type="dxa"/>
            <w:vAlign w:val="bottom"/>
            <w:shd w:val="clear" w:color="auto" w:fill="E2EEF6"/>
          </w:tcPr>
          <w:p>
            <w:pPr>
              <w:spacing w:after="0"/>
              <w:rPr>
                <w:sz w:val="19"/>
                <w:szCs w:val="19"/>
                <w:color w:val="auto"/>
              </w:rPr>
            </w:pPr>
          </w:p>
        </w:tc>
        <w:tc>
          <w:tcPr>
            <w:tcW w:w="260" w:type="dxa"/>
            <w:vAlign w:val="bottom"/>
            <w:shd w:val="clear" w:color="auto" w:fill="E2EEF6"/>
          </w:tcPr>
          <w:p>
            <w:pPr>
              <w:spacing w:after="0"/>
              <w:rPr>
                <w:sz w:val="19"/>
                <w:szCs w:val="19"/>
                <w:color w:val="auto"/>
              </w:rPr>
            </w:pPr>
          </w:p>
        </w:tc>
        <w:tc>
          <w:tcPr>
            <w:tcW w:w="112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08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06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06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r>
      <w:tr>
        <w:trPr>
          <w:trHeight w:val="235"/>
        </w:trPr>
        <w:tc>
          <w:tcPr>
            <w:tcW w:w="516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160" w:type="dxa"/>
            <w:vAlign w:val="bottom"/>
            <w:shd w:val="clear" w:color="auto" w:fill="E2EEF6"/>
          </w:tcPr>
          <w:p>
            <w:pPr>
              <w:ind w:left="160"/>
              <w:spacing w:after="0"/>
              <w:rPr>
                <w:sz w:val="20"/>
                <w:szCs w:val="20"/>
                <w:color w:val="auto"/>
              </w:rPr>
            </w:pPr>
            <w:r>
              <w:rPr>
                <w:rFonts w:ascii="Arial" w:cs="Arial" w:eastAsia="Arial" w:hAnsi="Arial"/>
                <w:sz w:val="17"/>
                <w:szCs w:val="17"/>
                <w:color w:val="auto"/>
              </w:rPr>
              <w:t>Equity in earnings of unconsolidated affiliates</w:t>
            </w:r>
          </w:p>
        </w:tc>
        <w:tc>
          <w:tcPr>
            <w:tcW w:w="26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3.4</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30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3.7</w:t>
            </w:r>
          </w:p>
        </w:tc>
        <w:tc>
          <w:tcPr>
            <w:tcW w:w="30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6.5</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6.0</w:t>
            </w:r>
          </w:p>
        </w:tc>
      </w:tr>
      <w:tr>
        <w:trPr>
          <w:trHeight w:val="235"/>
        </w:trPr>
        <w:tc>
          <w:tcPr>
            <w:tcW w:w="5160" w:type="dxa"/>
            <w:vAlign w:val="bottom"/>
          </w:tcPr>
          <w:p>
            <w:pPr>
              <w:ind w:left="160"/>
              <w:spacing w:after="0"/>
              <w:rPr>
                <w:sz w:val="20"/>
                <w:szCs w:val="20"/>
                <w:color w:val="auto"/>
              </w:rPr>
            </w:pPr>
            <w:r>
              <w:rPr>
                <w:rFonts w:ascii="Arial" w:cs="Arial" w:eastAsia="Arial" w:hAnsi="Arial"/>
                <w:sz w:val="17"/>
                <w:szCs w:val="17"/>
                <w:color w:val="auto"/>
              </w:rPr>
              <w:t>Interest income</w:t>
            </w:r>
          </w:p>
        </w:tc>
        <w:tc>
          <w:tcPr>
            <w:tcW w:w="2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1.9</w:t>
            </w:r>
          </w:p>
        </w:tc>
        <w:tc>
          <w:tcPr>
            <w:tcW w:w="3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8.8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4.0</w:t>
            </w:r>
          </w:p>
        </w:tc>
      </w:tr>
      <w:tr>
        <w:trPr>
          <w:trHeight w:val="236"/>
        </w:trPr>
        <w:tc>
          <w:tcPr>
            <w:tcW w:w="5160" w:type="dxa"/>
            <w:vAlign w:val="bottom"/>
            <w:shd w:val="clear" w:color="auto" w:fill="E2EEF6"/>
          </w:tcPr>
          <w:p>
            <w:pPr>
              <w:ind w:left="160"/>
              <w:spacing w:after="0"/>
              <w:rPr>
                <w:sz w:val="20"/>
                <w:szCs w:val="20"/>
                <w:color w:val="auto"/>
              </w:rPr>
            </w:pPr>
            <w:r>
              <w:rPr>
                <w:rFonts w:ascii="Arial" w:cs="Arial" w:eastAsia="Arial" w:hAnsi="Arial"/>
                <w:sz w:val="17"/>
                <w:szCs w:val="17"/>
                <w:color w:val="auto"/>
              </w:rPr>
              <w:t>Interest expense</w:t>
            </w:r>
          </w:p>
        </w:tc>
        <w:tc>
          <w:tcPr>
            <w:tcW w:w="26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(29.8)</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30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(42.6)</w:t>
            </w:r>
          </w:p>
        </w:tc>
        <w:tc>
          <w:tcPr>
            <w:tcW w:w="30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80"/>
              <w:spacing w:after="0"/>
              <w:rPr>
                <w:sz w:val="20"/>
                <w:szCs w:val="20"/>
                <w:color w:val="auto"/>
              </w:rPr>
            </w:pPr>
            <w:r>
              <w:rPr>
                <w:rFonts w:ascii="Arial" w:cs="Arial" w:eastAsia="Arial" w:hAnsi="Arial"/>
                <w:sz w:val="17"/>
                <w:szCs w:val="17"/>
                <w:color w:val="auto"/>
              </w:rPr>
              <w:t>(62.9)</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40"/>
              <w:spacing w:after="0"/>
              <w:rPr>
                <w:sz w:val="20"/>
                <w:szCs w:val="20"/>
                <w:color w:val="auto"/>
              </w:rPr>
            </w:pPr>
            <w:r>
              <w:rPr>
                <w:rFonts w:ascii="Arial" w:cs="Arial" w:eastAsia="Arial" w:hAnsi="Arial"/>
                <w:sz w:val="17"/>
                <w:szCs w:val="17"/>
                <w:color w:val="auto"/>
              </w:rPr>
              <w:t>(90.0)</w:t>
            </w:r>
          </w:p>
        </w:tc>
      </w:tr>
      <w:tr>
        <w:trPr>
          <w:trHeight w:val="235"/>
        </w:trPr>
        <w:tc>
          <w:tcPr>
            <w:tcW w:w="5160" w:type="dxa"/>
            <w:vAlign w:val="bottom"/>
          </w:tcPr>
          <w:p>
            <w:pPr>
              <w:ind w:left="160"/>
              <w:spacing w:after="0"/>
              <w:rPr>
                <w:sz w:val="20"/>
                <w:szCs w:val="20"/>
                <w:color w:val="auto"/>
              </w:rPr>
            </w:pPr>
            <w:r>
              <w:rPr>
                <w:rFonts w:ascii="Arial" w:cs="Arial" w:eastAsia="Arial" w:hAnsi="Arial"/>
                <w:sz w:val="17"/>
                <w:szCs w:val="17"/>
                <w:color w:val="auto"/>
              </w:rPr>
              <w:t>Gain from TODCO Stock Sales</w:t>
            </w:r>
          </w:p>
        </w:tc>
        <w:tc>
          <w:tcPr>
            <w:tcW w:w="2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165.0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165.0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39.4</w:t>
            </w:r>
          </w:p>
        </w:tc>
      </w:tr>
      <w:tr>
        <w:trPr>
          <w:trHeight w:val="236"/>
        </w:trPr>
        <w:tc>
          <w:tcPr>
            <w:tcW w:w="5160" w:type="dxa"/>
            <w:vAlign w:val="bottom"/>
            <w:shd w:val="clear" w:color="auto" w:fill="E2EEF6"/>
          </w:tcPr>
          <w:p>
            <w:pPr>
              <w:ind w:left="160"/>
              <w:spacing w:after="0"/>
              <w:rPr>
                <w:sz w:val="20"/>
                <w:szCs w:val="20"/>
                <w:color w:val="auto"/>
              </w:rPr>
            </w:pPr>
            <w:r>
              <w:rPr>
                <w:rFonts w:ascii="Arial" w:cs="Arial" w:eastAsia="Arial" w:hAnsi="Arial"/>
                <w:sz w:val="17"/>
                <w:szCs w:val="17"/>
                <w:color w:val="auto"/>
              </w:rPr>
              <w:t>Loss on retirement of debt</w:t>
            </w:r>
          </w:p>
        </w:tc>
        <w:tc>
          <w:tcPr>
            <w:tcW w:w="26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30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80"/>
              <w:spacing w:after="0"/>
              <w:rPr>
                <w:sz w:val="20"/>
                <w:szCs w:val="20"/>
                <w:color w:val="auto"/>
              </w:rPr>
            </w:pPr>
            <w:r>
              <w:rPr>
                <w:rFonts w:ascii="Arial" w:cs="Arial" w:eastAsia="Arial" w:hAnsi="Arial"/>
                <w:sz w:val="17"/>
                <w:szCs w:val="17"/>
                <w:color w:val="auto"/>
              </w:rPr>
              <w:t>(6.7)</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40"/>
              <w:spacing w:after="0"/>
              <w:rPr>
                <w:sz w:val="20"/>
                <w:szCs w:val="20"/>
                <w:color w:val="auto"/>
              </w:rPr>
            </w:pPr>
            <w:r>
              <w:rPr>
                <w:rFonts w:ascii="Arial" w:cs="Arial" w:eastAsia="Arial" w:hAnsi="Arial"/>
                <w:sz w:val="17"/>
                <w:szCs w:val="17"/>
                <w:color w:val="auto"/>
              </w:rPr>
              <w:t>(28.1)</w:t>
            </w:r>
          </w:p>
        </w:tc>
      </w:tr>
      <w:tr>
        <w:trPr>
          <w:trHeight w:val="235"/>
        </w:trPr>
        <w:tc>
          <w:tcPr>
            <w:tcW w:w="51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Other, net</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(3.0)</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(1.1)</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(4.1)</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0.3</w:t>
            </w:r>
          </w:p>
        </w:tc>
      </w:tr>
      <w:tr>
        <w:trPr>
          <w:trHeight w:val="229"/>
        </w:trPr>
        <w:tc>
          <w:tcPr>
            <w:tcW w:w="5160" w:type="dxa"/>
            <w:vAlign w:val="bottom"/>
            <w:tcBorders>
              <w:bottom w:val="single" w:sz="8" w:color="auto"/>
            </w:tcBorders>
            <w:shd w:val="clear" w:color="auto" w:fill="E2EEF6"/>
          </w:tcPr>
          <w:p>
            <w:pPr>
              <w:spacing w:after="0"/>
              <w:rPr>
                <w:sz w:val="19"/>
                <w:szCs w:val="19"/>
                <w:color w:val="auto"/>
              </w:rPr>
            </w:pPr>
          </w:p>
        </w:tc>
        <w:tc>
          <w:tcPr>
            <w:tcW w:w="260" w:type="dxa"/>
            <w:vAlign w:val="bottom"/>
            <w:tcBorders>
              <w:bottom w:val="single" w:sz="8" w:color="auto"/>
            </w:tcBorders>
            <w:shd w:val="clear" w:color="auto" w:fill="E2EEF6"/>
          </w:tcPr>
          <w:p>
            <w:pPr>
              <w:spacing w:after="0"/>
              <w:rPr>
                <w:sz w:val="19"/>
                <w:szCs w:val="19"/>
                <w:color w:val="auto"/>
              </w:rPr>
            </w:pPr>
          </w:p>
        </w:tc>
        <w:tc>
          <w:tcPr>
            <w:tcW w:w="128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140.4</w:t>
            </w:r>
          </w:p>
        </w:tc>
        <w:tc>
          <w:tcPr>
            <w:tcW w:w="80" w:type="dxa"/>
            <w:vAlign w:val="bottom"/>
            <w:tcBorders>
              <w:bottom w:val="single" w:sz="8" w:color="auto"/>
            </w:tcBorders>
            <w:shd w:val="clear" w:color="auto" w:fill="E2EEF6"/>
          </w:tcPr>
          <w:p>
            <w:pPr>
              <w:spacing w:after="0"/>
              <w:rPr>
                <w:sz w:val="19"/>
                <w:szCs w:val="19"/>
                <w:color w:val="auto"/>
              </w:rPr>
            </w:pPr>
          </w:p>
        </w:tc>
        <w:tc>
          <w:tcPr>
            <w:tcW w:w="300" w:type="dxa"/>
            <w:vAlign w:val="bottom"/>
            <w:tcBorders>
              <w:bottom w:val="single" w:sz="8" w:color="auto"/>
            </w:tcBorders>
            <w:shd w:val="clear" w:color="auto" w:fill="E2EEF6"/>
          </w:tcPr>
          <w:p>
            <w:pPr>
              <w:spacing w:after="0"/>
              <w:rPr>
                <w:sz w:val="19"/>
                <w:szCs w:val="19"/>
                <w:color w:val="auto"/>
              </w:rPr>
            </w:pPr>
          </w:p>
        </w:tc>
        <w:tc>
          <w:tcPr>
            <w:tcW w:w="130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(38.1)</w:t>
            </w:r>
          </w:p>
        </w:tc>
        <w:tc>
          <w:tcPr>
            <w:tcW w:w="300" w:type="dxa"/>
            <w:vAlign w:val="bottom"/>
            <w:tcBorders>
              <w:bottom w:val="single" w:sz="8" w:color="auto"/>
            </w:tcBorders>
            <w:shd w:val="clear" w:color="auto" w:fill="E2EEF6"/>
          </w:tcPr>
          <w:p>
            <w:pPr>
              <w:spacing w:after="0"/>
              <w:rPr>
                <w:sz w:val="19"/>
                <w:szCs w:val="19"/>
                <w:color w:val="auto"/>
              </w:rPr>
            </w:pPr>
          </w:p>
        </w:tc>
        <w:tc>
          <w:tcPr>
            <w:tcW w:w="12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106.6</w:t>
            </w:r>
          </w:p>
        </w:tc>
        <w:tc>
          <w:tcPr>
            <w:tcW w:w="80" w:type="dxa"/>
            <w:vAlign w:val="bottom"/>
            <w:tcBorders>
              <w:bottom w:val="single" w:sz="8" w:color="auto"/>
            </w:tcBorders>
            <w:shd w:val="clear" w:color="auto" w:fill="E2EEF6"/>
          </w:tcPr>
          <w:p>
            <w:pPr>
              <w:spacing w:after="0"/>
              <w:rPr>
                <w:sz w:val="19"/>
                <w:szCs w:val="19"/>
                <w:color w:val="auto"/>
              </w:rPr>
            </w:pPr>
          </w:p>
        </w:tc>
        <w:tc>
          <w:tcPr>
            <w:tcW w:w="300" w:type="dxa"/>
            <w:vAlign w:val="bottom"/>
            <w:tcBorders>
              <w:bottom w:val="single" w:sz="8" w:color="auto"/>
            </w:tcBorders>
            <w:shd w:val="clear" w:color="auto" w:fill="E2EEF6"/>
          </w:tcPr>
          <w:p>
            <w:pPr>
              <w:spacing w:after="0"/>
              <w:rPr>
                <w:sz w:val="19"/>
                <w:szCs w:val="19"/>
                <w:color w:val="auto"/>
              </w:rPr>
            </w:pPr>
          </w:p>
        </w:tc>
        <w:tc>
          <w:tcPr>
            <w:tcW w:w="1160" w:type="dxa"/>
            <w:vAlign w:val="bottom"/>
            <w:tcBorders>
              <w:bottom w:val="single" w:sz="8" w:color="auto"/>
            </w:tcBorders>
            <w:gridSpan w:val="2"/>
            <w:shd w:val="clear" w:color="auto" w:fill="E2EEF6"/>
          </w:tcPr>
          <w:p>
            <w:pPr>
              <w:jc w:val="right"/>
              <w:ind w:right="40"/>
              <w:spacing w:after="0"/>
              <w:rPr>
                <w:sz w:val="20"/>
                <w:szCs w:val="20"/>
                <w:color w:val="auto"/>
              </w:rPr>
            </w:pPr>
            <w:r>
              <w:rPr>
                <w:rFonts w:ascii="Arial" w:cs="Arial" w:eastAsia="Arial" w:hAnsi="Arial"/>
                <w:sz w:val="17"/>
                <w:szCs w:val="17"/>
                <w:color w:val="auto"/>
              </w:rPr>
              <w:t>(68.4)</w:t>
            </w:r>
          </w:p>
        </w:tc>
      </w:tr>
      <w:tr>
        <w:trPr>
          <w:trHeight w:val="229"/>
        </w:trPr>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5160" w:type="dxa"/>
            <w:vAlign w:val="bottom"/>
            <w:shd w:val="clear" w:color="auto" w:fill="E2EEF6"/>
          </w:tcPr>
          <w:p>
            <w:pPr>
              <w:spacing w:after="0"/>
              <w:rPr>
                <w:sz w:val="20"/>
                <w:szCs w:val="20"/>
                <w:color w:val="auto"/>
              </w:rPr>
            </w:pPr>
            <w:r>
              <w:rPr>
                <w:rFonts w:ascii="Arial" w:cs="Arial" w:eastAsia="Arial" w:hAnsi="Arial"/>
                <w:sz w:val="17"/>
                <w:szCs w:val="17"/>
                <w:color w:val="auto"/>
              </w:rPr>
              <w:t>Income Before Income Taxes and Minority Interest</w:t>
            </w:r>
          </w:p>
        </w:tc>
        <w:tc>
          <w:tcPr>
            <w:tcW w:w="26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325.2</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30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65.7</w:t>
            </w:r>
          </w:p>
        </w:tc>
        <w:tc>
          <w:tcPr>
            <w:tcW w:w="30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434.7</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132.2</w:t>
            </w:r>
          </w:p>
        </w:tc>
      </w:tr>
      <w:tr>
        <w:trPr>
          <w:trHeight w:val="235"/>
        </w:trPr>
        <w:tc>
          <w:tcPr>
            <w:tcW w:w="5160" w:type="dxa"/>
            <w:vAlign w:val="bottom"/>
          </w:tcPr>
          <w:p>
            <w:pPr>
              <w:spacing w:after="0"/>
              <w:rPr>
                <w:sz w:val="20"/>
                <w:szCs w:val="20"/>
                <w:color w:val="auto"/>
              </w:rPr>
            </w:pPr>
            <w:r>
              <w:rPr>
                <w:rFonts w:ascii="Arial" w:cs="Arial" w:eastAsia="Arial" w:hAnsi="Arial"/>
                <w:sz w:val="17"/>
                <w:szCs w:val="17"/>
                <w:color w:val="auto"/>
              </w:rPr>
              <w:t>Income Tax Expense</w:t>
            </w:r>
          </w:p>
        </w:tc>
        <w:tc>
          <w:tcPr>
            <w:tcW w:w="2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23.6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19.9</w:t>
            </w:r>
          </w:p>
        </w:tc>
        <w:tc>
          <w:tcPr>
            <w:tcW w:w="3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41.1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67.9</w:t>
            </w:r>
          </w:p>
        </w:tc>
      </w:tr>
      <w:tr>
        <w:trPr>
          <w:trHeight w:val="235"/>
        </w:trPr>
        <w:tc>
          <w:tcPr>
            <w:tcW w:w="516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7"/>
                <w:szCs w:val="17"/>
                <w:color w:val="auto"/>
              </w:rPr>
              <w:t>Minority Interest</w:t>
            </w:r>
          </w:p>
        </w:tc>
        <w:tc>
          <w:tcPr>
            <w:tcW w:w="260" w:type="dxa"/>
            <w:vAlign w:val="bottom"/>
            <w:tcBorders>
              <w:bottom w:val="single" w:sz="8" w:color="auto"/>
            </w:tcBorders>
            <w:shd w:val="clear" w:color="auto" w:fill="E2EEF6"/>
          </w:tcPr>
          <w:p>
            <w:pPr>
              <w:spacing w:after="0"/>
              <w:rPr>
                <w:sz w:val="20"/>
                <w:szCs w:val="20"/>
                <w:color w:val="auto"/>
              </w:rPr>
            </w:pPr>
          </w:p>
        </w:tc>
        <w:tc>
          <w:tcPr>
            <w:tcW w:w="128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(0.2)</w:t>
            </w:r>
          </w:p>
        </w:tc>
        <w:tc>
          <w:tcPr>
            <w:tcW w:w="80" w:type="dxa"/>
            <w:vAlign w:val="bottom"/>
            <w:tcBorders>
              <w:bottom w:val="single" w:sz="8" w:color="auto"/>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30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(2.2)</w:t>
            </w:r>
          </w:p>
        </w:tc>
        <w:tc>
          <w:tcPr>
            <w:tcW w:w="300" w:type="dxa"/>
            <w:vAlign w:val="bottom"/>
            <w:tcBorders>
              <w:bottom w:val="single" w:sz="8" w:color="auto"/>
            </w:tcBorders>
            <w:shd w:val="clear" w:color="auto" w:fill="E2EEF6"/>
          </w:tcPr>
          <w:p>
            <w:pPr>
              <w:spacing w:after="0"/>
              <w:rPr>
                <w:sz w:val="20"/>
                <w:szCs w:val="20"/>
                <w:color w:val="auto"/>
              </w:rPr>
            </w:pPr>
          </w:p>
        </w:tc>
        <w:tc>
          <w:tcPr>
            <w:tcW w:w="10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E2EEF6"/>
          </w:tcPr>
          <w:p>
            <w:pPr>
              <w:spacing w:after="0"/>
              <w:rPr>
                <w:sz w:val="20"/>
                <w:szCs w:val="20"/>
                <w:color w:val="auto"/>
              </w:rPr>
            </w:pPr>
          </w:p>
        </w:tc>
        <w:tc>
          <w:tcPr>
            <w:tcW w:w="80" w:type="dxa"/>
            <w:vAlign w:val="bottom"/>
            <w:tcBorders>
              <w:bottom w:val="single" w:sz="8" w:color="auto"/>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160" w:type="dxa"/>
            <w:vAlign w:val="bottom"/>
            <w:tcBorders>
              <w:bottom w:val="single" w:sz="8" w:color="auto"/>
            </w:tcBorders>
            <w:gridSpan w:val="2"/>
            <w:shd w:val="clear" w:color="auto" w:fill="E2EEF6"/>
          </w:tcPr>
          <w:p>
            <w:pPr>
              <w:jc w:val="right"/>
              <w:ind w:right="40"/>
              <w:spacing w:after="0"/>
              <w:rPr>
                <w:sz w:val="20"/>
                <w:szCs w:val="20"/>
                <w:color w:val="auto"/>
              </w:rPr>
            </w:pPr>
            <w:r>
              <w:rPr>
                <w:rFonts w:ascii="Arial" w:cs="Arial" w:eastAsia="Arial" w:hAnsi="Arial"/>
                <w:sz w:val="17"/>
                <w:szCs w:val="17"/>
                <w:color w:val="auto"/>
              </w:rPr>
              <w:t>(6.4)</w:t>
            </w:r>
          </w:p>
        </w:tc>
      </w:tr>
      <w:tr>
        <w:trPr>
          <w:trHeight w:val="229"/>
        </w:trPr>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5"/>
        </w:trPr>
        <w:tc>
          <w:tcPr>
            <w:tcW w:w="516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7"/>
                <w:szCs w:val="17"/>
                <w:color w:val="auto"/>
              </w:rPr>
              <w:t>Net Income</w:t>
            </w:r>
          </w:p>
        </w:tc>
        <w:tc>
          <w:tcPr>
            <w:tcW w:w="260" w:type="dxa"/>
            <w:vAlign w:val="bottom"/>
            <w:tcBorders>
              <w:bottom w:val="single" w:sz="8" w:color="auto"/>
            </w:tcBorders>
            <w:shd w:val="clear" w:color="auto" w:fill="E2EEF6"/>
          </w:tcPr>
          <w:p>
            <w:pPr>
              <w:jc w:val="right"/>
              <w:ind w:right="10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301.8</w:t>
            </w:r>
          </w:p>
        </w:tc>
        <w:tc>
          <w:tcPr>
            <w:tcW w:w="38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48.0</w:t>
            </w:r>
          </w:p>
        </w:tc>
        <w:tc>
          <w:tcPr>
            <w:tcW w:w="300" w:type="dxa"/>
            <w:vAlign w:val="bottom"/>
            <w:tcBorders>
              <w:bottom w:val="single" w:sz="8" w:color="auto"/>
            </w:tcBorders>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393.6</w:t>
            </w:r>
          </w:p>
        </w:tc>
        <w:tc>
          <w:tcPr>
            <w:tcW w:w="38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70.7</w:t>
            </w:r>
          </w:p>
        </w:tc>
      </w:tr>
      <w:tr>
        <w:trPr>
          <w:trHeight w:val="215"/>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5"/>
        </w:trPr>
        <w:tc>
          <w:tcPr>
            <w:tcW w:w="5160" w:type="dxa"/>
            <w:vAlign w:val="bottom"/>
            <w:shd w:val="clear" w:color="auto" w:fill="E2EEF6"/>
          </w:tcPr>
          <w:p>
            <w:pPr>
              <w:spacing w:after="0"/>
              <w:rPr>
                <w:sz w:val="20"/>
                <w:szCs w:val="20"/>
                <w:color w:val="auto"/>
              </w:rPr>
            </w:pPr>
            <w:r>
              <w:rPr>
                <w:rFonts w:ascii="Arial" w:cs="Arial" w:eastAsia="Arial" w:hAnsi="Arial"/>
                <w:sz w:val="17"/>
                <w:szCs w:val="17"/>
                <w:color w:val="auto"/>
              </w:rPr>
              <w:t>Earnings Per Share</w:t>
            </w:r>
          </w:p>
        </w:tc>
        <w:tc>
          <w:tcPr>
            <w:tcW w:w="260" w:type="dxa"/>
            <w:vAlign w:val="bottom"/>
            <w:shd w:val="clear" w:color="auto" w:fill="E2EEF6"/>
          </w:tcPr>
          <w:p>
            <w:pPr>
              <w:spacing w:after="0"/>
              <w:rPr>
                <w:sz w:val="20"/>
                <w:szCs w:val="20"/>
                <w:color w:val="auto"/>
              </w:rPr>
            </w:pPr>
          </w:p>
        </w:tc>
        <w:tc>
          <w:tcPr>
            <w:tcW w:w="112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8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5"/>
        </w:trPr>
        <w:tc>
          <w:tcPr>
            <w:tcW w:w="5160" w:type="dxa"/>
            <w:vAlign w:val="bottom"/>
          </w:tcPr>
          <w:p>
            <w:pPr>
              <w:ind w:left="160"/>
              <w:spacing w:after="0"/>
              <w:rPr>
                <w:sz w:val="20"/>
                <w:szCs w:val="20"/>
                <w:color w:val="auto"/>
              </w:rPr>
            </w:pPr>
            <w:r>
              <w:rPr>
                <w:rFonts w:ascii="Arial" w:cs="Arial" w:eastAsia="Arial" w:hAnsi="Arial"/>
                <w:sz w:val="17"/>
                <w:szCs w:val="17"/>
                <w:color w:val="auto"/>
              </w:rPr>
              <w:t>Basic</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0.93</w:t>
            </w:r>
          </w:p>
        </w:tc>
        <w:tc>
          <w:tcPr>
            <w:tcW w:w="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0.15</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1.21</w:t>
            </w:r>
          </w:p>
        </w:tc>
        <w:tc>
          <w:tcPr>
            <w:tcW w:w="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0.22</w:t>
            </w:r>
          </w:p>
        </w:tc>
      </w:tr>
      <w:tr>
        <w:trPr>
          <w:trHeight w:val="275"/>
        </w:trPr>
        <w:tc>
          <w:tcPr>
            <w:tcW w:w="5160" w:type="dxa"/>
            <w:vAlign w:val="bottom"/>
            <w:tcBorders>
              <w:bottom w:val="single" w:sz="8" w:color="auto"/>
            </w:tcBorders>
            <w:shd w:val="clear" w:color="auto" w:fill="E2EEF6"/>
          </w:tcPr>
          <w:p>
            <w:pPr>
              <w:ind w:left="160"/>
              <w:spacing w:after="0"/>
              <w:rPr>
                <w:sz w:val="20"/>
                <w:szCs w:val="20"/>
                <w:color w:val="auto"/>
              </w:rPr>
            </w:pPr>
            <w:r>
              <w:rPr>
                <w:rFonts w:ascii="Arial" w:cs="Arial" w:eastAsia="Arial" w:hAnsi="Arial"/>
                <w:sz w:val="17"/>
                <w:szCs w:val="17"/>
                <w:color w:val="auto"/>
              </w:rPr>
              <w:t>Diluted</w:t>
            </w:r>
          </w:p>
        </w:tc>
        <w:tc>
          <w:tcPr>
            <w:tcW w:w="260" w:type="dxa"/>
            <w:vAlign w:val="bottom"/>
            <w:tcBorders>
              <w:bottom w:val="single" w:sz="8" w:color="auto"/>
            </w:tcBorders>
            <w:shd w:val="clear" w:color="auto" w:fill="E2EEF6"/>
          </w:tcPr>
          <w:p>
            <w:pPr>
              <w:jc w:val="right"/>
              <w:ind w:right="10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0.90</w:t>
            </w:r>
          </w:p>
        </w:tc>
        <w:tc>
          <w:tcPr>
            <w:tcW w:w="38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0.15</w:t>
            </w:r>
          </w:p>
        </w:tc>
        <w:tc>
          <w:tcPr>
            <w:tcW w:w="300" w:type="dxa"/>
            <w:vAlign w:val="bottom"/>
            <w:tcBorders>
              <w:bottom w:val="single" w:sz="8" w:color="auto"/>
            </w:tcBorders>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1.18</w:t>
            </w:r>
          </w:p>
        </w:tc>
        <w:tc>
          <w:tcPr>
            <w:tcW w:w="38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0.22</w:t>
            </w:r>
          </w:p>
        </w:tc>
      </w:tr>
      <w:tr>
        <w:trPr>
          <w:trHeight w:val="215"/>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5"/>
        </w:trPr>
        <w:tc>
          <w:tcPr>
            <w:tcW w:w="5160" w:type="dxa"/>
            <w:vAlign w:val="bottom"/>
            <w:shd w:val="clear" w:color="auto" w:fill="E2EEF6"/>
          </w:tcPr>
          <w:p>
            <w:pPr>
              <w:spacing w:after="0"/>
              <w:rPr>
                <w:sz w:val="20"/>
                <w:szCs w:val="20"/>
                <w:color w:val="auto"/>
              </w:rPr>
            </w:pPr>
            <w:r>
              <w:rPr>
                <w:rFonts w:ascii="Arial" w:cs="Arial" w:eastAsia="Arial" w:hAnsi="Arial"/>
                <w:sz w:val="17"/>
                <w:szCs w:val="17"/>
                <w:color w:val="auto"/>
              </w:rPr>
              <w:t>Weighted Average Shares Outstanding</w:t>
            </w:r>
          </w:p>
        </w:tc>
        <w:tc>
          <w:tcPr>
            <w:tcW w:w="260" w:type="dxa"/>
            <w:vAlign w:val="bottom"/>
            <w:shd w:val="clear" w:color="auto" w:fill="E2EEF6"/>
          </w:tcPr>
          <w:p>
            <w:pPr>
              <w:spacing w:after="0"/>
              <w:rPr>
                <w:sz w:val="20"/>
                <w:szCs w:val="20"/>
                <w:color w:val="auto"/>
              </w:rPr>
            </w:pPr>
          </w:p>
        </w:tc>
        <w:tc>
          <w:tcPr>
            <w:tcW w:w="112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8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5"/>
        </w:trPr>
        <w:tc>
          <w:tcPr>
            <w:tcW w:w="51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Basic</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326.1</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320.8</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324.8</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320.7</w:t>
            </w:r>
          </w:p>
        </w:tc>
      </w:tr>
      <w:tr>
        <w:trPr>
          <w:trHeight w:val="229"/>
        </w:trPr>
        <w:tc>
          <w:tcPr>
            <w:tcW w:w="5160" w:type="dxa"/>
            <w:vAlign w:val="bottom"/>
            <w:tcBorders>
              <w:bottom w:val="single" w:sz="8" w:color="auto"/>
            </w:tcBorders>
            <w:shd w:val="clear" w:color="auto" w:fill="E2EEF6"/>
          </w:tcPr>
          <w:p>
            <w:pPr>
              <w:ind w:left="160"/>
              <w:spacing w:after="0"/>
              <w:rPr>
                <w:sz w:val="20"/>
                <w:szCs w:val="20"/>
                <w:color w:val="auto"/>
              </w:rPr>
            </w:pPr>
            <w:r>
              <w:rPr>
                <w:rFonts w:ascii="Arial" w:cs="Arial" w:eastAsia="Arial" w:hAnsi="Arial"/>
                <w:sz w:val="17"/>
                <w:szCs w:val="17"/>
                <w:color w:val="auto"/>
              </w:rPr>
              <w:t>Diluted</w:t>
            </w:r>
          </w:p>
        </w:tc>
        <w:tc>
          <w:tcPr>
            <w:tcW w:w="260" w:type="dxa"/>
            <w:vAlign w:val="bottom"/>
            <w:tcBorders>
              <w:bottom w:val="single" w:sz="8" w:color="auto"/>
            </w:tcBorders>
            <w:shd w:val="clear" w:color="auto" w:fill="E2EEF6"/>
          </w:tcPr>
          <w:p>
            <w:pPr>
              <w:spacing w:after="0"/>
              <w:rPr>
                <w:sz w:val="19"/>
                <w:szCs w:val="19"/>
                <w:color w:val="auto"/>
              </w:rPr>
            </w:pPr>
          </w:p>
        </w:tc>
        <w:tc>
          <w:tcPr>
            <w:tcW w:w="128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338.0</w:t>
            </w:r>
          </w:p>
        </w:tc>
        <w:tc>
          <w:tcPr>
            <w:tcW w:w="80" w:type="dxa"/>
            <w:vAlign w:val="bottom"/>
            <w:tcBorders>
              <w:bottom w:val="single" w:sz="8" w:color="auto"/>
            </w:tcBorders>
            <w:shd w:val="clear" w:color="auto" w:fill="E2EEF6"/>
          </w:tcPr>
          <w:p>
            <w:pPr>
              <w:spacing w:after="0"/>
              <w:rPr>
                <w:sz w:val="19"/>
                <w:szCs w:val="19"/>
                <w:color w:val="auto"/>
              </w:rPr>
            </w:pPr>
          </w:p>
        </w:tc>
        <w:tc>
          <w:tcPr>
            <w:tcW w:w="300" w:type="dxa"/>
            <w:vAlign w:val="bottom"/>
            <w:tcBorders>
              <w:bottom w:val="single" w:sz="8" w:color="auto"/>
            </w:tcBorders>
            <w:shd w:val="clear" w:color="auto" w:fill="E2EEF6"/>
          </w:tcPr>
          <w:p>
            <w:pPr>
              <w:spacing w:after="0"/>
              <w:rPr>
                <w:sz w:val="19"/>
                <w:szCs w:val="19"/>
                <w:color w:val="auto"/>
              </w:rPr>
            </w:pPr>
          </w:p>
        </w:tc>
        <w:tc>
          <w:tcPr>
            <w:tcW w:w="130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324.1</w:t>
            </w:r>
          </w:p>
        </w:tc>
        <w:tc>
          <w:tcPr>
            <w:tcW w:w="300" w:type="dxa"/>
            <w:vAlign w:val="bottom"/>
            <w:tcBorders>
              <w:bottom w:val="single" w:sz="8" w:color="auto"/>
            </w:tcBorders>
            <w:shd w:val="clear" w:color="auto" w:fill="E2EEF6"/>
          </w:tcPr>
          <w:p>
            <w:pPr>
              <w:spacing w:after="0"/>
              <w:rPr>
                <w:sz w:val="19"/>
                <w:szCs w:val="19"/>
                <w:color w:val="auto"/>
              </w:rPr>
            </w:pPr>
          </w:p>
        </w:tc>
        <w:tc>
          <w:tcPr>
            <w:tcW w:w="12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336.9</w:t>
            </w:r>
          </w:p>
        </w:tc>
        <w:tc>
          <w:tcPr>
            <w:tcW w:w="80" w:type="dxa"/>
            <w:vAlign w:val="bottom"/>
            <w:tcBorders>
              <w:bottom w:val="single" w:sz="8" w:color="auto"/>
            </w:tcBorders>
            <w:shd w:val="clear" w:color="auto" w:fill="E2EEF6"/>
          </w:tcPr>
          <w:p>
            <w:pPr>
              <w:spacing w:after="0"/>
              <w:rPr>
                <w:sz w:val="19"/>
                <w:szCs w:val="19"/>
                <w:color w:val="auto"/>
              </w:rPr>
            </w:pPr>
          </w:p>
        </w:tc>
        <w:tc>
          <w:tcPr>
            <w:tcW w:w="300" w:type="dxa"/>
            <w:vAlign w:val="bottom"/>
            <w:tcBorders>
              <w:bottom w:val="single" w:sz="8" w:color="auto"/>
            </w:tcBorders>
            <w:shd w:val="clear" w:color="auto" w:fill="E2EEF6"/>
          </w:tcPr>
          <w:p>
            <w:pPr>
              <w:spacing w:after="0"/>
              <w:rPr>
                <w:sz w:val="19"/>
                <w:szCs w:val="19"/>
                <w:color w:val="auto"/>
              </w:rPr>
            </w:pPr>
          </w:p>
        </w:tc>
        <w:tc>
          <w:tcPr>
            <w:tcW w:w="116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324.2</w:t>
            </w: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73660</wp:posOffset>
            </wp:positionV>
            <wp:extent cx="725551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&lt;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T</w:t>
      </w:r>
      <w:r>
        <w:rPr>
          <w:rFonts w:ascii="Arial" w:cs="Arial" w:eastAsia="Arial" w:hAnsi="Arial"/>
          <w:sz w:val="17"/>
          <w:szCs w:val="17"/>
          <w:b w:val="1"/>
          <w:bCs w:val="1"/>
          <w:color w:val="000000"/>
        </w:rPr>
        <w:t>TRANSOCEAN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60" w:type="dxa"/>
            <w:vAlign w:val="bottom"/>
          </w:tcPr>
          <w:p>
            <w:pPr>
              <w:spacing w:after="0"/>
              <w:rPr>
                <w:sz w:val="19"/>
                <w:szCs w:val="19"/>
                <w:color w:val="auto"/>
              </w:rPr>
            </w:pPr>
          </w:p>
        </w:tc>
        <w:tc>
          <w:tcPr>
            <w:tcW w:w="26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7"/>
                <w:szCs w:val="17"/>
                <w:color w:val="auto"/>
              </w:rPr>
              <w:t>Three Months Ended June 30,</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7"/>
                <w:szCs w:val="17"/>
                <w:color w:val="auto"/>
              </w:rPr>
              <w:t>Six Months Ended June 30,</w:t>
            </w:r>
          </w:p>
        </w:tc>
      </w:tr>
      <w:tr>
        <w:trPr>
          <w:trHeight w:val="255"/>
        </w:trPr>
        <w:tc>
          <w:tcPr>
            <w:tcW w:w="5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2005</w:t>
            </w: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2004</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13"/>
              <w:spacing w:after="0"/>
              <w:rPr>
                <w:sz w:val="20"/>
                <w:szCs w:val="20"/>
                <w:color w:val="auto"/>
              </w:rPr>
            </w:pPr>
            <w:r>
              <w:rPr>
                <w:rFonts w:ascii="Arial" w:cs="Arial" w:eastAsia="Arial" w:hAnsi="Arial"/>
                <w:sz w:val="17"/>
                <w:szCs w:val="17"/>
                <w:color w:val="auto"/>
              </w:rPr>
              <w:t>2005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13"/>
              <w:spacing w:after="0"/>
              <w:rPr>
                <w:sz w:val="20"/>
                <w:szCs w:val="20"/>
                <w:color w:val="auto"/>
              </w:rPr>
            </w:pPr>
            <w:r>
              <w:rPr>
                <w:rFonts w:ascii="Arial" w:cs="Arial" w:eastAsia="Arial" w:hAnsi="Arial"/>
                <w:sz w:val="17"/>
                <w:szCs w:val="17"/>
                <w:color w:val="auto"/>
              </w:rPr>
              <w:t>2004</w:t>
            </w:r>
          </w:p>
        </w:tc>
        <w:tc>
          <w:tcPr>
            <w:tcW w:w="100" w:type="dxa"/>
            <w:vAlign w:val="bottom"/>
          </w:tcPr>
          <w:p>
            <w:pPr>
              <w:spacing w:after="0"/>
              <w:rPr>
                <w:sz w:val="22"/>
                <w:szCs w:val="22"/>
                <w:color w:val="auto"/>
              </w:rPr>
            </w:pPr>
          </w:p>
        </w:tc>
      </w:tr>
      <w:tr>
        <w:trPr>
          <w:trHeight w:val="229"/>
        </w:trPr>
        <w:tc>
          <w:tcPr>
            <w:tcW w:w="51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516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7"/>
                <w:szCs w:val="17"/>
                <w:color w:val="auto"/>
              </w:rPr>
              <w:t>Net Income</w:t>
            </w:r>
          </w:p>
        </w:tc>
        <w:tc>
          <w:tcPr>
            <w:tcW w:w="920" w:type="dxa"/>
            <w:vAlign w:val="bottom"/>
            <w:tcBorders>
              <w:bottom w:val="single" w:sz="8" w:color="auto"/>
            </w:tcBorders>
            <w:shd w:val="clear" w:color="auto" w:fill="E2EEF6"/>
          </w:tcPr>
          <w:p>
            <w:pPr>
              <w:jc w:val="right"/>
              <w:ind w:right="75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301.8</w:t>
            </w:r>
          </w:p>
        </w:tc>
        <w:tc>
          <w:tcPr>
            <w:tcW w:w="1080" w:type="dxa"/>
            <w:vAlign w:val="bottom"/>
            <w:tcBorders>
              <w:bottom w:val="single" w:sz="8" w:color="auto"/>
            </w:tcBorders>
            <w:gridSpan w:val="2"/>
            <w:shd w:val="clear" w:color="auto" w:fill="E2EEF6"/>
          </w:tcPr>
          <w:p>
            <w:pPr>
              <w:jc w:val="right"/>
              <w:ind w:right="92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48.0</w:t>
            </w:r>
          </w:p>
        </w:tc>
        <w:tc>
          <w:tcPr>
            <w:tcW w:w="300" w:type="dxa"/>
            <w:vAlign w:val="bottom"/>
            <w:tcBorders>
              <w:bottom w:val="single" w:sz="8" w:color="auto"/>
            </w:tcBorders>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393.6</w:t>
            </w:r>
          </w:p>
        </w:tc>
        <w:tc>
          <w:tcPr>
            <w:tcW w:w="38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70.7</w:t>
            </w:r>
          </w:p>
        </w:tc>
      </w:tr>
      <w:tr>
        <w:trPr>
          <w:trHeight w:val="229"/>
        </w:trPr>
        <w:tc>
          <w:tcPr>
            <w:tcW w:w="5160" w:type="dxa"/>
            <w:vAlign w:val="bottom"/>
          </w:tcPr>
          <w:p>
            <w:pPr>
              <w:spacing w:after="0"/>
              <w:rPr>
                <w:sz w:val="20"/>
                <w:szCs w:val="20"/>
                <w:color w:val="auto"/>
              </w:rPr>
            </w:pPr>
            <w:r>
              <w:rPr>
                <w:rFonts w:ascii="Arial" w:cs="Arial" w:eastAsia="Arial" w:hAnsi="Arial"/>
                <w:sz w:val="17"/>
                <w:szCs w:val="17"/>
                <w:color w:val="auto"/>
              </w:rPr>
              <w:t>Other Comprehensive Income (Loss), net of tax</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5160" w:type="dxa"/>
            <w:vAlign w:val="bottom"/>
            <w:shd w:val="clear" w:color="auto" w:fill="E2EEF6"/>
          </w:tcPr>
          <w:p>
            <w:pPr>
              <w:ind w:left="160"/>
              <w:spacing w:after="0"/>
              <w:rPr>
                <w:sz w:val="20"/>
                <w:szCs w:val="20"/>
                <w:color w:val="auto"/>
              </w:rPr>
            </w:pPr>
            <w:r>
              <w:rPr>
                <w:rFonts w:ascii="Arial" w:cs="Arial" w:eastAsia="Arial" w:hAnsi="Arial"/>
                <w:sz w:val="17"/>
                <w:szCs w:val="17"/>
                <w:color w:val="auto"/>
              </w:rPr>
              <w:t>Amortization of gain on terminated interest rate swaps</w:t>
            </w:r>
          </w:p>
        </w:tc>
        <w:tc>
          <w:tcPr>
            <w:tcW w:w="920" w:type="dxa"/>
            <w:vAlign w:val="bottom"/>
            <w:shd w:val="clear" w:color="auto" w:fill="E2EEF6"/>
          </w:tcPr>
          <w:p>
            <w:pPr>
              <w:spacing w:after="0"/>
              <w:rPr>
                <w:sz w:val="20"/>
                <w:szCs w:val="20"/>
                <w:color w:val="auto"/>
              </w:rPr>
            </w:pPr>
          </w:p>
        </w:tc>
        <w:tc>
          <w:tcPr>
            <w:tcW w:w="6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(0.1)</w:t>
            </w:r>
          </w:p>
        </w:tc>
        <w:tc>
          <w:tcPr>
            <w:tcW w:w="80" w:type="dxa"/>
            <w:vAlign w:val="bottom"/>
            <w:shd w:val="clear" w:color="auto" w:fill="E2EEF6"/>
          </w:tcPr>
          <w:p>
            <w:pPr>
              <w:spacing w:after="0"/>
              <w:rPr>
                <w:sz w:val="20"/>
                <w:szCs w:val="20"/>
                <w:color w:val="auto"/>
              </w:rPr>
            </w:pPr>
          </w:p>
        </w:tc>
        <w:tc>
          <w:tcPr>
            <w:tcW w:w="1000" w:type="dxa"/>
            <w:vAlign w:val="bottom"/>
            <w:shd w:val="clear" w:color="auto" w:fill="E2EEF6"/>
          </w:tcPr>
          <w:p>
            <w:pPr>
              <w:spacing w:after="0"/>
              <w:rPr>
                <w:sz w:val="20"/>
                <w:szCs w:val="20"/>
                <w:color w:val="auto"/>
              </w:rPr>
            </w:pPr>
          </w:p>
        </w:tc>
        <w:tc>
          <w:tcPr>
            <w:tcW w:w="60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(0.1)</w:t>
            </w:r>
          </w:p>
        </w:tc>
        <w:tc>
          <w:tcPr>
            <w:tcW w:w="30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80"/>
              <w:spacing w:after="0"/>
              <w:rPr>
                <w:sz w:val="20"/>
                <w:szCs w:val="20"/>
                <w:color w:val="auto"/>
              </w:rPr>
            </w:pPr>
            <w:r>
              <w:rPr>
                <w:rFonts w:ascii="Arial" w:cs="Arial" w:eastAsia="Arial" w:hAnsi="Arial"/>
                <w:sz w:val="17"/>
                <w:szCs w:val="17"/>
                <w:color w:val="auto"/>
              </w:rPr>
              <w:t>(0.2)</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40"/>
              <w:spacing w:after="0"/>
              <w:rPr>
                <w:sz w:val="20"/>
                <w:szCs w:val="20"/>
                <w:color w:val="auto"/>
              </w:rPr>
            </w:pPr>
            <w:r>
              <w:rPr>
                <w:rFonts w:ascii="Arial" w:cs="Arial" w:eastAsia="Arial" w:hAnsi="Arial"/>
                <w:sz w:val="17"/>
                <w:szCs w:val="17"/>
                <w:color w:val="auto"/>
              </w:rPr>
              <w:t>(0.2)</w:t>
            </w:r>
          </w:p>
        </w:tc>
      </w:tr>
      <w:tr>
        <w:trPr>
          <w:trHeight w:val="235"/>
        </w:trPr>
        <w:tc>
          <w:tcPr>
            <w:tcW w:w="5160" w:type="dxa"/>
            <w:vAlign w:val="bottom"/>
          </w:tcPr>
          <w:p>
            <w:pPr>
              <w:ind w:left="160"/>
              <w:spacing w:after="0"/>
              <w:rPr>
                <w:sz w:val="20"/>
                <w:szCs w:val="20"/>
                <w:color w:val="auto"/>
              </w:rPr>
            </w:pPr>
            <w:r>
              <w:rPr>
                <w:rFonts w:ascii="Arial" w:cs="Arial" w:eastAsia="Arial" w:hAnsi="Arial"/>
                <w:sz w:val="17"/>
                <w:szCs w:val="17"/>
                <w:color w:val="auto"/>
              </w:rPr>
              <w:t>Change in unrealized loss on securities available for sale</w:t>
            </w:r>
          </w:p>
        </w:tc>
        <w:tc>
          <w:tcPr>
            <w:tcW w:w="92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c>
          <w:tcPr>
            <w:tcW w:w="3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0.3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(0.1)</w:t>
            </w:r>
          </w:p>
        </w:tc>
      </w:tr>
      <w:tr>
        <w:trPr>
          <w:trHeight w:val="197"/>
        </w:trPr>
        <w:tc>
          <w:tcPr>
            <w:tcW w:w="5160" w:type="dxa"/>
            <w:vAlign w:val="bottom"/>
            <w:shd w:val="clear" w:color="auto" w:fill="E2EEF6"/>
          </w:tcPr>
          <w:p>
            <w:pPr>
              <w:ind w:left="160"/>
              <w:spacing w:after="0"/>
              <w:rPr>
                <w:sz w:val="20"/>
                <w:szCs w:val="20"/>
                <w:color w:val="auto"/>
              </w:rPr>
            </w:pPr>
            <w:r>
              <w:rPr>
                <w:rFonts w:ascii="Arial" w:cs="Arial" w:eastAsia="Arial" w:hAnsi="Arial"/>
                <w:sz w:val="17"/>
                <w:szCs w:val="17"/>
                <w:color w:val="auto"/>
              </w:rPr>
              <w:t>Minimum pension liability adjustments (net of tax expense of $0.2</w:t>
            </w:r>
          </w:p>
        </w:tc>
        <w:tc>
          <w:tcPr>
            <w:tcW w:w="920" w:type="dxa"/>
            <w:vAlign w:val="bottom"/>
            <w:shd w:val="clear" w:color="auto" w:fill="E2EEF6"/>
          </w:tcPr>
          <w:p>
            <w:pPr>
              <w:spacing w:after="0"/>
              <w:rPr>
                <w:sz w:val="17"/>
                <w:szCs w:val="17"/>
                <w:color w:val="auto"/>
              </w:rPr>
            </w:pPr>
          </w:p>
        </w:tc>
        <w:tc>
          <w:tcPr>
            <w:tcW w:w="460" w:type="dxa"/>
            <w:vAlign w:val="bottom"/>
            <w:shd w:val="clear" w:color="auto" w:fill="E2EEF6"/>
          </w:tcPr>
          <w:p>
            <w:pPr>
              <w:spacing w:after="0"/>
              <w:rPr>
                <w:sz w:val="17"/>
                <w:szCs w:val="17"/>
                <w:color w:val="auto"/>
              </w:rPr>
            </w:pPr>
          </w:p>
        </w:tc>
        <w:tc>
          <w:tcPr>
            <w:tcW w:w="160" w:type="dxa"/>
            <w:vAlign w:val="bottom"/>
            <w:shd w:val="clear" w:color="auto" w:fill="E2EEF6"/>
          </w:tcPr>
          <w:p>
            <w:pPr>
              <w:spacing w:after="0"/>
              <w:rPr>
                <w:sz w:val="17"/>
                <w:szCs w:val="17"/>
                <w:color w:val="auto"/>
              </w:rPr>
            </w:pPr>
          </w:p>
        </w:tc>
        <w:tc>
          <w:tcPr>
            <w:tcW w:w="80" w:type="dxa"/>
            <w:vAlign w:val="bottom"/>
            <w:shd w:val="clear" w:color="auto" w:fill="E2EEF6"/>
          </w:tcPr>
          <w:p>
            <w:pPr>
              <w:spacing w:after="0"/>
              <w:rPr>
                <w:sz w:val="17"/>
                <w:szCs w:val="17"/>
                <w:color w:val="auto"/>
              </w:rPr>
            </w:pPr>
          </w:p>
        </w:tc>
        <w:tc>
          <w:tcPr>
            <w:tcW w:w="1000" w:type="dxa"/>
            <w:vAlign w:val="bottom"/>
            <w:shd w:val="clear" w:color="auto" w:fill="E2EEF6"/>
          </w:tcPr>
          <w:p>
            <w:pPr>
              <w:spacing w:after="0"/>
              <w:rPr>
                <w:sz w:val="17"/>
                <w:szCs w:val="17"/>
                <w:color w:val="auto"/>
              </w:rPr>
            </w:pPr>
          </w:p>
        </w:tc>
        <w:tc>
          <w:tcPr>
            <w:tcW w:w="380" w:type="dxa"/>
            <w:vAlign w:val="bottom"/>
            <w:shd w:val="clear" w:color="auto" w:fill="E2EEF6"/>
          </w:tcPr>
          <w:p>
            <w:pPr>
              <w:spacing w:after="0"/>
              <w:rPr>
                <w:sz w:val="17"/>
                <w:szCs w:val="17"/>
                <w:color w:val="auto"/>
              </w:rPr>
            </w:pPr>
          </w:p>
        </w:tc>
        <w:tc>
          <w:tcPr>
            <w:tcW w:w="220" w:type="dxa"/>
            <w:vAlign w:val="bottom"/>
            <w:shd w:val="clear" w:color="auto" w:fill="E2EEF6"/>
          </w:tcPr>
          <w:p>
            <w:pPr>
              <w:spacing w:after="0"/>
              <w:rPr>
                <w:sz w:val="17"/>
                <w:szCs w:val="17"/>
                <w:color w:val="auto"/>
              </w:rPr>
            </w:pPr>
          </w:p>
        </w:tc>
        <w:tc>
          <w:tcPr>
            <w:tcW w:w="300" w:type="dxa"/>
            <w:vAlign w:val="bottom"/>
            <w:shd w:val="clear" w:color="auto" w:fill="E2EEF6"/>
          </w:tcPr>
          <w:p>
            <w:pPr>
              <w:spacing w:after="0"/>
              <w:rPr>
                <w:sz w:val="17"/>
                <w:szCs w:val="17"/>
                <w:color w:val="auto"/>
              </w:rPr>
            </w:pPr>
          </w:p>
        </w:tc>
        <w:tc>
          <w:tcPr>
            <w:tcW w:w="1060" w:type="dxa"/>
            <w:vAlign w:val="bottom"/>
            <w:shd w:val="clear" w:color="auto" w:fill="E2EEF6"/>
          </w:tcPr>
          <w:p>
            <w:pPr>
              <w:spacing w:after="0"/>
              <w:rPr>
                <w:sz w:val="17"/>
                <w:szCs w:val="17"/>
                <w:color w:val="auto"/>
              </w:rPr>
            </w:pPr>
          </w:p>
        </w:tc>
        <w:tc>
          <w:tcPr>
            <w:tcW w:w="140" w:type="dxa"/>
            <w:vAlign w:val="bottom"/>
            <w:shd w:val="clear" w:color="auto" w:fill="E2EEF6"/>
          </w:tcPr>
          <w:p>
            <w:pPr>
              <w:spacing w:after="0"/>
              <w:rPr>
                <w:sz w:val="17"/>
                <w:szCs w:val="17"/>
                <w:color w:val="auto"/>
              </w:rPr>
            </w:pPr>
          </w:p>
        </w:tc>
        <w:tc>
          <w:tcPr>
            <w:tcW w:w="80" w:type="dxa"/>
            <w:vAlign w:val="bottom"/>
            <w:shd w:val="clear" w:color="auto" w:fill="E2EEF6"/>
          </w:tcPr>
          <w:p>
            <w:pPr>
              <w:spacing w:after="0"/>
              <w:rPr>
                <w:sz w:val="17"/>
                <w:szCs w:val="17"/>
                <w:color w:val="auto"/>
              </w:rPr>
            </w:pPr>
          </w:p>
        </w:tc>
        <w:tc>
          <w:tcPr>
            <w:tcW w:w="300" w:type="dxa"/>
            <w:vAlign w:val="bottom"/>
            <w:shd w:val="clear" w:color="auto" w:fill="E2EEF6"/>
          </w:tcPr>
          <w:p>
            <w:pPr>
              <w:spacing w:after="0"/>
              <w:rPr>
                <w:sz w:val="17"/>
                <w:szCs w:val="17"/>
                <w:color w:val="auto"/>
              </w:rPr>
            </w:pPr>
          </w:p>
        </w:tc>
        <w:tc>
          <w:tcPr>
            <w:tcW w:w="106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r>
      <w:tr>
        <w:trPr>
          <w:trHeight w:val="209"/>
        </w:trPr>
        <w:tc>
          <w:tcPr>
            <w:tcW w:w="5160" w:type="dxa"/>
            <w:vAlign w:val="bottom"/>
            <w:shd w:val="clear" w:color="auto" w:fill="E2EEF6"/>
          </w:tcPr>
          <w:p>
            <w:pPr>
              <w:ind w:left="320"/>
              <w:spacing w:after="0"/>
              <w:rPr>
                <w:sz w:val="20"/>
                <w:szCs w:val="20"/>
                <w:color w:val="auto"/>
              </w:rPr>
            </w:pPr>
            <w:r>
              <w:rPr>
                <w:rFonts w:ascii="Arial" w:cs="Arial" w:eastAsia="Arial" w:hAnsi="Arial"/>
                <w:sz w:val="17"/>
                <w:szCs w:val="17"/>
                <w:color w:val="auto"/>
                <w:w w:val="98"/>
              </w:rPr>
              <w:t>for the three months ended June 30, 2004, and $0.7 and $0.2 for</w:t>
            </w:r>
          </w:p>
        </w:tc>
        <w:tc>
          <w:tcPr>
            <w:tcW w:w="920" w:type="dxa"/>
            <w:vAlign w:val="bottom"/>
            <w:shd w:val="clear" w:color="auto" w:fill="E2EEF6"/>
          </w:tcPr>
          <w:p>
            <w:pPr>
              <w:spacing w:after="0"/>
              <w:rPr>
                <w:sz w:val="18"/>
                <w:szCs w:val="18"/>
                <w:color w:val="auto"/>
              </w:rPr>
            </w:pPr>
          </w:p>
        </w:tc>
        <w:tc>
          <w:tcPr>
            <w:tcW w:w="460" w:type="dxa"/>
            <w:vAlign w:val="bottom"/>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80" w:type="dxa"/>
            <w:vAlign w:val="bottom"/>
            <w:shd w:val="clear" w:color="auto" w:fill="E2EEF6"/>
          </w:tcPr>
          <w:p>
            <w:pPr>
              <w:spacing w:after="0"/>
              <w:rPr>
                <w:sz w:val="18"/>
                <w:szCs w:val="18"/>
                <w:color w:val="auto"/>
              </w:rPr>
            </w:pPr>
          </w:p>
        </w:tc>
        <w:tc>
          <w:tcPr>
            <w:tcW w:w="1000" w:type="dxa"/>
            <w:vAlign w:val="bottom"/>
            <w:shd w:val="clear" w:color="auto" w:fill="E2EEF6"/>
          </w:tcPr>
          <w:p>
            <w:pPr>
              <w:spacing w:after="0"/>
              <w:rPr>
                <w:sz w:val="18"/>
                <w:szCs w:val="18"/>
                <w:color w:val="auto"/>
              </w:rPr>
            </w:pPr>
          </w:p>
        </w:tc>
        <w:tc>
          <w:tcPr>
            <w:tcW w:w="380" w:type="dxa"/>
            <w:vAlign w:val="bottom"/>
            <w:shd w:val="clear" w:color="auto" w:fill="E2EEF6"/>
          </w:tcPr>
          <w:p>
            <w:pPr>
              <w:spacing w:after="0"/>
              <w:rPr>
                <w:sz w:val="18"/>
                <w:szCs w:val="18"/>
                <w:color w:val="auto"/>
              </w:rPr>
            </w:pPr>
          </w:p>
        </w:tc>
        <w:tc>
          <w:tcPr>
            <w:tcW w:w="220" w:type="dxa"/>
            <w:vAlign w:val="bottom"/>
            <w:shd w:val="clear" w:color="auto" w:fill="E2EEF6"/>
          </w:tcPr>
          <w:p>
            <w:pPr>
              <w:spacing w:after="0"/>
              <w:rPr>
                <w:sz w:val="18"/>
                <w:szCs w:val="18"/>
                <w:color w:val="auto"/>
              </w:rPr>
            </w:pPr>
          </w:p>
        </w:tc>
        <w:tc>
          <w:tcPr>
            <w:tcW w:w="300" w:type="dxa"/>
            <w:vAlign w:val="bottom"/>
            <w:shd w:val="clear" w:color="auto" w:fill="E2EEF6"/>
          </w:tcPr>
          <w:p>
            <w:pPr>
              <w:spacing w:after="0"/>
              <w:rPr>
                <w:sz w:val="18"/>
                <w:szCs w:val="18"/>
                <w:color w:val="auto"/>
              </w:rPr>
            </w:pPr>
          </w:p>
        </w:tc>
        <w:tc>
          <w:tcPr>
            <w:tcW w:w="1060" w:type="dxa"/>
            <w:vAlign w:val="bottom"/>
            <w:shd w:val="clear" w:color="auto" w:fill="E2EEF6"/>
          </w:tcPr>
          <w:p>
            <w:pPr>
              <w:spacing w:after="0"/>
              <w:rPr>
                <w:sz w:val="18"/>
                <w:szCs w:val="18"/>
                <w:color w:val="auto"/>
              </w:rPr>
            </w:pPr>
          </w:p>
        </w:tc>
        <w:tc>
          <w:tcPr>
            <w:tcW w:w="140" w:type="dxa"/>
            <w:vAlign w:val="bottom"/>
            <w:shd w:val="clear" w:color="auto" w:fill="E2EEF6"/>
          </w:tcPr>
          <w:p>
            <w:pPr>
              <w:spacing w:after="0"/>
              <w:rPr>
                <w:sz w:val="18"/>
                <w:szCs w:val="18"/>
                <w:color w:val="auto"/>
              </w:rPr>
            </w:pPr>
          </w:p>
        </w:tc>
        <w:tc>
          <w:tcPr>
            <w:tcW w:w="80" w:type="dxa"/>
            <w:vAlign w:val="bottom"/>
            <w:shd w:val="clear" w:color="auto" w:fill="E2EEF6"/>
          </w:tcPr>
          <w:p>
            <w:pPr>
              <w:spacing w:after="0"/>
              <w:rPr>
                <w:sz w:val="18"/>
                <w:szCs w:val="18"/>
                <w:color w:val="auto"/>
              </w:rPr>
            </w:pPr>
          </w:p>
        </w:tc>
        <w:tc>
          <w:tcPr>
            <w:tcW w:w="300" w:type="dxa"/>
            <w:vAlign w:val="bottom"/>
            <w:shd w:val="clear" w:color="auto" w:fill="E2EEF6"/>
          </w:tcPr>
          <w:p>
            <w:pPr>
              <w:spacing w:after="0"/>
              <w:rPr>
                <w:sz w:val="18"/>
                <w:szCs w:val="18"/>
                <w:color w:val="auto"/>
              </w:rPr>
            </w:pPr>
          </w:p>
        </w:tc>
        <w:tc>
          <w:tcPr>
            <w:tcW w:w="1060" w:type="dxa"/>
            <w:vAlign w:val="bottom"/>
            <w:shd w:val="clear" w:color="auto" w:fill="E2EEF6"/>
          </w:tcPr>
          <w:p>
            <w:pPr>
              <w:spacing w:after="0"/>
              <w:rPr>
                <w:sz w:val="18"/>
                <w:szCs w:val="18"/>
                <w:color w:val="auto"/>
              </w:rPr>
            </w:pPr>
          </w:p>
        </w:tc>
        <w:tc>
          <w:tcPr>
            <w:tcW w:w="100" w:type="dxa"/>
            <w:vAlign w:val="bottom"/>
            <w:shd w:val="clear" w:color="auto" w:fill="E2EEF6"/>
          </w:tcPr>
          <w:p>
            <w:pPr>
              <w:spacing w:after="0"/>
              <w:rPr>
                <w:sz w:val="18"/>
                <w:szCs w:val="18"/>
                <w:color w:val="auto"/>
              </w:rPr>
            </w:pPr>
          </w:p>
        </w:tc>
      </w:tr>
      <w:tr>
        <w:trPr>
          <w:trHeight w:val="209"/>
        </w:trPr>
        <w:tc>
          <w:tcPr>
            <w:tcW w:w="5160" w:type="dxa"/>
            <w:vAlign w:val="bottom"/>
            <w:shd w:val="clear" w:color="auto" w:fill="E2EEF6"/>
          </w:tcPr>
          <w:p>
            <w:pPr>
              <w:ind w:left="320"/>
              <w:spacing w:after="0"/>
              <w:rPr>
                <w:sz w:val="20"/>
                <w:szCs w:val="20"/>
                <w:color w:val="auto"/>
              </w:rPr>
            </w:pPr>
            <w:r>
              <w:rPr>
                <w:rFonts w:ascii="Arial" w:cs="Arial" w:eastAsia="Arial" w:hAnsi="Arial"/>
                <w:sz w:val="17"/>
                <w:szCs w:val="17"/>
                <w:color w:val="auto"/>
              </w:rPr>
              <w:t>the six months ended June 30, 2005 and June 30, 2004,</w:t>
            </w:r>
          </w:p>
        </w:tc>
        <w:tc>
          <w:tcPr>
            <w:tcW w:w="920" w:type="dxa"/>
            <w:vAlign w:val="bottom"/>
            <w:shd w:val="clear" w:color="auto" w:fill="E2EEF6"/>
          </w:tcPr>
          <w:p>
            <w:pPr>
              <w:spacing w:after="0"/>
              <w:rPr>
                <w:sz w:val="18"/>
                <w:szCs w:val="18"/>
                <w:color w:val="auto"/>
              </w:rPr>
            </w:pPr>
          </w:p>
        </w:tc>
        <w:tc>
          <w:tcPr>
            <w:tcW w:w="460" w:type="dxa"/>
            <w:vAlign w:val="bottom"/>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80" w:type="dxa"/>
            <w:vAlign w:val="bottom"/>
            <w:shd w:val="clear" w:color="auto" w:fill="E2EEF6"/>
          </w:tcPr>
          <w:p>
            <w:pPr>
              <w:spacing w:after="0"/>
              <w:rPr>
                <w:sz w:val="18"/>
                <w:szCs w:val="18"/>
                <w:color w:val="auto"/>
              </w:rPr>
            </w:pPr>
          </w:p>
        </w:tc>
        <w:tc>
          <w:tcPr>
            <w:tcW w:w="1000" w:type="dxa"/>
            <w:vAlign w:val="bottom"/>
            <w:shd w:val="clear" w:color="auto" w:fill="E2EEF6"/>
          </w:tcPr>
          <w:p>
            <w:pPr>
              <w:spacing w:after="0"/>
              <w:rPr>
                <w:sz w:val="18"/>
                <w:szCs w:val="18"/>
                <w:color w:val="auto"/>
              </w:rPr>
            </w:pPr>
          </w:p>
        </w:tc>
        <w:tc>
          <w:tcPr>
            <w:tcW w:w="380" w:type="dxa"/>
            <w:vAlign w:val="bottom"/>
            <w:shd w:val="clear" w:color="auto" w:fill="E2EEF6"/>
          </w:tcPr>
          <w:p>
            <w:pPr>
              <w:spacing w:after="0"/>
              <w:rPr>
                <w:sz w:val="18"/>
                <w:szCs w:val="18"/>
                <w:color w:val="auto"/>
              </w:rPr>
            </w:pPr>
          </w:p>
        </w:tc>
        <w:tc>
          <w:tcPr>
            <w:tcW w:w="220" w:type="dxa"/>
            <w:vAlign w:val="bottom"/>
            <w:shd w:val="clear" w:color="auto" w:fill="E2EEF6"/>
          </w:tcPr>
          <w:p>
            <w:pPr>
              <w:spacing w:after="0"/>
              <w:rPr>
                <w:sz w:val="18"/>
                <w:szCs w:val="18"/>
                <w:color w:val="auto"/>
              </w:rPr>
            </w:pPr>
          </w:p>
        </w:tc>
        <w:tc>
          <w:tcPr>
            <w:tcW w:w="300" w:type="dxa"/>
            <w:vAlign w:val="bottom"/>
            <w:shd w:val="clear" w:color="auto" w:fill="E2EEF6"/>
          </w:tcPr>
          <w:p>
            <w:pPr>
              <w:spacing w:after="0"/>
              <w:rPr>
                <w:sz w:val="18"/>
                <w:szCs w:val="18"/>
                <w:color w:val="auto"/>
              </w:rPr>
            </w:pPr>
          </w:p>
        </w:tc>
        <w:tc>
          <w:tcPr>
            <w:tcW w:w="1060" w:type="dxa"/>
            <w:vAlign w:val="bottom"/>
            <w:shd w:val="clear" w:color="auto" w:fill="E2EEF6"/>
          </w:tcPr>
          <w:p>
            <w:pPr>
              <w:spacing w:after="0"/>
              <w:rPr>
                <w:sz w:val="18"/>
                <w:szCs w:val="18"/>
                <w:color w:val="auto"/>
              </w:rPr>
            </w:pPr>
          </w:p>
        </w:tc>
        <w:tc>
          <w:tcPr>
            <w:tcW w:w="140" w:type="dxa"/>
            <w:vAlign w:val="bottom"/>
            <w:shd w:val="clear" w:color="auto" w:fill="E2EEF6"/>
          </w:tcPr>
          <w:p>
            <w:pPr>
              <w:spacing w:after="0"/>
              <w:rPr>
                <w:sz w:val="18"/>
                <w:szCs w:val="18"/>
                <w:color w:val="auto"/>
              </w:rPr>
            </w:pPr>
          </w:p>
        </w:tc>
        <w:tc>
          <w:tcPr>
            <w:tcW w:w="80" w:type="dxa"/>
            <w:vAlign w:val="bottom"/>
            <w:shd w:val="clear" w:color="auto" w:fill="E2EEF6"/>
          </w:tcPr>
          <w:p>
            <w:pPr>
              <w:spacing w:after="0"/>
              <w:rPr>
                <w:sz w:val="18"/>
                <w:szCs w:val="18"/>
                <w:color w:val="auto"/>
              </w:rPr>
            </w:pPr>
          </w:p>
        </w:tc>
        <w:tc>
          <w:tcPr>
            <w:tcW w:w="300" w:type="dxa"/>
            <w:vAlign w:val="bottom"/>
            <w:shd w:val="clear" w:color="auto" w:fill="E2EEF6"/>
          </w:tcPr>
          <w:p>
            <w:pPr>
              <w:spacing w:after="0"/>
              <w:rPr>
                <w:sz w:val="18"/>
                <w:szCs w:val="18"/>
                <w:color w:val="auto"/>
              </w:rPr>
            </w:pPr>
          </w:p>
        </w:tc>
        <w:tc>
          <w:tcPr>
            <w:tcW w:w="1060" w:type="dxa"/>
            <w:vAlign w:val="bottom"/>
            <w:shd w:val="clear" w:color="auto" w:fill="E2EEF6"/>
          </w:tcPr>
          <w:p>
            <w:pPr>
              <w:spacing w:after="0"/>
              <w:rPr>
                <w:sz w:val="18"/>
                <w:szCs w:val="18"/>
                <w:color w:val="auto"/>
              </w:rPr>
            </w:pPr>
          </w:p>
        </w:tc>
        <w:tc>
          <w:tcPr>
            <w:tcW w:w="100" w:type="dxa"/>
            <w:vAlign w:val="bottom"/>
            <w:shd w:val="clear" w:color="auto" w:fill="E2EEF6"/>
          </w:tcPr>
          <w:p>
            <w:pPr>
              <w:spacing w:after="0"/>
              <w:rPr>
                <w:sz w:val="18"/>
                <w:szCs w:val="18"/>
                <w:color w:val="auto"/>
              </w:rPr>
            </w:pPr>
          </w:p>
        </w:tc>
      </w:tr>
      <w:tr>
        <w:trPr>
          <w:trHeight w:val="222"/>
        </w:trPr>
        <w:tc>
          <w:tcPr>
            <w:tcW w:w="5160" w:type="dxa"/>
            <w:vAlign w:val="bottom"/>
            <w:tcBorders>
              <w:bottom w:val="single" w:sz="8" w:color="auto"/>
            </w:tcBorders>
            <w:shd w:val="clear" w:color="auto" w:fill="E2EEF6"/>
          </w:tcPr>
          <w:p>
            <w:pPr>
              <w:ind w:left="320"/>
              <w:spacing w:after="0"/>
              <w:rPr>
                <w:sz w:val="20"/>
                <w:szCs w:val="20"/>
                <w:color w:val="auto"/>
              </w:rPr>
            </w:pPr>
            <w:r>
              <w:rPr>
                <w:rFonts w:ascii="Arial" w:cs="Arial" w:eastAsia="Arial" w:hAnsi="Arial"/>
                <w:sz w:val="17"/>
                <w:szCs w:val="17"/>
                <w:color w:val="auto"/>
              </w:rPr>
              <w:t>respectively)</w:t>
            </w:r>
          </w:p>
        </w:tc>
        <w:tc>
          <w:tcPr>
            <w:tcW w:w="920" w:type="dxa"/>
            <w:vAlign w:val="bottom"/>
            <w:tcBorders>
              <w:bottom w:val="single" w:sz="8" w:color="auto"/>
            </w:tcBorders>
            <w:shd w:val="clear" w:color="auto" w:fill="E2EEF6"/>
          </w:tcPr>
          <w:p>
            <w:pPr>
              <w:spacing w:after="0"/>
              <w:rPr>
                <w:sz w:val="19"/>
                <w:szCs w:val="19"/>
                <w:color w:val="auto"/>
              </w:rPr>
            </w:pPr>
          </w:p>
        </w:tc>
        <w:tc>
          <w:tcPr>
            <w:tcW w:w="62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E2EEF6"/>
          </w:tcPr>
          <w:p>
            <w:pPr>
              <w:spacing w:after="0"/>
              <w:rPr>
                <w:sz w:val="19"/>
                <w:szCs w:val="19"/>
                <w:color w:val="auto"/>
              </w:rPr>
            </w:pPr>
          </w:p>
        </w:tc>
        <w:tc>
          <w:tcPr>
            <w:tcW w:w="1000" w:type="dxa"/>
            <w:vAlign w:val="bottom"/>
            <w:tcBorders>
              <w:bottom w:val="single" w:sz="8" w:color="auto"/>
            </w:tcBorders>
            <w:shd w:val="clear" w:color="auto" w:fill="E2EEF6"/>
          </w:tcPr>
          <w:p>
            <w:pPr>
              <w:spacing w:after="0"/>
              <w:rPr>
                <w:sz w:val="19"/>
                <w:szCs w:val="19"/>
                <w:color w:val="auto"/>
              </w:rPr>
            </w:pPr>
          </w:p>
        </w:tc>
        <w:tc>
          <w:tcPr>
            <w:tcW w:w="60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0.5</w:t>
            </w:r>
          </w:p>
        </w:tc>
        <w:tc>
          <w:tcPr>
            <w:tcW w:w="300" w:type="dxa"/>
            <w:vAlign w:val="bottom"/>
            <w:tcBorders>
              <w:bottom w:val="single" w:sz="8" w:color="auto"/>
            </w:tcBorders>
            <w:shd w:val="clear" w:color="auto" w:fill="E2EEF6"/>
          </w:tcPr>
          <w:p>
            <w:pPr>
              <w:spacing w:after="0"/>
              <w:rPr>
                <w:sz w:val="19"/>
                <w:szCs w:val="19"/>
                <w:color w:val="auto"/>
              </w:rPr>
            </w:pPr>
          </w:p>
        </w:tc>
        <w:tc>
          <w:tcPr>
            <w:tcW w:w="12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1.4</w:t>
            </w:r>
          </w:p>
        </w:tc>
        <w:tc>
          <w:tcPr>
            <w:tcW w:w="80" w:type="dxa"/>
            <w:vAlign w:val="bottom"/>
            <w:tcBorders>
              <w:bottom w:val="single" w:sz="8" w:color="auto"/>
            </w:tcBorders>
            <w:shd w:val="clear" w:color="auto" w:fill="E2EEF6"/>
          </w:tcPr>
          <w:p>
            <w:pPr>
              <w:spacing w:after="0"/>
              <w:rPr>
                <w:sz w:val="19"/>
                <w:szCs w:val="19"/>
                <w:color w:val="auto"/>
              </w:rPr>
            </w:pPr>
          </w:p>
        </w:tc>
        <w:tc>
          <w:tcPr>
            <w:tcW w:w="300" w:type="dxa"/>
            <w:vAlign w:val="bottom"/>
            <w:tcBorders>
              <w:bottom w:val="single" w:sz="8" w:color="auto"/>
            </w:tcBorders>
            <w:shd w:val="clear" w:color="auto" w:fill="E2EEF6"/>
          </w:tcPr>
          <w:p>
            <w:pPr>
              <w:spacing w:after="0"/>
              <w:rPr>
                <w:sz w:val="19"/>
                <w:szCs w:val="19"/>
                <w:color w:val="auto"/>
              </w:rPr>
            </w:pPr>
          </w:p>
        </w:tc>
        <w:tc>
          <w:tcPr>
            <w:tcW w:w="116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0.5</w:t>
            </w:r>
          </w:p>
        </w:tc>
      </w:tr>
      <w:tr>
        <w:trPr>
          <w:trHeight w:val="229"/>
        </w:trPr>
        <w:tc>
          <w:tcPr>
            <w:tcW w:w="5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Comprehensive Income (Loss)</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(0.1)</w:t>
            </w: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0.3</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1.5</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0.2</w:t>
            </w:r>
          </w:p>
        </w:tc>
      </w:tr>
      <w:tr>
        <w:trPr>
          <w:trHeight w:val="269"/>
        </w:trPr>
        <w:tc>
          <w:tcPr>
            <w:tcW w:w="516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7"/>
                <w:szCs w:val="17"/>
                <w:color w:val="auto"/>
              </w:rPr>
              <w:t>Total Comprehensive Income</w:t>
            </w:r>
          </w:p>
        </w:tc>
        <w:tc>
          <w:tcPr>
            <w:tcW w:w="920" w:type="dxa"/>
            <w:vAlign w:val="bottom"/>
            <w:tcBorders>
              <w:bottom w:val="single" w:sz="8" w:color="auto"/>
            </w:tcBorders>
            <w:shd w:val="clear" w:color="auto" w:fill="E2EEF6"/>
          </w:tcPr>
          <w:p>
            <w:pPr>
              <w:jc w:val="right"/>
              <w:ind w:right="75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301.7</w:t>
            </w:r>
          </w:p>
        </w:tc>
        <w:tc>
          <w:tcPr>
            <w:tcW w:w="1080" w:type="dxa"/>
            <w:vAlign w:val="bottom"/>
            <w:tcBorders>
              <w:bottom w:val="single" w:sz="8" w:color="auto"/>
            </w:tcBorders>
            <w:gridSpan w:val="2"/>
            <w:shd w:val="clear" w:color="auto" w:fill="E2EEF6"/>
          </w:tcPr>
          <w:p>
            <w:pPr>
              <w:jc w:val="right"/>
              <w:ind w:right="92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48.3</w:t>
            </w:r>
          </w:p>
        </w:tc>
        <w:tc>
          <w:tcPr>
            <w:tcW w:w="300" w:type="dxa"/>
            <w:vAlign w:val="bottom"/>
            <w:tcBorders>
              <w:bottom w:val="single" w:sz="8" w:color="auto"/>
            </w:tcBorders>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395.1</w:t>
            </w:r>
          </w:p>
        </w:tc>
        <w:tc>
          <w:tcPr>
            <w:tcW w:w="38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70.9</w:t>
            </w: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73660</wp:posOffset>
            </wp:positionV>
            <wp:extent cx="725551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 to Form 10-Q</w:t>
              </w:r>
            </w:hyperlink>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9"/>
        </w:trPr>
        <w:tc>
          <w:tcPr>
            <w:tcW w:w="1120" w:type="dxa"/>
            <w:vAlign w:val="bottom"/>
            <w:tcBorders>
              <w:top w:val="single" w:sz="8" w:color="0000EE"/>
            </w:tcBorders>
          </w:tcPr>
          <w:p>
            <w:pPr>
              <w:spacing w:after="0"/>
              <w:rPr>
                <w:sz w:val="24"/>
                <w:szCs w:val="24"/>
                <w:color w:val="auto"/>
              </w:rPr>
            </w:pPr>
          </w:p>
        </w:tc>
        <w:tc>
          <w:tcPr>
            <w:tcW w:w="7220" w:type="dxa"/>
            <w:vAlign w:val="bottom"/>
          </w:tcPr>
          <w:p>
            <w:pPr>
              <w:jc w:val="center"/>
              <w:ind w:left="1893"/>
              <w:spacing w:after="0"/>
              <w:rPr>
                <w:sz w:val="20"/>
                <w:szCs w:val="20"/>
                <w:color w:val="auto"/>
              </w:rPr>
            </w:pPr>
            <w:r>
              <w:rPr>
                <w:rFonts w:ascii="Arial" w:cs="Arial" w:eastAsia="Arial" w:hAnsi="Arial"/>
                <w:sz w:val="17"/>
                <w:szCs w:val="17"/>
                <w:b w:val="1"/>
                <w:bCs w:val="1"/>
                <w:color w:val="auto"/>
              </w:rPr>
              <w:t>TRANSOCEAN INC. AND SUBSIDIARIES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7220" w:type="dxa"/>
            <w:vAlign w:val="bottom"/>
          </w:tcPr>
          <w:p>
            <w:pPr>
              <w:jc w:val="center"/>
              <w:ind w:left="1893"/>
              <w:spacing w:after="0"/>
              <w:rPr>
                <w:sz w:val="20"/>
                <w:szCs w:val="20"/>
                <w:color w:val="auto"/>
              </w:rPr>
            </w:pPr>
            <w:r>
              <w:rPr>
                <w:rFonts w:ascii="Arial" w:cs="Arial" w:eastAsia="Arial" w:hAnsi="Arial"/>
                <w:sz w:val="17"/>
                <w:szCs w:val="17"/>
                <w:b w:val="1"/>
                <w:bCs w:val="1"/>
                <w:color w:val="auto"/>
              </w:rPr>
              <w:t>CONDENSED CONSOLIDATED BALANCE SHEETS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20" w:type="dxa"/>
            <w:vAlign w:val="bottom"/>
          </w:tcPr>
          <w:p>
            <w:pPr>
              <w:spacing w:after="0"/>
              <w:rPr>
                <w:sz w:val="19"/>
                <w:szCs w:val="19"/>
                <w:color w:val="auto"/>
              </w:rPr>
            </w:pPr>
          </w:p>
        </w:tc>
        <w:tc>
          <w:tcPr>
            <w:tcW w:w="7220" w:type="dxa"/>
            <w:vAlign w:val="bottom"/>
          </w:tcPr>
          <w:p>
            <w:pPr>
              <w:jc w:val="center"/>
              <w:ind w:left="1893"/>
              <w:spacing w:after="0"/>
              <w:rPr>
                <w:sz w:val="20"/>
                <w:szCs w:val="20"/>
                <w:color w:val="auto"/>
              </w:rPr>
            </w:pPr>
            <w:r>
              <w:rPr>
                <w:rFonts w:ascii="Arial" w:cs="Arial" w:eastAsia="Arial" w:hAnsi="Arial"/>
                <w:sz w:val="17"/>
                <w:szCs w:val="17"/>
                <w:color w:val="auto"/>
                <w:w w:val="93"/>
              </w:rPr>
              <w:t>(In millions, except share data)</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7"/>
        </w:trPr>
        <w:tc>
          <w:tcPr>
            <w:tcW w:w="8340" w:type="dxa"/>
            <w:vAlign w:val="bottom"/>
            <w:gridSpan w:val="2"/>
            <w:vMerge w:val="restart"/>
          </w:tcPr>
          <w:p>
            <w:pPr>
              <w:spacing w:after="0"/>
              <w:rPr>
                <w:sz w:val="20"/>
                <w:szCs w:val="20"/>
                <w:color w:val="auto"/>
              </w:rPr>
            </w:pPr>
            <w:r>
              <w:rPr>
                <w:rFonts w:ascii="Arial" w:cs="Arial" w:eastAsia="Arial" w:hAnsi="Arial"/>
                <w:sz w:val="17"/>
                <w:szCs w:val="17"/>
                <w:color w:val="FFFFFF"/>
              </w:rPr>
              <w:t>&lt;B&gt;</w:t>
            </w:r>
          </w:p>
        </w:tc>
        <w:tc>
          <w:tcPr>
            <w:tcW w:w="20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7"/>
                <w:szCs w:val="17"/>
                <w:color w:val="auto"/>
                <w:w w:val="88"/>
              </w:rPr>
              <w:t>June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7"/>
                <w:szCs w:val="17"/>
                <w:color w:val="auto"/>
                <w:w w:val="93"/>
              </w:rPr>
              <w:t>December 31,</w:t>
            </w:r>
          </w:p>
        </w:tc>
        <w:tc>
          <w:tcPr>
            <w:tcW w:w="0" w:type="dxa"/>
            <w:vAlign w:val="bottom"/>
          </w:tcPr>
          <w:p>
            <w:pPr>
              <w:spacing w:after="0"/>
              <w:rPr>
                <w:sz w:val="1"/>
                <w:szCs w:val="1"/>
                <w:color w:val="auto"/>
              </w:rPr>
            </w:pPr>
          </w:p>
        </w:tc>
      </w:tr>
      <w:tr>
        <w:trPr>
          <w:trHeight w:val="236"/>
        </w:trPr>
        <w:tc>
          <w:tcPr>
            <w:tcW w:w="8340" w:type="dxa"/>
            <w:vAlign w:val="bottom"/>
            <w:gridSpan w:val="2"/>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3"/>
              <w:spacing w:after="0"/>
              <w:rPr>
                <w:sz w:val="20"/>
                <w:szCs w:val="20"/>
                <w:color w:val="auto"/>
              </w:rPr>
            </w:pPr>
            <w:r>
              <w:rPr>
                <w:rFonts w:ascii="Arial" w:cs="Arial" w:eastAsia="Arial" w:hAnsi="Arial"/>
                <w:sz w:val="17"/>
                <w:szCs w:val="17"/>
                <w:color w:val="auto"/>
                <w:w w:val="95"/>
              </w:rPr>
              <w:t>2005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2004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12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7"/>
                <w:szCs w:val="17"/>
                <w:color w:val="auto"/>
                <w:w w:val="96"/>
              </w:rPr>
              <w:t>(Unaudited)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120" w:type="dxa"/>
            <w:vAlign w:val="bottom"/>
          </w:tcPr>
          <w:p>
            <w:pPr>
              <w:spacing w:after="0"/>
              <w:rPr>
                <w:sz w:val="20"/>
                <w:szCs w:val="20"/>
                <w:color w:val="auto"/>
              </w:rPr>
            </w:pPr>
          </w:p>
        </w:tc>
        <w:tc>
          <w:tcPr>
            <w:tcW w:w="7220" w:type="dxa"/>
            <w:vAlign w:val="bottom"/>
          </w:tcPr>
          <w:p>
            <w:pPr>
              <w:jc w:val="center"/>
              <w:ind w:right="1253"/>
              <w:spacing w:after="0"/>
              <w:rPr>
                <w:sz w:val="20"/>
                <w:szCs w:val="20"/>
                <w:color w:val="auto"/>
              </w:rPr>
            </w:pPr>
            <w:r>
              <w:rPr>
                <w:rFonts w:ascii="Arial" w:cs="Arial" w:eastAsia="Arial" w:hAnsi="Arial"/>
                <w:sz w:val="17"/>
                <w:szCs w:val="17"/>
                <w:b w:val="1"/>
                <w:bCs w:val="1"/>
                <w:color w:val="auto"/>
                <w:w w:val="94"/>
              </w:rPr>
              <w:t>ASSETS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340" w:type="dxa"/>
            <w:vAlign w:val="bottom"/>
            <w:gridSpan w:val="2"/>
          </w:tcPr>
          <w:p>
            <w:pPr>
              <w:spacing w:after="0"/>
              <w:rPr>
                <w:sz w:val="20"/>
                <w:szCs w:val="20"/>
                <w:color w:val="auto"/>
              </w:rPr>
            </w:pPr>
            <w:r>
              <w:rPr>
                <w:rFonts w:ascii="Arial" w:cs="Arial" w:eastAsia="Arial" w:hAnsi="Arial"/>
                <w:sz w:val="17"/>
                <w:szCs w:val="17"/>
                <w:color w:val="FFFFFF"/>
              </w:rPr>
              <w:t>&lt;S&gt;</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340" w:type="dxa"/>
            <w:vAlign w:val="bottom"/>
            <w:gridSpan w:val="2"/>
            <w:shd w:val="clear" w:color="auto" w:fill="E2EEF6"/>
          </w:tcPr>
          <w:p>
            <w:pPr>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E2EEF6"/>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942.5</w:t>
            </w:r>
          </w:p>
        </w:tc>
        <w:tc>
          <w:tcPr>
            <w:tcW w:w="220" w:type="dxa"/>
            <w:vAlign w:val="bottom"/>
            <w:gridSpan w:val="2"/>
            <w:shd w:val="clear" w:color="auto" w:fill="E2EEF6"/>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451.3</w:t>
            </w:r>
          </w:p>
        </w:tc>
        <w:tc>
          <w:tcPr>
            <w:tcW w:w="0" w:type="dxa"/>
            <w:vAlign w:val="bottom"/>
          </w:tcPr>
          <w:p>
            <w:pPr>
              <w:spacing w:after="0"/>
              <w:rPr>
                <w:sz w:val="1"/>
                <w:szCs w:val="1"/>
                <w:color w:val="auto"/>
              </w:rPr>
            </w:pPr>
          </w:p>
        </w:tc>
      </w:tr>
      <w:tr>
        <w:trPr>
          <w:trHeight w:val="197"/>
        </w:trPr>
        <w:tc>
          <w:tcPr>
            <w:tcW w:w="8340" w:type="dxa"/>
            <w:vAlign w:val="bottom"/>
            <w:gridSpan w:val="2"/>
          </w:tcPr>
          <w:p>
            <w:pPr>
              <w:spacing w:after="0"/>
              <w:rPr>
                <w:sz w:val="20"/>
                <w:szCs w:val="20"/>
                <w:color w:val="auto"/>
              </w:rPr>
            </w:pPr>
            <w:r>
              <w:rPr>
                <w:rFonts w:ascii="Arial" w:cs="Arial" w:eastAsia="Arial" w:hAnsi="Arial"/>
                <w:sz w:val="17"/>
                <w:szCs w:val="17"/>
                <w:color w:val="auto"/>
                <w:w w:val="94"/>
              </w:rPr>
              <w:t>Accounts Receivable, net of allowance for doubtful accounts of $18.3 and $16.8 at June 30, 2005 and December 31,</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340" w:type="dxa"/>
            <w:vAlign w:val="bottom"/>
            <w:gridSpan w:val="2"/>
          </w:tcPr>
          <w:p>
            <w:pPr>
              <w:ind w:left="160"/>
              <w:spacing w:after="0"/>
              <w:rPr>
                <w:sz w:val="20"/>
                <w:szCs w:val="20"/>
                <w:color w:val="auto"/>
              </w:rPr>
            </w:pPr>
            <w:r>
              <w:rPr>
                <w:rFonts w:ascii="Arial" w:cs="Arial" w:eastAsia="Arial" w:hAnsi="Arial"/>
                <w:sz w:val="17"/>
                <w:szCs w:val="17"/>
                <w:color w:val="auto"/>
              </w:rPr>
              <w:t>2004, respectively</w:t>
            </w:r>
          </w:p>
        </w:tc>
        <w:tc>
          <w:tcPr>
            <w:tcW w:w="2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7"/>
                <w:szCs w:val="17"/>
                <w:color w:val="auto"/>
              </w:rPr>
              <w:t>564.2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442.0</w:t>
            </w:r>
          </w:p>
        </w:tc>
        <w:tc>
          <w:tcPr>
            <w:tcW w:w="0" w:type="dxa"/>
            <w:vAlign w:val="bottom"/>
          </w:tcPr>
          <w:p>
            <w:pPr>
              <w:spacing w:after="0"/>
              <w:rPr>
                <w:sz w:val="1"/>
                <w:szCs w:val="1"/>
                <w:color w:val="auto"/>
              </w:rPr>
            </w:pPr>
          </w:p>
        </w:tc>
      </w:tr>
      <w:tr>
        <w:trPr>
          <w:trHeight w:val="197"/>
        </w:trPr>
        <w:tc>
          <w:tcPr>
            <w:tcW w:w="8340" w:type="dxa"/>
            <w:vAlign w:val="bottom"/>
            <w:gridSpan w:val="2"/>
            <w:shd w:val="clear" w:color="auto" w:fill="E2EEF6"/>
          </w:tcPr>
          <w:p>
            <w:pPr>
              <w:spacing w:after="0"/>
              <w:rPr>
                <w:sz w:val="20"/>
                <w:szCs w:val="20"/>
                <w:color w:val="auto"/>
              </w:rPr>
            </w:pPr>
            <w:r>
              <w:rPr>
                <w:rFonts w:ascii="Arial" w:cs="Arial" w:eastAsia="Arial" w:hAnsi="Arial"/>
                <w:sz w:val="17"/>
                <w:szCs w:val="17"/>
                <w:color w:val="auto"/>
                <w:w w:val="96"/>
              </w:rPr>
              <w:t>Materials and Supplies, net of allowance for obsolescence of $18.6 and $20.3 at June 30, 2005 and December 31,</w:t>
            </w:r>
          </w:p>
        </w:tc>
        <w:tc>
          <w:tcPr>
            <w:tcW w:w="200" w:type="dxa"/>
            <w:vAlign w:val="bottom"/>
            <w:shd w:val="clear" w:color="auto" w:fill="E2EEF6"/>
          </w:tcPr>
          <w:p>
            <w:pPr>
              <w:spacing w:after="0"/>
              <w:rPr>
                <w:sz w:val="17"/>
                <w:szCs w:val="17"/>
                <w:color w:val="auto"/>
              </w:rPr>
            </w:pPr>
          </w:p>
        </w:tc>
        <w:tc>
          <w:tcPr>
            <w:tcW w:w="1200" w:type="dxa"/>
            <w:vAlign w:val="bottom"/>
            <w:shd w:val="clear" w:color="auto" w:fill="E2EEF6"/>
          </w:tcPr>
          <w:p>
            <w:pPr>
              <w:spacing w:after="0"/>
              <w:rPr>
                <w:sz w:val="17"/>
                <w:szCs w:val="17"/>
                <w:color w:val="auto"/>
              </w:rPr>
            </w:pPr>
          </w:p>
        </w:tc>
        <w:tc>
          <w:tcPr>
            <w:tcW w:w="140" w:type="dxa"/>
            <w:vAlign w:val="bottom"/>
            <w:shd w:val="clear" w:color="auto" w:fill="E2EEF6"/>
          </w:tcPr>
          <w:p>
            <w:pPr>
              <w:spacing w:after="0"/>
              <w:rPr>
                <w:sz w:val="17"/>
                <w:szCs w:val="17"/>
                <w:color w:val="auto"/>
              </w:rPr>
            </w:pPr>
          </w:p>
        </w:tc>
        <w:tc>
          <w:tcPr>
            <w:tcW w:w="80" w:type="dxa"/>
            <w:vAlign w:val="bottom"/>
            <w:shd w:val="clear" w:color="auto" w:fill="E2EEF6"/>
          </w:tcPr>
          <w:p>
            <w:pPr>
              <w:spacing w:after="0"/>
              <w:rPr>
                <w:sz w:val="17"/>
                <w:szCs w:val="17"/>
                <w:color w:val="auto"/>
              </w:rPr>
            </w:pPr>
          </w:p>
        </w:tc>
        <w:tc>
          <w:tcPr>
            <w:tcW w:w="140" w:type="dxa"/>
            <w:vAlign w:val="bottom"/>
            <w:shd w:val="clear" w:color="auto" w:fill="E2EEF6"/>
          </w:tcPr>
          <w:p>
            <w:pPr>
              <w:spacing w:after="0"/>
              <w:rPr>
                <w:sz w:val="17"/>
                <w:szCs w:val="17"/>
                <w:color w:val="auto"/>
              </w:rPr>
            </w:pPr>
          </w:p>
        </w:tc>
        <w:tc>
          <w:tcPr>
            <w:tcW w:w="122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340" w:type="dxa"/>
            <w:vAlign w:val="bottom"/>
            <w:gridSpan w:val="2"/>
            <w:shd w:val="clear" w:color="auto" w:fill="E2EEF6"/>
          </w:tcPr>
          <w:p>
            <w:pPr>
              <w:ind w:left="160"/>
              <w:spacing w:after="0"/>
              <w:rPr>
                <w:sz w:val="20"/>
                <w:szCs w:val="20"/>
                <w:color w:val="auto"/>
              </w:rPr>
            </w:pPr>
            <w:r>
              <w:rPr>
                <w:rFonts w:ascii="Arial" w:cs="Arial" w:eastAsia="Arial" w:hAnsi="Arial"/>
                <w:sz w:val="17"/>
                <w:szCs w:val="17"/>
                <w:color w:val="auto"/>
              </w:rPr>
              <w:t>2004, respectively</w:t>
            </w:r>
          </w:p>
        </w:tc>
        <w:tc>
          <w:tcPr>
            <w:tcW w:w="200" w:type="dxa"/>
            <w:vAlign w:val="bottom"/>
            <w:shd w:val="clear" w:color="auto" w:fill="E2EEF6"/>
          </w:tcPr>
          <w:p>
            <w:pPr>
              <w:spacing w:after="0"/>
              <w:rPr>
                <w:sz w:val="19"/>
                <w:szCs w:val="19"/>
                <w:color w:val="auto"/>
              </w:rPr>
            </w:pPr>
          </w:p>
        </w:tc>
        <w:tc>
          <w:tcPr>
            <w:tcW w:w="134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153.1</w:t>
            </w:r>
          </w:p>
        </w:tc>
        <w:tc>
          <w:tcPr>
            <w:tcW w:w="8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13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144.7</w:t>
            </w:r>
          </w:p>
        </w:tc>
        <w:tc>
          <w:tcPr>
            <w:tcW w:w="0" w:type="dxa"/>
            <w:vAlign w:val="bottom"/>
          </w:tcPr>
          <w:p>
            <w:pPr>
              <w:spacing w:after="0"/>
              <w:rPr>
                <w:sz w:val="1"/>
                <w:szCs w:val="1"/>
                <w:color w:val="auto"/>
              </w:rPr>
            </w:pPr>
          </w:p>
        </w:tc>
      </w:tr>
      <w:tr>
        <w:trPr>
          <w:trHeight w:val="235"/>
        </w:trPr>
        <w:tc>
          <w:tcPr>
            <w:tcW w:w="8340" w:type="dxa"/>
            <w:vAlign w:val="bottom"/>
            <w:gridSpan w:val="2"/>
          </w:tcPr>
          <w:p>
            <w:pPr>
              <w:spacing w:after="0"/>
              <w:rPr>
                <w:sz w:val="20"/>
                <w:szCs w:val="20"/>
                <w:color w:val="auto"/>
              </w:rPr>
            </w:pPr>
            <w:r>
              <w:rPr>
                <w:rFonts w:ascii="Arial" w:cs="Arial" w:eastAsia="Arial" w:hAnsi="Arial"/>
                <w:sz w:val="17"/>
                <w:szCs w:val="17"/>
                <w:color w:val="auto"/>
              </w:rPr>
              <w:t>Deferred Income Taxes, net</w:t>
            </w:r>
          </w:p>
        </w:tc>
        <w:tc>
          <w:tcPr>
            <w:tcW w:w="2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7"/>
                <w:szCs w:val="17"/>
                <w:color w:val="auto"/>
              </w:rPr>
              <w:t>20.7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auto"/>
            </w:tcBorders>
            <w:gridSpan w:val="2"/>
            <w:shd w:val="clear" w:color="auto" w:fill="E2EEF6"/>
          </w:tcPr>
          <w:p>
            <w:pPr>
              <w:spacing w:after="0"/>
              <w:rPr>
                <w:sz w:val="20"/>
                <w:szCs w:val="20"/>
                <w:color w:val="auto"/>
              </w:rPr>
            </w:pPr>
            <w:r>
              <w:rPr>
                <w:rFonts w:ascii="Arial" w:cs="Arial" w:eastAsia="Arial" w:hAnsi="Arial"/>
                <w:sz w:val="17"/>
                <w:szCs w:val="17"/>
                <w:color w:val="auto"/>
              </w:rPr>
              <w:t>Other Current Assets</w:t>
            </w:r>
          </w:p>
        </w:tc>
        <w:tc>
          <w:tcPr>
            <w:tcW w:w="200" w:type="dxa"/>
            <w:vAlign w:val="bottom"/>
            <w:tcBorders>
              <w:bottom w:val="single" w:sz="8" w:color="auto"/>
            </w:tcBorders>
            <w:shd w:val="clear" w:color="auto" w:fill="E2EEF6"/>
          </w:tcPr>
          <w:p>
            <w:pPr>
              <w:spacing w:after="0"/>
              <w:rPr>
                <w:sz w:val="20"/>
                <w:szCs w:val="20"/>
                <w:color w:val="auto"/>
              </w:rPr>
            </w:pPr>
          </w:p>
        </w:tc>
        <w:tc>
          <w:tcPr>
            <w:tcW w:w="134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41.5</w:t>
            </w:r>
          </w:p>
        </w:tc>
        <w:tc>
          <w:tcPr>
            <w:tcW w:w="80" w:type="dxa"/>
            <w:vAlign w:val="bottom"/>
            <w:tcBorders>
              <w:bottom w:val="single" w:sz="8" w:color="auto"/>
            </w:tcBorders>
            <w:shd w:val="clear" w:color="auto" w:fill="E2EEF6"/>
          </w:tcPr>
          <w:p>
            <w:pPr>
              <w:spacing w:after="0"/>
              <w:rPr>
                <w:sz w:val="20"/>
                <w:szCs w:val="20"/>
                <w:color w:val="auto"/>
              </w:rPr>
            </w:pPr>
          </w:p>
        </w:tc>
        <w:tc>
          <w:tcPr>
            <w:tcW w:w="140" w:type="dxa"/>
            <w:vAlign w:val="bottom"/>
            <w:tcBorders>
              <w:bottom w:val="single" w:sz="8" w:color="auto"/>
            </w:tcBorders>
            <w:shd w:val="clear" w:color="auto" w:fill="E2EEF6"/>
          </w:tcPr>
          <w:p>
            <w:pPr>
              <w:spacing w:after="0"/>
              <w:rPr>
                <w:sz w:val="20"/>
                <w:szCs w:val="20"/>
                <w:color w:val="auto"/>
              </w:rPr>
            </w:pPr>
          </w:p>
        </w:tc>
        <w:tc>
          <w:tcPr>
            <w:tcW w:w="132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52.1</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auto"/>
            </w:tcBorders>
            <w:gridSpan w:val="2"/>
          </w:tcPr>
          <w:p>
            <w:pPr>
              <w:ind w:left="320"/>
              <w:spacing w:after="0"/>
              <w:rPr>
                <w:sz w:val="20"/>
                <w:szCs w:val="20"/>
                <w:color w:val="auto"/>
              </w:rPr>
            </w:pPr>
            <w:r>
              <w:rPr>
                <w:rFonts w:ascii="Arial" w:cs="Arial" w:eastAsia="Arial" w:hAnsi="Arial"/>
                <w:sz w:val="17"/>
                <w:szCs w:val="17"/>
                <w:color w:val="auto"/>
              </w:rPr>
              <w:t>Total Current Assets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1,722.0</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1,109.1</w:t>
            </w:r>
          </w:p>
        </w:tc>
        <w:tc>
          <w:tcPr>
            <w:tcW w:w="0" w:type="dxa"/>
            <w:vAlign w:val="bottom"/>
          </w:tcPr>
          <w:p>
            <w:pPr>
              <w:spacing w:after="0"/>
              <w:rPr>
                <w:sz w:val="1"/>
                <w:szCs w:val="1"/>
                <w:color w:val="auto"/>
              </w:rPr>
            </w:pPr>
          </w:p>
        </w:tc>
      </w:tr>
      <w:tr>
        <w:trPr>
          <w:trHeight w:val="229"/>
        </w:trPr>
        <w:tc>
          <w:tcPr>
            <w:tcW w:w="1120" w:type="dxa"/>
            <w:vAlign w:val="bottom"/>
            <w:shd w:val="clear" w:color="auto" w:fill="E2EEF6"/>
          </w:tcPr>
          <w:p>
            <w:pPr>
              <w:spacing w:after="0"/>
              <w:rPr>
                <w:sz w:val="19"/>
                <w:szCs w:val="19"/>
                <w:color w:val="auto"/>
              </w:rPr>
            </w:pPr>
          </w:p>
        </w:tc>
        <w:tc>
          <w:tcPr>
            <w:tcW w:w="7220" w:type="dxa"/>
            <w:vAlign w:val="bottom"/>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120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122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340" w:type="dxa"/>
            <w:vAlign w:val="bottom"/>
            <w:gridSpan w:val="2"/>
          </w:tcPr>
          <w:p>
            <w:pPr>
              <w:spacing w:after="0"/>
              <w:rPr>
                <w:sz w:val="20"/>
                <w:szCs w:val="20"/>
                <w:color w:val="auto"/>
              </w:rPr>
            </w:pPr>
            <w:r>
              <w:rPr>
                <w:rFonts w:ascii="Arial" w:cs="Arial" w:eastAsia="Arial" w:hAnsi="Arial"/>
                <w:sz w:val="17"/>
                <w:szCs w:val="17"/>
                <w:color w:val="auto"/>
              </w:rPr>
              <w:t>Property and Equipment</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9,779.5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9,732.9</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auto"/>
            </w:tcBorders>
            <w:gridSpan w:val="2"/>
            <w:shd w:val="clear" w:color="auto" w:fill="E2EEF6"/>
          </w:tcPr>
          <w:p>
            <w:pPr>
              <w:spacing w:after="0"/>
              <w:rPr>
                <w:sz w:val="20"/>
                <w:szCs w:val="20"/>
                <w:color w:val="auto"/>
              </w:rPr>
            </w:pPr>
            <w:r>
              <w:rPr>
                <w:rFonts w:ascii="Arial" w:cs="Arial" w:eastAsia="Arial" w:hAnsi="Arial"/>
                <w:sz w:val="17"/>
                <w:szCs w:val="17"/>
                <w:color w:val="auto"/>
              </w:rPr>
              <w:t>Less Accumulated Depreciation</w:t>
            </w:r>
          </w:p>
        </w:tc>
        <w:tc>
          <w:tcPr>
            <w:tcW w:w="200" w:type="dxa"/>
            <w:vAlign w:val="bottom"/>
            <w:tcBorders>
              <w:bottom w:val="single" w:sz="8" w:color="auto"/>
            </w:tcBorders>
            <w:shd w:val="clear" w:color="auto" w:fill="E2EEF6"/>
          </w:tcPr>
          <w:p>
            <w:pPr>
              <w:spacing w:after="0"/>
              <w:rPr>
                <w:sz w:val="20"/>
                <w:szCs w:val="20"/>
                <w:color w:val="auto"/>
              </w:rPr>
            </w:pPr>
          </w:p>
        </w:tc>
        <w:tc>
          <w:tcPr>
            <w:tcW w:w="12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7"/>
                <w:szCs w:val="17"/>
                <w:color w:val="auto"/>
              </w:rPr>
              <w:t>2,896.1</w:t>
            </w:r>
          </w:p>
        </w:tc>
        <w:tc>
          <w:tcPr>
            <w:tcW w:w="140" w:type="dxa"/>
            <w:vAlign w:val="bottom"/>
            <w:tcBorders>
              <w:bottom w:val="single" w:sz="8" w:color="auto"/>
            </w:tcBorders>
            <w:shd w:val="clear" w:color="auto" w:fill="E2EEF6"/>
          </w:tcPr>
          <w:p>
            <w:pPr>
              <w:spacing w:after="0"/>
              <w:rPr>
                <w:sz w:val="20"/>
                <w:szCs w:val="20"/>
                <w:color w:val="auto"/>
              </w:rPr>
            </w:pPr>
          </w:p>
        </w:tc>
        <w:tc>
          <w:tcPr>
            <w:tcW w:w="80" w:type="dxa"/>
            <w:vAlign w:val="bottom"/>
            <w:tcBorders>
              <w:bottom w:val="single" w:sz="8" w:color="auto"/>
            </w:tcBorders>
            <w:shd w:val="clear" w:color="auto" w:fill="E2EEF6"/>
          </w:tcPr>
          <w:p>
            <w:pPr>
              <w:spacing w:after="0"/>
              <w:rPr>
                <w:sz w:val="20"/>
                <w:szCs w:val="20"/>
                <w:color w:val="auto"/>
              </w:rPr>
            </w:pPr>
          </w:p>
        </w:tc>
        <w:tc>
          <w:tcPr>
            <w:tcW w:w="140" w:type="dxa"/>
            <w:vAlign w:val="bottom"/>
            <w:tcBorders>
              <w:bottom w:val="single" w:sz="8" w:color="auto"/>
            </w:tcBorders>
            <w:shd w:val="clear" w:color="auto" w:fill="E2EEF6"/>
          </w:tcPr>
          <w:p>
            <w:pPr>
              <w:spacing w:after="0"/>
              <w:rPr>
                <w:sz w:val="20"/>
                <w:szCs w:val="20"/>
                <w:color w:val="auto"/>
              </w:rPr>
            </w:pPr>
          </w:p>
        </w:tc>
        <w:tc>
          <w:tcPr>
            <w:tcW w:w="132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2,727.7</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auto"/>
            </w:tcBorders>
            <w:gridSpan w:val="2"/>
          </w:tcPr>
          <w:p>
            <w:pPr>
              <w:ind w:left="320"/>
              <w:spacing w:after="0"/>
              <w:rPr>
                <w:sz w:val="20"/>
                <w:szCs w:val="20"/>
                <w:color w:val="auto"/>
              </w:rPr>
            </w:pPr>
            <w:r>
              <w:rPr>
                <w:rFonts w:ascii="Arial" w:cs="Arial" w:eastAsia="Arial" w:hAnsi="Arial"/>
                <w:sz w:val="17"/>
                <w:szCs w:val="17"/>
                <w:color w:val="auto"/>
              </w:rPr>
              <w:t>Property and Equipment, net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6,883.4</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7,005.2</w:t>
            </w:r>
          </w:p>
        </w:tc>
        <w:tc>
          <w:tcPr>
            <w:tcW w:w="0" w:type="dxa"/>
            <w:vAlign w:val="bottom"/>
          </w:tcPr>
          <w:p>
            <w:pPr>
              <w:spacing w:after="0"/>
              <w:rPr>
                <w:sz w:val="1"/>
                <w:szCs w:val="1"/>
                <w:color w:val="auto"/>
              </w:rPr>
            </w:pPr>
          </w:p>
        </w:tc>
      </w:tr>
      <w:tr>
        <w:trPr>
          <w:trHeight w:val="229"/>
        </w:trPr>
        <w:tc>
          <w:tcPr>
            <w:tcW w:w="1120" w:type="dxa"/>
            <w:vAlign w:val="bottom"/>
            <w:shd w:val="clear" w:color="auto" w:fill="E2EEF6"/>
          </w:tcPr>
          <w:p>
            <w:pPr>
              <w:spacing w:after="0"/>
              <w:rPr>
                <w:sz w:val="19"/>
                <w:szCs w:val="19"/>
                <w:color w:val="auto"/>
              </w:rPr>
            </w:pPr>
          </w:p>
        </w:tc>
        <w:tc>
          <w:tcPr>
            <w:tcW w:w="7220" w:type="dxa"/>
            <w:vAlign w:val="bottom"/>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120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122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340" w:type="dxa"/>
            <w:vAlign w:val="bottom"/>
            <w:gridSpan w:val="2"/>
          </w:tcPr>
          <w:p>
            <w:pPr>
              <w:spacing w:after="0"/>
              <w:rPr>
                <w:sz w:val="20"/>
                <w:szCs w:val="20"/>
                <w:color w:val="auto"/>
              </w:rPr>
            </w:pPr>
            <w:r>
              <w:rPr>
                <w:rFonts w:ascii="Arial" w:cs="Arial" w:eastAsia="Arial" w:hAnsi="Arial"/>
                <w:sz w:val="17"/>
                <w:szCs w:val="17"/>
                <w:color w:val="auto"/>
              </w:rPr>
              <w:t>Goodwill</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2,251.9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2,251.9</w:t>
            </w:r>
          </w:p>
        </w:tc>
        <w:tc>
          <w:tcPr>
            <w:tcW w:w="0" w:type="dxa"/>
            <w:vAlign w:val="bottom"/>
          </w:tcPr>
          <w:p>
            <w:pPr>
              <w:spacing w:after="0"/>
              <w:rPr>
                <w:sz w:val="1"/>
                <w:szCs w:val="1"/>
                <w:color w:val="auto"/>
              </w:rPr>
            </w:pPr>
          </w:p>
        </w:tc>
      </w:tr>
      <w:tr>
        <w:trPr>
          <w:trHeight w:val="236"/>
        </w:trPr>
        <w:tc>
          <w:tcPr>
            <w:tcW w:w="8340" w:type="dxa"/>
            <w:vAlign w:val="bottom"/>
            <w:gridSpan w:val="2"/>
            <w:shd w:val="clear" w:color="auto" w:fill="E2EEF6"/>
          </w:tcPr>
          <w:p>
            <w:pPr>
              <w:spacing w:after="0"/>
              <w:rPr>
                <w:sz w:val="20"/>
                <w:szCs w:val="20"/>
                <w:color w:val="auto"/>
              </w:rPr>
            </w:pPr>
            <w:r>
              <w:rPr>
                <w:rFonts w:ascii="Arial" w:cs="Arial" w:eastAsia="Arial" w:hAnsi="Arial"/>
                <w:sz w:val="17"/>
                <w:szCs w:val="17"/>
                <w:color w:val="auto"/>
              </w:rPr>
              <w:t>Investments in and Advances to Unconsolidated Affiliates</w:t>
            </w:r>
          </w:p>
        </w:tc>
        <w:tc>
          <w:tcPr>
            <w:tcW w:w="200" w:type="dxa"/>
            <w:vAlign w:val="bottom"/>
            <w:shd w:val="clear" w:color="auto" w:fill="E2EEF6"/>
          </w:tcPr>
          <w:p>
            <w:pPr>
              <w:spacing w:after="0"/>
              <w:rPr>
                <w:sz w:val="20"/>
                <w:szCs w:val="20"/>
                <w:color w:val="auto"/>
              </w:rPr>
            </w:pPr>
          </w:p>
        </w:tc>
        <w:tc>
          <w:tcPr>
            <w:tcW w:w="134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4.6</w:t>
            </w:r>
          </w:p>
        </w:tc>
        <w:tc>
          <w:tcPr>
            <w:tcW w:w="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3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109.2</w:t>
            </w:r>
          </w:p>
        </w:tc>
        <w:tc>
          <w:tcPr>
            <w:tcW w:w="0" w:type="dxa"/>
            <w:vAlign w:val="bottom"/>
          </w:tcPr>
          <w:p>
            <w:pPr>
              <w:spacing w:after="0"/>
              <w:rPr>
                <w:sz w:val="1"/>
                <w:szCs w:val="1"/>
                <w:color w:val="auto"/>
              </w:rPr>
            </w:pPr>
          </w:p>
        </w:tc>
      </w:tr>
      <w:tr>
        <w:trPr>
          <w:trHeight w:val="235"/>
        </w:trPr>
        <w:tc>
          <w:tcPr>
            <w:tcW w:w="8340" w:type="dxa"/>
            <w:vAlign w:val="bottom"/>
            <w:gridSpan w:val="2"/>
          </w:tcPr>
          <w:p>
            <w:pPr>
              <w:spacing w:after="0"/>
              <w:rPr>
                <w:sz w:val="20"/>
                <w:szCs w:val="20"/>
                <w:color w:val="auto"/>
              </w:rPr>
            </w:pPr>
            <w:r>
              <w:rPr>
                <w:rFonts w:ascii="Arial" w:cs="Arial" w:eastAsia="Arial" w:hAnsi="Arial"/>
                <w:sz w:val="17"/>
                <w:szCs w:val="17"/>
                <w:color w:val="auto"/>
              </w:rPr>
              <w:t>Deferred Income Taxes</w:t>
            </w:r>
          </w:p>
        </w:tc>
        <w:tc>
          <w:tcPr>
            <w:tcW w:w="2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7"/>
                <w:szCs w:val="17"/>
                <w:color w:val="auto"/>
              </w:rPr>
              <w:t>48.1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auto"/>
            </w:tcBorders>
            <w:gridSpan w:val="2"/>
            <w:shd w:val="clear" w:color="auto" w:fill="E2EEF6"/>
          </w:tcPr>
          <w:p>
            <w:pPr>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auto"/>
            </w:tcBorders>
            <w:shd w:val="clear" w:color="auto" w:fill="E2EEF6"/>
          </w:tcPr>
          <w:p>
            <w:pPr>
              <w:spacing w:after="0"/>
              <w:rPr>
                <w:sz w:val="20"/>
                <w:szCs w:val="20"/>
                <w:color w:val="auto"/>
              </w:rPr>
            </w:pPr>
          </w:p>
        </w:tc>
        <w:tc>
          <w:tcPr>
            <w:tcW w:w="134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249.2</w:t>
            </w:r>
          </w:p>
        </w:tc>
        <w:tc>
          <w:tcPr>
            <w:tcW w:w="80" w:type="dxa"/>
            <w:vAlign w:val="bottom"/>
            <w:tcBorders>
              <w:bottom w:val="single" w:sz="8" w:color="auto"/>
            </w:tcBorders>
            <w:shd w:val="clear" w:color="auto" w:fill="E2EEF6"/>
          </w:tcPr>
          <w:p>
            <w:pPr>
              <w:spacing w:after="0"/>
              <w:rPr>
                <w:sz w:val="20"/>
                <w:szCs w:val="20"/>
                <w:color w:val="auto"/>
              </w:rPr>
            </w:pPr>
          </w:p>
        </w:tc>
        <w:tc>
          <w:tcPr>
            <w:tcW w:w="140" w:type="dxa"/>
            <w:vAlign w:val="bottom"/>
            <w:tcBorders>
              <w:bottom w:val="single" w:sz="8" w:color="auto"/>
            </w:tcBorders>
            <w:shd w:val="clear" w:color="auto" w:fill="E2EEF6"/>
          </w:tcPr>
          <w:p>
            <w:pPr>
              <w:spacing w:after="0"/>
              <w:rPr>
                <w:sz w:val="20"/>
                <w:szCs w:val="20"/>
                <w:color w:val="auto"/>
              </w:rPr>
            </w:pPr>
          </w:p>
        </w:tc>
        <w:tc>
          <w:tcPr>
            <w:tcW w:w="132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239.1</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auto"/>
            </w:tcBorders>
            <w:gridSpan w:val="2"/>
          </w:tcPr>
          <w:p>
            <w:pPr>
              <w:ind w:left="32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11,159.2</w:t>
            </w:r>
          </w:p>
        </w:tc>
        <w:tc>
          <w:tcPr>
            <w:tcW w:w="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10,758.3</w:t>
            </w: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7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120" w:type="dxa"/>
            <w:vAlign w:val="bottom"/>
            <w:shd w:val="clear" w:color="auto" w:fill="E2EEF6"/>
          </w:tcPr>
          <w:p>
            <w:pPr>
              <w:spacing w:after="0"/>
              <w:rPr>
                <w:sz w:val="18"/>
                <w:szCs w:val="18"/>
                <w:color w:val="auto"/>
              </w:rPr>
            </w:pPr>
          </w:p>
        </w:tc>
        <w:tc>
          <w:tcPr>
            <w:tcW w:w="7220" w:type="dxa"/>
            <w:vAlign w:val="bottom"/>
            <w:shd w:val="clear" w:color="auto" w:fill="E2EEF6"/>
          </w:tcPr>
          <w:p>
            <w:pPr>
              <w:spacing w:after="0"/>
              <w:rPr>
                <w:sz w:val="18"/>
                <w:szCs w:val="18"/>
                <w:color w:val="auto"/>
              </w:rPr>
            </w:pPr>
          </w:p>
        </w:tc>
        <w:tc>
          <w:tcPr>
            <w:tcW w:w="200" w:type="dxa"/>
            <w:vAlign w:val="bottom"/>
            <w:shd w:val="clear" w:color="auto" w:fill="E2EEF6"/>
          </w:tcPr>
          <w:p>
            <w:pPr>
              <w:spacing w:after="0"/>
              <w:rPr>
                <w:sz w:val="18"/>
                <w:szCs w:val="18"/>
                <w:color w:val="auto"/>
              </w:rPr>
            </w:pPr>
          </w:p>
        </w:tc>
        <w:tc>
          <w:tcPr>
            <w:tcW w:w="1200" w:type="dxa"/>
            <w:vAlign w:val="bottom"/>
            <w:shd w:val="clear" w:color="auto" w:fill="E2EEF6"/>
          </w:tcPr>
          <w:p>
            <w:pPr>
              <w:spacing w:after="0"/>
              <w:rPr>
                <w:sz w:val="18"/>
                <w:szCs w:val="18"/>
                <w:color w:val="auto"/>
              </w:rPr>
            </w:pPr>
          </w:p>
        </w:tc>
        <w:tc>
          <w:tcPr>
            <w:tcW w:w="140" w:type="dxa"/>
            <w:vAlign w:val="bottom"/>
            <w:shd w:val="clear" w:color="auto" w:fill="E2EEF6"/>
          </w:tcPr>
          <w:p>
            <w:pPr>
              <w:spacing w:after="0"/>
              <w:rPr>
                <w:sz w:val="18"/>
                <w:szCs w:val="18"/>
                <w:color w:val="auto"/>
              </w:rPr>
            </w:pPr>
          </w:p>
        </w:tc>
        <w:tc>
          <w:tcPr>
            <w:tcW w:w="80" w:type="dxa"/>
            <w:vAlign w:val="bottom"/>
            <w:shd w:val="clear" w:color="auto" w:fill="E2EEF6"/>
          </w:tcPr>
          <w:p>
            <w:pPr>
              <w:spacing w:after="0"/>
              <w:rPr>
                <w:sz w:val="18"/>
                <w:szCs w:val="18"/>
                <w:color w:val="auto"/>
              </w:rPr>
            </w:pPr>
          </w:p>
        </w:tc>
        <w:tc>
          <w:tcPr>
            <w:tcW w:w="140" w:type="dxa"/>
            <w:vAlign w:val="bottom"/>
            <w:shd w:val="clear" w:color="auto" w:fill="E2EEF6"/>
          </w:tcPr>
          <w:p>
            <w:pPr>
              <w:spacing w:after="0"/>
              <w:rPr>
                <w:sz w:val="18"/>
                <w:szCs w:val="18"/>
                <w:color w:val="auto"/>
              </w:rPr>
            </w:pPr>
          </w:p>
        </w:tc>
        <w:tc>
          <w:tcPr>
            <w:tcW w:w="1220" w:type="dxa"/>
            <w:vAlign w:val="bottom"/>
            <w:shd w:val="clear" w:color="auto" w:fill="E2EEF6"/>
          </w:tcPr>
          <w:p>
            <w:pPr>
              <w:spacing w:after="0"/>
              <w:rPr>
                <w:sz w:val="18"/>
                <w:szCs w:val="18"/>
                <w:color w:val="auto"/>
              </w:rPr>
            </w:pPr>
          </w:p>
        </w:tc>
        <w:tc>
          <w:tcPr>
            <w:tcW w:w="100" w:type="dxa"/>
            <w:vAlign w:val="bottom"/>
            <w:shd w:val="clear" w:color="auto" w:fill="E2EEF6"/>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120" w:type="dxa"/>
            <w:vAlign w:val="bottom"/>
          </w:tcPr>
          <w:p>
            <w:pPr>
              <w:spacing w:after="0"/>
              <w:rPr>
                <w:sz w:val="20"/>
                <w:szCs w:val="20"/>
                <w:color w:val="auto"/>
              </w:rPr>
            </w:pPr>
          </w:p>
        </w:tc>
        <w:tc>
          <w:tcPr>
            <w:tcW w:w="7220" w:type="dxa"/>
            <w:vAlign w:val="bottom"/>
          </w:tcPr>
          <w:p>
            <w:pPr>
              <w:jc w:val="center"/>
              <w:ind w:right="1253"/>
              <w:spacing w:after="0"/>
              <w:rPr>
                <w:sz w:val="20"/>
                <w:szCs w:val="20"/>
                <w:color w:val="auto"/>
              </w:rPr>
            </w:pPr>
            <w:r>
              <w:rPr>
                <w:rFonts w:ascii="Arial" w:cs="Arial" w:eastAsia="Arial" w:hAnsi="Arial"/>
                <w:sz w:val="17"/>
                <w:szCs w:val="17"/>
                <w:b w:val="1"/>
                <w:bCs w:val="1"/>
                <w:color w:val="auto"/>
              </w:rPr>
              <w:t>LIABILITIES AND SHAREHOLDERS’ EQUITY</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20" w:type="dxa"/>
            <w:vAlign w:val="bottom"/>
            <w:shd w:val="clear" w:color="auto" w:fill="E2EEF6"/>
          </w:tcPr>
          <w:p>
            <w:pPr>
              <w:spacing w:after="0"/>
              <w:rPr>
                <w:sz w:val="20"/>
                <w:szCs w:val="20"/>
                <w:color w:val="auto"/>
              </w:rPr>
            </w:pPr>
          </w:p>
        </w:tc>
        <w:tc>
          <w:tcPr>
            <w:tcW w:w="722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20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22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340" w:type="dxa"/>
            <w:vAlign w:val="bottom"/>
            <w:gridSpan w:val="2"/>
          </w:tcPr>
          <w:p>
            <w:pPr>
              <w:spacing w:after="0"/>
              <w:rPr>
                <w:sz w:val="20"/>
                <w:szCs w:val="20"/>
                <w:color w:val="auto"/>
              </w:rPr>
            </w:pPr>
            <w:r>
              <w:rPr>
                <w:rFonts w:ascii="Arial" w:cs="Arial" w:eastAsia="Arial" w:hAnsi="Arial"/>
                <w:sz w:val="17"/>
                <w:szCs w:val="17"/>
                <w:color w:val="auto"/>
              </w:rPr>
              <w:t>Accounts Payable</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40"/>
              <w:spacing w:after="0"/>
              <w:rPr>
                <w:sz w:val="20"/>
                <w:szCs w:val="20"/>
                <w:color w:val="auto"/>
              </w:rPr>
            </w:pPr>
            <w:r>
              <w:rPr>
                <w:rFonts w:ascii="Arial" w:cs="Arial" w:eastAsia="Arial" w:hAnsi="Arial"/>
                <w:sz w:val="17"/>
                <w:szCs w:val="17"/>
                <w:color w:val="auto"/>
              </w:rPr>
              <w:t>208.0</w:t>
            </w:r>
          </w:p>
        </w:tc>
        <w:tc>
          <w:tcPr>
            <w:tcW w:w="2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180.8</w:t>
            </w:r>
          </w:p>
        </w:tc>
        <w:tc>
          <w:tcPr>
            <w:tcW w:w="0" w:type="dxa"/>
            <w:vAlign w:val="bottom"/>
          </w:tcPr>
          <w:p>
            <w:pPr>
              <w:spacing w:after="0"/>
              <w:rPr>
                <w:sz w:val="1"/>
                <w:szCs w:val="1"/>
                <w:color w:val="auto"/>
              </w:rPr>
            </w:pPr>
          </w:p>
        </w:tc>
      </w:tr>
      <w:tr>
        <w:trPr>
          <w:trHeight w:val="236"/>
        </w:trPr>
        <w:tc>
          <w:tcPr>
            <w:tcW w:w="8340" w:type="dxa"/>
            <w:vAlign w:val="bottom"/>
            <w:gridSpan w:val="2"/>
            <w:shd w:val="clear" w:color="auto" w:fill="E2EEF6"/>
          </w:tcPr>
          <w:p>
            <w:pPr>
              <w:spacing w:after="0"/>
              <w:rPr>
                <w:sz w:val="20"/>
                <w:szCs w:val="20"/>
                <w:color w:val="auto"/>
              </w:rPr>
            </w:pPr>
            <w:r>
              <w:rPr>
                <w:rFonts w:ascii="Arial" w:cs="Arial" w:eastAsia="Arial" w:hAnsi="Arial"/>
                <w:sz w:val="17"/>
                <w:szCs w:val="17"/>
                <w:color w:val="auto"/>
              </w:rPr>
              <w:t>Accrued Income Taxes</w:t>
            </w:r>
          </w:p>
        </w:tc>
        <w:tc>
          <w:tcPr>
            <w:tcW w:w="200" w:type="dxa"/>
            <w:vAlign w:val="bottom"/>
            <w:shd w:val="clear" w:color="auto" w:fill="E2EEF6"/>
          </w:tcPr>
          <w:p>
            <w:pPr>
              <w:spacing w:after="0"/>
              <w:rPr>
                <w:sz w:val="20"/>
                <w:szCs w:val="20"/>
                <w:color w:val="auto"/>
              </w:rPr>
            </w:pPr>
          </w:p>
        </w:tc>
        <w:tc>
          <w:tcPr>
            <w:tcW w:w="134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64.1</w:t>
            </w:r>
          </w:p>
        </w:tc>
        <w:tc>
          <w:tcPr>
            <w:tcW w:w="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3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35"/>
        </w:trPr>
        <w:tc>
          <w:tcPr>
            <w:tcW w:w="8340" w:type="dxa"/>
            <w:vAlign w:val="bottom"/>
            <w:gridSpan w:val="2"/>
          </w:tcPr>
          <w:p>
            <w:pPr>
              <w:spacing w:after="0"/>
              <w:rPr>
                <w:sz w:val="20"/>
                <w:szCs w:val="20"/>
                <w:color w:val="auto"/>
              </w:rPr>
            </w:pPr>
            <w:r>
              <w:rPr>
                <w:rFonts w:ascii="Arial" w:cs="Arial" w:eastAsia="Arial" w:hAnsi="Arial"/>
                <w:sz w:val="17"/>
                <w:szCs w:val="17"/>
                <w:color w:val="auto"/>
              </w:rPr>
              <w:t>Debt Due Within One Year</w:t>
            </w:r>
          </w:p>
        </w:tc>
        <w:tc>
          <w:tcPr>
            <w:tcW w:w="2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7"/>
                <w:szCs w:val="17"/>
                <w:color w:val="auto"/>
              </w:rPr>
              <w:t>400.0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auto"/>
            </w:tcBorders>
            <w:gridSpan w:val="2"/>
            <w:shd w:val="clear" w:color="auto" w:fill="E2EEF6"/>
          </w:tcPr>
          <w:p>
            <w:pPr>
              <w:spacing w:after="0"/>
              <w:rPr>
                <w:sz w:val="20"/>
                <w:szCs w:val="20"/>
                <w:color w:val="auto"/>
              </w:rPr>
            </w:pPr>
            <w:r>
              <w:rPr>
                <w:rFonts w:ascii="Arial" w:cs="Arial" w:eastAsia="Arial" w:hAnsi="Arial"/>
                <w:sz w:val="17"/>
                <w:szCs w:val="17"/>
                <w:color w:val="auto"/>
              </w:rPr>
              <w:t>Other Current Liabilities</w:t>
            </w:r>
          </w:p>
        </w:tc>
        <w:tc>
          <w:tcPr>
            <w:tcW w:w="200" w:type="dxa"/>
            <w:vAlign w:val="bottom"/>
            <w:tcBorders>
              <w:bottom w:val="single" w:sz="8" w:color="auto"/>
            </w:tcBorders>
            <w:shd w:val="clear" w:color="auto" w:fill="E2EEF6"/>
          </w:tcPr>
          <w:p>
            <w:pPr>
              <w:spacing w:after="0"/>
              <w:rPr>
                <w:sz w:val="20"/>
                <w:szCs w:val="20"/>
                <w:color w:val="auto"/>
              </w:rPr>
            </w:pPr>
          </w:p>
        </w:tc>
        <w:tc>
          <w:tcPr>
            <w:tcW w:w="134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248.0</w:t>
            </w:r>
          </w:p>
        </w:tc>
        <w:tc>
          <w:tcPr>
            <w:tcW w:w="80" w:type="dxa"/>
            <w:vAlign w:val="bottom"/>
            <w:tcBorders>
              <w:bottom w:val="single" w:sz="8" w:color="auto"/>
            </w:tcBorders>
            <w:shd w:val="clear" w:color="auto" w:fill="E2EEF6"/>
          </w:tcPr>
          <w:p>
            <w:pPr>
              <w:spacing w:after="0"/>
              <w:rPr>
                <w:sz w:val="20"/>
                <w:szCs w:val="20"/>
                <w:color w:val="auto"/>
              </w:rPr>
            </w:pPr>
          </w:p>
        </w:tc>
        <w:tc>
          <w:tcPr>
            <w:tcW w:w="140" w:type="dxa"/>
            <w:vAlign w:val="bottom"/>
            <w:tcBorders>
              <w:bottom w:val="single" w:sz="8" w:color="auto"/>
            </w:tcBorders>
            <w:shd w:val="clear" w:color="auto" w:fill="E2EEF6"/>
          </w:tcPr>
          <w:p>
            <w:pPr>
              <w:spacing w:after="0"/>
              <w:rPr>
                <w:sz w:val="20"/>
                <w:szCs w:val="20"/>
                <w:color w:val="auto"/>
              </w:rPr>
            </w:pPr>
          </w:p>
        </w:tc>
        <w:tc>
          <w:tcPr>
            <w:tcW w:w="132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213.0</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auto"/>
            </w:tcBorders>
            <w:gridSpan w:val="2"/>
          </w:tcPr>
          <w:p>
            <w:pPr>
              <w:ind w:left="320"/>
              <w:spacing w:after="0"/>
              <w:rPr>
                <w:sz w:val="20"/>
                <w:szCs w:val="20"/>
                <w:color w:val="auto"/>
              </w:rPr>
            </w:pPr>
            <w:r>
              <w:rPr>
                <w:rFonts w:ascii="Arial" w:cs="Arial" w:eastAsia="Arial" w:hAnsi="Arial"/>
                <w:sz w:val="17"/>
                <w:szCs w:val="17"/>
                <w:color w:val="auto"/>
              </w:rPr>
              <w:t>Total Current Liabilities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920.1</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430.3</w:t>
            </w:r>
          </w:p>
        </w:tc>
        <w:tc>
          <w:tcPr>
            <w:tcW w:w="0" w:type="dxa"/>
            <w:vAlign w:val="bottom"/>
          </w:tcPr>
          <w:p>
            <w:pPr>
              <w:spacing w:after="0"/>
              <w:rPr>
                <w:sz w:val="1"/>
                <w:szCs w:val="1"/>
                <w:color w:val="auto"/>
              </w:rPr>
            </w:pPr>
          </w:p>
        </w:tc>
      </w:tr>
      <w:tr>
        <w:trPr>
          <w:trHeight w:val="229"/>
        </w:trPr>
        <w:tc>
          <w:tcPr>
            <w:tcW w:w="1120" w:type="dxa"/>
            <w:vAlign w:val="bottom"/>
            <w:shd w:val="clear" w:color="auto" w:fill="E2EEF6"/>
          </w:tcPr>
          <w:p>
            <w:pPr>
              <w:spacing w:after="0"/>
              <w:rPr>
                <w:sz w:val="19"/>
                <w:szCs w:val="19"/>
                <w:color w:val="auto"/>
              </w:rPr>
            </w:pPr>
          </w:p>
        </w:tc>
        <w:tc>
          <w:tcPr>
            <w:tcW w:w="7220" w:type="dxa"/>
            <w:vAlign w:val="bottom"/>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120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122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34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1,793.5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2,462.1</w:t>
            </w:r>
          </w:p>
        </w:tc>
        <w:tc>
          <w:tcPr>
            <w:tcW w:w="0" w:type="dxa"/>
            <w:vAlign w:val="bottom"/>
          </w:tcPr>
          <w:p>
            <w:pPr>
              <w:spacing w:after="0"/>
              <w:rPr>
                <w:sz w:val="1"/>
                <w:szCs w:val="1"/>
                <w:color w:val="auto"/>
              </w:rPr>
            </w:pPr>
          </w:p>
        </w:tc>
      </w:tr>
      <w:tr>
        <w:trPr>
          <w:trHeight w:val="236"/>
        </w:trPr>
        <w:tc>
          <w:tcPr>
            <w:tcW w:w="8340" w:type="dxa"/>
            <w:vAlign w:val="bottom"/>
            <w:gridSpan w:val="2"/>
            <w:shd w:val="clear" w:color="auto" w:fill="E2EEF6"/>
          </w:tcPr>
          <w:p>
            <w:pPr>
              <w:spacing w:after="0"/>
              <w:rPr>
                <w:sz w:val="20"/>
                <w:szCs w:val="20"/>
                <w:color w:val="auto"/>
              </w:rPr>
            </w:pPr>
            <w:r>
              <w:rPr>
                <w:rFonts w:ascii="Arial" w:cs="Arial" w:eastAsia="Arial" w:hAnsi="Arial"/>
                <w:sz w:val="17"/>
                <w:szCs w:val="17"/>
                <w:color w:val="auto"/>
              </w:rPr>
              <w:t>Deferred Income Taxes, net</w:t>
            </w:r>
          </w:p>
        </w:tc>
        <w:tc>
          <w:tcPr>
            <w:tcW w:w="200" w:type="dxa"/>
            <w:vAlign w:val="bottom"/>
            <w:shd w:val="clear" w:color="auto" w:fill="E2EEF6"/>
          </w:tcPr>
          <w:p>
            <w:pPr>
              <w:spacing w:after="0"/>
              <w:rPr>
                <w:sz w:val="20"/>
                <w:szCs w:val="20"/>
                <w:color w:val="auto"/>
              </w:rPr>
            </w:pPr>
          </w:p>
        </w:tc>
        <w:tc>
          <w:tcPr>
            <w:tcW w:w="134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153.6</w:t>
            </w:r>
          </w:p>
        </w:tc>
        <w:tc>
          <w:tcPr>
            <w:tcW w:w="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3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124.1</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Other Long-Term Liabilities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324.2</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345.2</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auto"/>
            </w:tcBorders>
            <w:gridSpan w:val="2"/>
            <w:shd w:val="clear" w:color="auto" w:fill="E2EEF6"/>
          </w:tcPr>
          <w:p>
            <w:pPr>
              <w:ind w:left="320"/>
              <w:spacing w:after="0"/>
              <w:rPr>
                <w:sz w:val="20"/>
                <w:szCs w:val="20"/>
                <w:color w:val="auto"/>
              </w:rPr>
            </w:pPr>
            <w:r>
              <w:rPr>
                <w:rFonts w:ascii="Arial" w:cs="Arial" w:eastAsia="Arial" w:hAnsi="Arial"/>
                <w:sz w:val="17"/>
                <w:szCs w:val="17"/>
                <w:color w:val="auto"/>
              </w:rPr>
              <w:t>Total Long-Term Liabilities</w:t>
            </w:r>
          </w:p>
        </w:tc>
        <w:tc>
          <w:tcPr>
            <w:tcW w:w="200" w:type="dxa"/>
            <w:vAlign w:val="bottom"/>
            <w:tcBorders>
              <w:bottom w:val="single" w:sz="8" w:color="auto"/>
            </w:tcBorders>
            <w:shd w:val="clear" w:color="auto" w:fill="E2EEF6"/>
          </w:tcPr>
          <w:p>
            <w:pPr>
              <w:spacing w:after="0"/>
              <w:rPr>
                <w:sz w:val="19"/>
                <w:szCs w:val="19"/>
                <w:color w:val="auto"/>
              </w:rPr>
            </w:pPr>
          </w:p>
        </w:tc>
        <w:tc>
          <w:tcPr>
            <w:tcW w:w="12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7"/>
                <w:szCs w:val="17"/>
                <w:color w:val="auto"/>
              </w:rPr>
              <w:t>2,271.3</w:t>
            </w:r>
          </w:p>
        </w:tc>
        <w:tc>
          <w:tcPr>
            <w:tcW w:w="140" w:type="dxa"/>
            <w:vAlign w:val="bottom"/>
            <w:tcBorders>
              <w:bottom w:val="single" w:sz="8" w:color="auto"/>
            </w:tcBorders>
            <w:shd w:val="clear" w:color="auto" w:fill="E2EEF6"/>
          </w:tcPr>
          <w:p>
            <w:pPr>
              <w:spacing w:after="0"/>
              <w:rPr>
                <w:sz w:val="19"/>
                <w:szCs w:val="19"/>
                <w:color w:val="auto"/>
              </w:rPr>
            </w:pPr>
          </w:p>
        </w:tc>
        <w:tc>
          <w:tcPr>
            <w:tcW w:w="80" w:type="dxa"/>
            <w:vAlign w:val="bottom"/>
            <w:tcBorders>
              <w:bottom w:val="single" w:sz="8" w:color="auto"/>
            </w:tcBorders>
            <w:shd w:val="clear" w:color="auto" w:fill="E2EEF6"/>
          </w:tcPr>
          <w:p>
            <w:pPr>
              <w:spacing w:after="0"/>
              <w:rPr>
                <w:sz w:val="19"/>
                <w:szCs w:val="19"/>
                <w:color w:val="auto"/>
              </w:rPr>
            </w:pPr>
          </w:p>
        </w:tc>
        <w:tc>
          <w:tcPr>
            <w:tcW w:w="140" w:type="dxa"/>
            <w:vAlign w:val="bottom"/>
            <w:tcBorders>
              <w:bottom w:val="single" w:sz="8" w:color="auto"/>
            </w:tcBorders>
            <w:shd w:val="clear" w:color="auto" w:fill="E2EEF6"/>
          </w:tcPr>
          <w:p>
            <w:pPr>
              <w:spacing w:after="0"/>
              <w:rPr>
                <w:sz w:val="19"/>
                <w:szCs w:val="19"/>
                <w:color w:val="auto"/>
              </w:rPr>
            </w:pPr>
          </w:p>
        </w:tc>
        <w:tc>
          <w:tcPr>
            <w:tcW w:w="132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2,931.4</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340" w:type="dxa"/>
            <w:vAlign w:val="bottom"/>
            <w:gridSpan w:val="2"/>
            <w:shd w:val="clear" w:color="auto" w:fill="E2EEF6"/>
          </w:tcPr>
          <w:p>
            <w:pPr>
              <w:spacing w:after="0"/>
              <w:rPr>
                <w:sz w:val="20"/>
                <w:szCs w:val="20"/>
                <w:color w:val="auto"/>
              </w:rPr>
            </w:pPr>
            <w:r>
              <w:rPr>
                <w:rFonts w:ascii="Arial" w:cs="Arial" w:eastAsia="Arial" w:hAnsi="Arial"/>
                <w:sz w:val="17"/>
                <w:szCs w:val="17"/>
                <w:color w:val="auto"/>
              </w:rPr>
              <w:t>Commitments and Contingencies</w:t>
            </w:r>
          </w:p>
        </w:tc>
        <w:tc>
          <w:tcPr>
            <w:tcW w:w="200" w:type="dxa"/>
            <w:vAlign w:val="bottom"/>
            <w:shd w:val="clear" w:color="auto" w:fill="E2EEF6"/>
          </w:tcPr>
          <w:p>
            <w:pPr>
              <w:spacing w:after="0"/>
              <w:rPr>
                <w:sz w:val="20"/>
                <w:szCs w:val="20"/>
                <w:color w:val="auto"/>
              </w:rPr>
            </w:pPr>
          </w:p>
        </w:tc>
        <w:tc>
          <w:tcPr>
            <w:tcW w:w="120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22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1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340" w:type="dxa"/>
            <w:vAlign w:val="bottom"/>
            <w:gridSpan w:val="2"/>
            <w:shd w:val="clear" w:color="auto" w:fill="E2EEF6"/>
          </w:tcPr>
          <w:p>
            <w:pPr>
              <w:spacing w:after="0"/>
              <w:rPr>
                <w:sz w:val="20"/>
                <w:szCs w:val="20"/>
                <w:color w:val="auto"/>
              </w:rPr>
            </w:pPr>
            <w:r>
              <w:rPr>
                <w:rFonts w:ascii="Arial" w:cs="Arial" w:eastAsia="Arial" w:hAnsi="Arial"/>
                <w:sz w:val="17"/>
                <w:szCs w:val="17"/>
                <w:color w:val="auto"/>
              </w:rPr>
              <w:t>Minority Interest</w:t>
            </w:r>
          </w:p>
        </w:tc>
        <w:tc>
          <w:tcPr>
            <w:tcW w:w="200" w:type="dxa"/>
            <w:vAlign w:val="bottom"/>
            <w:shd w:val="clear" w:color="auto" w:fill="E2EEF6"/>
          </w:tcPr>
          <w:p>
            <w:pPr>
              <w:spacing w:after="0"/>
              <w:rPr>
                <w:sz w:val="20"/>
                <w:szCs w:val="20"/>
                <w:color w:val="auto"/>
              </w:rPr>
            </w:pPr>
          </w:p>
        </w:tc>
        <w:tc>
          <w:tcPr>
            <w:tcW w:w="134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4.1</w:t>
            </w:r>
          </w:p>
        </w:tc>
        <w:tc>
          <w:tcPr>
            <w:tcW w:w="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3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35"/>
        </w:trPr>
        <w:tc>
          <w:tcPr>
            <w:tcW w:w="11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340" w:type="dxa"/>
            <w:vAlign w:val="bottom"/>
            <w:gridSpan w:val="2"/>
            <w:shd w:val="clear" w:color="auto" w:fill="E2EEF6"/>
          </w:tcPr>
          <w:p>
            <w:pPr>
              <w:spacing w:after="0"/>
              <w:rPr>
                <w:sz w:val="20"/>
                <w:szCs w:val="20"/>
                <w:color w:val="auto"/>
              </w:rPr>
            </w:pPr>
            <w:r>
              <w:rPr>
                <w:rFonts w:ascii="Arial" w:cs="Arial" w:eastAsia="Arial" w:hAnsi="Arial"/>
                <w:sz w:val="17"/>
                <w:szCs w:val="17"/>
                <w:color w:val="auto"/>
              </w:rPr>
              <w:t>Preference Shares, $0.10 par value; 50,000,000 shares authorized, none issued and outstanding</w:t>
            </w:r>
          </w:p>
        </w:tc>
        <w:tc>
          <w:tcPr>
            <w:tcW w:w="200" w:type="dxa"/>
            <w:vAlign w:val="bottom"/>
            <w:shd w:val="clear" w:color="auto" w:fill="E2EEF6"/>
          </w:tcPr>
          <w:p>
            <w:pPr>
              <w:spacing w:after="0"/>
              <w:rPr>
                <w:sz w:val="20"/>
                <w:szCs w:val="20"/>
                <w:color w:val="auto"/>
              </w:rPr>
            </w:pPr>
          </w:p>
        </w:tc>
        <w:tc>
          <w:tcPr>
            <w:tcW w:w="134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3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8340" w:type="dxa"/>
            <w:vAlign w:val="bottom"/>
            <w:gridSpan w:val="2"/>
          </w:tcPr>
          <w:p>
            <w:pPr>
              <w:spacing w:after="0"/>
              <w:rPr>
                <w:sz w:val="20"/>
                <w:szCs w:val="20"/>
                <w:color w:val="auto"/>
              </w:rPr>
            </w:pPr>
            <w:r>
              <w:rPr>
                <w:rFonts w:ascii="Arial" w:cs="Arial" w:eastAsia="Arial" w:hAnsi="Arial"/>
                <w:sz w:val="17"/>
                <w:szCs w:val="17"/>
                <w:color w:val="auto"/>
                <w:w w:val="95"/>
              </w:rPr>
              <w:t>Ordinary Shares, $0.01 par value; 800,000,000 shares authorized, 328,508,472 and 321,533,998 shares issued and</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340" w:type="dxa"/>
            <w:vAlign w:val="bottom"/>
            <w:gridSpan w:val="2"/>
          </w:tcPr>
          <w:p>
            <w:pPr>
              <w:ind w:left="320"/>
              <w:spacing w:after="0"/>
              <w:rPr>
                <w:sz w:val="20"/>
                <w:szCs w:val="20"/>
                <w:color w:val="auto"/>
              </w:rPr>
            </w:pPr>
            <w:r>
              <w:rPr>
                <w:rFonts w:ascii="Arial" w:cs="Arial" w:eastAsia="Arial" w:hAnsi="Arial"/>
                <w:sz w:val="17"/>
                <w:szCs w:val="17"/>
                <w:color w:val="auto"/>
              </w:rPr>
              <w:t>outstanding at June 30, 2005 and December 31, 2004, respectively</w:t>
            </w:r>
          </w:p>
        </w:tc>
        <w:tc>
          <w:tcPr>
            <w:tcW w:w="2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36"/>
        </w:trPr>
        <w:tc>
          <w:tcPr>
            <w:tcW w:w="8340" w:type="dxa"/>
            <w:vAlign w:val="bottom"/>
            <w:gridSpan w:val="2"/>
            <w:shd w:val="clear" w:color="auto" w:fill="E2EEF6"/>
          </w:tcPr>
          <w:p>
            <w:pPr>
              <w:spacing w:after="0"/>
              <w:rPr>
                <w:sz w:val="20"/>
                <w:szCs w:val="20"/>
                <w:color w:val="auto"/>
              </w:rPr>
            </w:pPr>
            <w:r>
              <w:rPr>
                <w:rFonts w:ascii="Arial" w:cs="Arial" w:eastAsia="Arial" w:hAnsi="Arial"/>
                <w:sz w:val="17"/>
                <w:szCs w:val="17"/>
                <w:color w:val="auto"/>
              </w:rPr>
              <w:t>Additional Paid-in Capital</w:t>
            </w:r>
          </w:p>
        </w:tc>
        <w:tc>
          <w:tcPr>
            <w:tcW w:w="200" w:type="dxa"/>
            <w:vAlign w:val="bottom"/>
            <w:shd w:val="clear" w:color="auto" w:fill="E2EEF6"/>
          </w:tcPr>
          <w:p>
            <w:pPr>
              <w:spacing w:after="0"/>
              <w:rPr>
                <w:sz w:val="20"/>
                <w:szCs w:val="20"/>
                <w:color w:val="auto"/>
              </w:rPr>
            </w:pPr>
          </w:p>
        </w:tc>
        <w:tc>
          <w:tcPr>
            <w:tcW w:w="134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10,871.7</w:t>
            </w:r>
          </w:p>
        </w:tc>
        <w:tc>
          <w:tcPr>
            <w:tcW w:w="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3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10,695.8</w:t>
            </w:r>
          </w:p>
        </w:tc>
        <w:tc>
          <w:tcPr>
            <w:tcW w:w="0" w:type="dxa"/>
            <w:vAlign w:val="bottom"/>
          </w:tcPr>
          <w:p>
            <w:pPr>
              <w:spacing w:after="0"/>
              <w:rPr>
                <w:sz w:val="1"/>
                <w:szCs w:val="1"/>
                <w:color w:val="auto"/>
              </w:rPr>
            </w:pPr>
          </w:p>
        </w:tc>
      </w:tr>
      <w:tr>
        <w:trPr>
          <w:trHeight w:val="235"/>
        </w:trPr>
        <w:tc>
          <w:tcPr>
            <w:tcW w:w="8340" w:type="dxa"/>
            <w:vAlign w:val="bottom"/>
            <w:gridSpan w:val="2"/>
          </w:tcPr>
          <w:p>
            <w:pPr>
              <w:spacing w:after="0"/>
              <w:rPr>
                <w:sz w:val="20"/>
                <w:szCs w:val="20"/>
                <w:color w:val="auto"/>
              </w:rPr>
            </w:pPr>
            <w:r>
              <w:rPr>
                <w:rFonts w:ascii="Arial" w:cs="Arial" w:eastAsia="Arial" w:hAnsi="Arial"/>
                <w:sz w:val="17"/>
                <w:szCs w:val="17"/>
                <w:color w:val="auto"/>
              </w:rPr>
              <w:t>Accumulated Other Comprehensive Loss</w:t>
            </w:r>
          </w:p>
        </w:tc>
        <w:tc>
          <w:tcPr>
            <w:tcW w:w="20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7"/>
                <w:szCs w:val="17"/>
                <w:color w:val="auto"/>
              </w:rPr>
              <w:t>(22.9)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auto"/>
            </w:tcBorders>
            <w:gridSpan w:val="2"/>
            <w:shd w:val="clear" w:color="auto" w:fill="E2EEF6"/>
          </w:tcPr>
          <w:p>
            <w:pPr>
              <w:spacing w:after="0"/>
              <w:rPr>
                <w:sz w:val="20"/>
                <w:szCs w:val="20"/>
                <w:color w:val="auto"/>
              </w:rPr>
            </w:pPr>
            <w:r>
              <w:rPr>
                <w:rFonts w:ascii="Arial" w:cs="Arial" w:eastAsia="Arial" w:hAnsi="Arial"/>
                <w:sz w:val="17"/>
                <w:szCs w:val="17"/>
                <w:color w:val="auto"/>
              </w:rPr>
              <w:t>Retained Deficit</w:t>
            </w:r>
          </w:p>
        </w:tc>
        <w:tc>
          <w:tcPr>
            <w:tcW w:w="200" w:type="dxa"/>
            <w:vAlign w:val="bottom"/>
            <w:tcBorders>
              <w:bottom w:val="single" w:sz="8" w:color="auto"/>
            </w:tcBorders>
            <w:shd w:val="clear" w:color="auto" w:fill="E2EEF6"/>
          </w:tcPr>
          <w:p>
            <w:pPr>
              <w:spacing w:after="0"/>
              <w:rPr>
                <w:sz w:val="20"/>
                <w:szCs w:val="20"/>
                <w:color w:val="auto"/>
              </w:rPr>
            </w:pPr>
          </w:p>
        </w:tc>
        <w:tc>
          <w:tcPr>
            <w:tcW w:w="1340" w:type="dxa"/>
            <w:vAlign w:val="bottom"/>
            <w:tcBorders>
              <w:bottom w:val="single" w:sz="8" w:color="auto"/>
            </w:tcBorders>
            <w:gridSpan w:val="2"/>
            <w:shd w:val="clear" w:color="auto" w:fill="E2EEF6"/>
          </w:tcPr>
          <w:p>
            <w:pPr>
              <w:jc w:val="right"/>
              <w:ind w:right="80"/>
              <w:spacing w:after="0"/>
              <w:rPr>
                <w:sz w:val="20"/>
                <w:szCs w:val="20"/>
                <w:color w:val="auto"/>
              </w:rPr>
            </w:pPr>
            <w:r>
              <w:rPr>
                <w:rFonts w:ascii="Arial" w:cs="Arial" w:eastAsia="Arial" w:hAnsi="Arial"/>
                <w:sz w:val="17"/>
                <w:szCs w:val="17"/>
                <w:color w:val="auto"/>
              </w:rPr>
              <w:t>(2,888.4)</w:t>
            </w:r>
          </w:p>
        </w:tc>
        <w:tc>
          <w:tcPr>
            <w:tcW w:w="80" w:type="dxa"/>
            <w:vAlign w:val="bottom"/>
            <w:tcBorders>
              <w:bottom w:val="single" w:sz="8" w:color="auto"/>
            </w:tcBorders>
            <w:shd w:val="clear" w:color="auto" w:fill="E2EEF6"/>
          </w:tcPr>
          <w:p>
            <w:pPr>
              <w:spacing w:after="0"/>
              <w:rPr>
                <w:sz w:val="20"/>
                <w:szCs w:val="20"/>
                <w:color w:val="auto"/>
              </w:rPr>
            </w:pPr>
          </w:p>
        </w:tc>
        <w:tc>
          <w:tcPr>
            <w:tcW w:w="140" w:type="dxa"/>
            <w:vAlign w:val="bottom"/>
            <w:tcBorders>
              <w:bottom w:val="single" w:sz="8" w:color="auto"/>
            </w:tcBorders>
            <w:shd w:val="clear" w:color="auto" w:fill="E2EEF6"/>
          </w:tcPr>
          <w:p>
            <w:pPr>
              <w:spacing w:after="0"/>
              <w:rPr>
                <w:sz w:val="20"/>
                <w:szCs w:val="20"/>
                <w:color w:val="auto"/>
              </w:rPr>
            </w:pPr>
          </w:p>
        </w:tc>
        <w:tc>
          <w:tcPr>
            <w:tcW w:w="1320" w:type="dxa"/>
            <w:vAlign w:val="bottom"/>
            <w:tcBorders>
              <w:bottom w:val="single" w:sz="8" w:color="auto"/>
            </w:tcBorders>
            <w:gridSpan w:val="2"/>
            <w:shd w:val="clear" w:color="auto" w:fill="E2EEF6"/>
          </w:tcPr>
          <w:p>
            <w:pPr>
              <w:jc w:val="right"/>
              <w:ind w:right="40"/>
              <w:spacing w:after="0"/>
              <w:rPr>
                <w:sz w:val="20"/>
                <w:szCs w:val="20"/>
                <w:color w:val="auto"/>
              </w:rPr>
            </w:pPr>
            <w:r>
              <w:rPr>
                <w:rFonts w:ascii="Arial" w:cs="Arial" w:eastAsia="Arial" w:hAnsi="Arial"/>
                <w:sz w:val="17"/>
                <w:szCs w:val="17"/>
                <w:color w:val="auto"/>
              </w:rPr>
              <w:t>(3,282.0)</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auto"/>
            </w:tcBorders>
            <w:gridSpan w:val="2"/>
          </w:tcPr>
          <w:p>
            <w:pPr>
              <w:ind w:left="320"/>
              <w:spacing w:after="0"/>
              <w:rPr>
                <w:sz w:val="20"/>
                <w:szCs w:val="20"/>
                <w:color w:val="auto"/>
              </w:rPr>
            </w:pPr>
            <w:r>
              <w:rPr>
                <w:rFonts w:ascii="Arial" w:cs="Arial" w:eastAsia="Arial" w:hAnsi="Arial"/>
                <w:sz w:val="17"/>
                <w:szCs w:val="17"/>
                <w:color w:val="auto"/>
              </w:rPr>
              <w:t>Total Shareholders’ Equity</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7,963.7</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7,392.6</w:t>
            </w:r>
          </w:p>
        </w:tc>
        <w:tc>
          <w:tcPr>
            <w:tcW w:w="0" w:type="dxa"/>
            <w:vAlign w:val="bottom"/>
          </w:tcPr>
          <w:p>
            <w:pPr>
              <w:spacing w:after="0"/>
              <w:rPr>
                <w:sz w:val="1"/>
                <w:szCs w:val="1"/>
                <w:color w:val="auto"/>
              </w:rPr>
            </w:pPr>
          </w:p>
        </w:tc>
      </w:tr>
      <w:tr>
        <w:trPr>
          <w:trHeight w:val="269"/>
        </w:trPr>
        <w:tc>
          <w:tcPr>
            <w:tcW w:w="8340" w:type="dxa"/>
            <w:vAlign w:val="bottom"/>
            <w:tcBorders>
              <w:bottom w:val="single" w:sz="8" w:color="auto"/>
            </w:tcBorders>
            <w:gridSpan w:val="2"/>
            <w:shd w:val="clear" w:color="auto" w:fill="E2EEF6"/>
          </w:tcPr>
          <w:p>
            <w:pPr>
              <w:ind w:left="320"/>
              <w:spacing w:after="0"/>
              <w:rPr>
                <w:sz w:val="20"/>
                <w:szCs w:val="20"/>
                <w:color w:val="auto"/>
              </w:rPr>
            </w:pPr>
            <w:r>
              <w:rPr>
                <w:rFonts w:ascii="Arial" w:cs="Arial" w:eastAsia="Arial" w:hAnsi="Arial"/>
                <w:sz w:val="17"/>
                <w:szCs w:val="17"/>
                <w:color w:val="auto"/>
              </w:rPr>
              <w:t>Total Liabilities and Shareholders’ Equity</w:t>
            </w:r>
          </w:p>
        </w:tc>
        <w:tc>
          <w:tcPr>
            <w:tcW w:w="200" w:type="dxa"/>
            <w:vAlign w:val="bottom"/>
            <w:tcBorders>
              <w:bottom w:val="single" w:sz="8" w:color="auto"/>
            </w:tcBorders>
            <w:shd w:val="clear" w:color="auto" w:fill="E2EEF6"/>
          </w:tcPr>
          <w:p>
            <w:pPr>
              <w:jc w:val="right"/>
              <w:ind w:right="13"/>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11,159.2</w:t>
            </w:r>
          </w:p>
        </w:tc>
        <w:tc>
          <w:tcPr>
            <w:tcW w:w="220" w:type="dxa"/>
            <w:vAlign w:val="bottom"/>
            <w:tcBorders>
              <w:bottom w:val="single" w:sz="8" w:color="auto"/>
            </w:tcBorders>
            <w:gridSpan w:val="2"/>
            <w:shd w:val="clear" w:color="auto" w:fill="E2EEF6"/>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10,758.3</w:t>
            </w: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ectPr>
          <w:pgSz w:w="11900" w:h="16838" w:orient="portrait"/>
          <w:cols w:equalWidth="0" w:num="1">
            <w:col w:w="11420"/>
          </w:cols>
          <w:pgMar w:left="240" w:top="122" w:right="239" w:bottom="144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102870</wp:posOffset>
            </wp:positionV>
            <wp:extent cx="725551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TRANSOCEAN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4"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(In millions)</w:t>
      </w:r>
    </w:p>
    <w:p>
      <w:pPr>
        <w:spacing w:after="0" w:line="14"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160" w:type="dxa"/>
            <w:vAlign w:val="bottom"/>
          </w:tcPr>
          <w:p>
            <w:pPr>
              <w:spacing w:after="0"/>
              <w:rPr>
                <w:sz w:val="20"/>
                <w:szCs w:val="20"/>
                <w:color w:val="auto"/>
              </w:rPr>
            </w:pPr>
            <w:r>
              <w:rPr>
                <w:rFonts w:ascii="Arial" w:cs="Arial" w:eastAsia="Arial" w:hAnsi="Arial"/>
                <w:sz w:val="17"/>
                <w:szCs w:val="17"/>
                <w:color w:val="FFFFFF"/>
              </w:rPr>
              <w:t>&lt;table&gt;&lt;caption&gt;</w:t>
            </w:r>
          </w:p>
        </w:tc>
        <w:tc>
          <w:tcPr>
            <w:tcW w:w="2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w w:val="98"/>
              </w:rPr>
              <w:t>Three Months Ended June 30,</w:t>
            </w:r>
          </w:p>
        </w:tc>
        <w:tc>
          <w:tcPr>
            <w:tcW w:w="4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7"/>
                <w:szCs w:val="17"/>
                <w:color w:val="auto"/>
              </w:rPr>
              <w:t>Six Months Ended June 30,</w:t>
            </w:r>
          </w:p>
        </w:tc>
      </w:tr>
      <w:tr>
        <w:trPr>
          <w:trHeight w:val="229"/>
        </w:trPr>
        <w:tc>
          <w:tcPr>
            <w:tcW w:w="5160" w:type="dxa"/>
            <w:vAlign w:val="bottom"/>
          </w:tcPr>
          <w:p>
            <w:pPr>
              <w:spacing w:after="0"/>
              <w:rPr>
                <w:sz w:val="20"/>
                <w:szCs w:val="20"/>
                <w:color w:val="auto"/>
              </w:rPr>
            </w:pPr>
            <w:r>
              <w:rPr>
                <w:rFonts w:ascii="Arial" w:cs="Arial" w:eastAsia="Arial" w:hAnsi="Arial"/>
                <w:sz w:val="17"/>
                <w:szCs w:val="17"/>
                <w:color w:val="FFFFFF"/>
              </w:rPr>
              <w:t>&lt;B&gt;</w:t>
            </w:r>
          </w:p>
        </w:tc>
        <w:tc>
          <w:tcPr>
            <w:tcW w:w="260" w:type="dxa"/>
            <w:vAlign w:val="bottom"/>
          </w:tcPr>
          <w:p>
            <w:pPr>
              <w:spacing w:after="0"/>
              <w:rPr>
                <w:sz w:val="19"/>
                <w:szCs w:val="19"/>
                <w:color w:val="auto"/>
              </w:rPr>
            </w:pPr>
          </w:p>
        </w:tc>
        <w:tc>
          <w:tcPr>
            <w:tcW w:w="1120" w:type="dxa"/>
            <w:vAlign w:val="bottom"/>
          </w:tcPr>
          <w:p>
            <w:pPr>
              <w:jc w:val="right"/>
              <w:ind w:right="433"/>
              <w:spacing w:after="0"/>
              <w:rPr>
                <w:sz w:val="20"/>
                <w:szCs w:val="20"/>
                <w:color w:val="auto"/>
              </w:rPr>
            </w:pPr>
            <w:r>
              <w:rPr>
                <w:rFonts w:ascii="Arial" w:cs="Arial" w:eastAsia="Arial" w:hAnsi="Arial"/>
                <w:sz w:val="17"/>
                <w:szCs w:val="17"/>
                <w:color w:val="auto"/>
              </w:rPr>
              <w:t>2005</w:t>
            </w:r>
          </w:p>
        </w:tc>
        <w:tc>
          <w:tcPr>
            <w:tcW w:w="1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2004</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3"/>
              <w:spacing w:after="0"/>
              <w:rPr>
                <w:sz w:val="20"/>
                <w:szCs w:val="20"/>
                <w:color w:val="auto"/>
              </w:rPr>
            </w:pPr>
            <w:r>
              <w:rPr>
                <w:rFonts w:ascii="Arial" w:cs="Arial" w:eastAsia="Arial" w:hAnsi="Arial"/>
                <w:sz w:val="17"/>
                <w:szCs w:val="17"/>
                <w:color w:val="auto"/>
              </w:rPr>
              <w:t>2005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3"/>
              <w:spacing w:after="0"/>
              <w:rPr>
                <w:sz w:val="20"/>
                <w:szCs w:val="20"/>
                <w:color w:val="auto"/>
              </w:rPr>
            </w:pPr>
            <w:r>
              <w:rPr>
                <w:rFonts w:ascii="Arial" w:cs="Arial" w:eastAsia="Arial" w:hAnsi="Arial"/>
                <w:sz w:val="17"/>
                <w:szCs w:val="17"/>
                <w:color w:val="auto"/>
              </w:rPr>
              <w:t>2004</w:t>
            </w:r>
          </w:p>
        </w:tc>
        <w:tc>
          <w:tcPr>
            <w:tcW w:w="100" w:type="dxa"/>
            <w:vAlign w:val="bottom"/>
          </w:tcPr>
          <w:p>
            <w:pPr>
              <w:spacing w:after="0"/>
              <w:rPr>
                <w:sz w:val="19"/>
                <w:szCs w:val="19"/>
                <w:color w:val="auto"/>
              </w:rPr>
            </w:pPr>
          </w:p>
        </w:tc>
      </w:tr>
      <w:tr>
        <w:trPr>
          <w:trHeight w:val="464"/>
        </w:trPr>
        <w:tc>
          <w:tcPr>
            <w:tcW w:w="5160" w:type="dxa"/>
            <w:vAlign w:val="bottom"/>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5160" w:type="dxa"/>
            <w:vAlign w:val="bottom"/>
            <w:shd w:val="clear" w:color="auto" w:fill="E2EEF6"/>
          </w:tcPr>
          <w:p>
            <w:pPr>
              <w:ind w:left="160"/>
              <w:spacing w:after="0"/>
              <w:rPr>
                <w:sz w:val="20"/>
                <w:szCs w:val="20"/>
                <w:color w:val="auto"/>
              </w:rPr>
            </w:pPr>
            <w:r>
              <w:rPr>
                <w:rFonts w:ascii="Arial" w:cs="Arial" w:eastAsia="Arial" w:hAnsi="Arial"/>
                <w:sz w:val="17"/>
                <w:szCs w:val="17"/>
                <w:color w:val="auto"/>
              </w:rPr>
              <w:t>Net income</w:t>
            </w:r>
          </w:p>
        </w:tc>
        <w:tc>
          <w:tcPr>
            <w:tcW w:w="260" w:type="dxa"/>
            <w:vAlign w:val="bottom"/>
            <w:shd w:val="clear" w:color="auto" w:fill="E2EEF6"/>
          </w:tcPr>
          <w:p>
            <w:pPr>
              <w:jc w:val="right"/>
              <w:ind w:right="10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301.8</w:t>
            </w:r>
          </w:p>
        </w:tc>
        <w:tc>
          <w:tcPr>
            <w:tcW w:w="1000" w:type="dxa"/>
            <w:vAlign w:val="bottom"/>
            <w:gridSpan w:val="2"/>
            <w:shd w:val="clear" w:color="auto" w:fill="E2EEF6"/>
          </w:tcPr>
          <w:p>
            <w:pPr>
              <w:jc w:val="right"/>
              <w:ind w:right="8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48.0</w:t>
            </w:r>
          </w:p>
        </w:tc>
        <w:tc>
          <w:tcPr>
            <w:tcW w:w="300" w:type="dxa"/>
            <w:vAlign w:val="bottom"/>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393.6</w:t>
            </w:r>
          </w:p>
        </w:tc>
        <w:tc>
          <w:tcPr>
            <w:tcW w:w="38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70.7</w:t>
            </w:r>
          </w:p>
        </w:tc>
      </w:tr>
      <w:tr>
        <w:trPr>
          <w:trHeight w:val="197"/>
        </w:trPr>
        <w:tc>
          <w:tcPr>
            <w:tcW w:w="5160" w:type="dxa"/>
            <w:vAlign w:val="bottom"/>
          </w:tcPr>
          <w:p>
            <w:pPr>
              <w:ind w:left="160"/>
              <w:spacing w:after="0"/>
              <w:rPr>
                <w:sz w:val="20"/>
                <w:szCs w:val="20"/>
                <w:color w:val="auto"/>
              </w:rPr>
            </w:pPr>
            <w:r>
              <w:rPr>
                <w:rFonts w:ascii="Arial" w:cs="Arial" w:eastAsia="Arial" w:hAnsi="Arial"/>
                <w:sz w:val="17"/>
                <w:szCs w:val="17"/>
                <w:color w:val="auto"/>
              </w:rPr>
              <w:t>Adjustments to reconcile net income to net cash provided by</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5160" w:type="dxa"/>
            <w:vAlign w:val="bottom"/>
          </w:tcPr>
          <w:p>
            <w:pPr>
              <w:ind w:left="320"/>
              <w:spacing w:after="0"/>
              <w:rPr>
                <w:sz w:val="20"/>
                <w:szCs w:val="20"/>
                <w:color w:val="auto"/>
              </w:rPr>
            </w:pPr>
            <w:r>
              <w:rPr>
                <w:rFonts w:ascii="Arial" w:cs="Arial" w:eastAsia="Arial" w:hAnsi="Arial"/>
                <w:sz w:val="17"/>
                <w:szCs w:val="17"/>
                <w:color w:val="auto"/>
              </w:rPr>
              <w:t>operating activities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5160" w:type="dxa"/>
            <w:vAlign w:val="bottom"/>
            <w:shd w:val="clear" w:color="auto" w:fill="E2EEF6"/>
          </w:tcPr>
          <w:p>
            <w:pPr>
              <w:ind w:left="480"/>
              <w:spacing w:after="0"/>
              <w:rPr>
                <w:sz w:val="20"/>
                <w:szCs w:val="20"/>
                <w:color w:val="auto"/>
              </w:rPr>
            </w:pPr>
            <w:r>
              <w:rPr>
                <w:rFonts w:ascii="Arial" w:cs="Arial" w:eastAsia="Arial" w:hAnsi="Arial"/>
                <w:sz w:val="17"/>
                <w:szCs w:val="17"/>
                <w:color w:val="auto"/>
              </w:rPr>
              <w:t>Depreciation</w:t>
            </w:r>
          </w:p>
        </w:tc>
        <w:tc>
          <w:tcPr>
            <w:tcW w:w="26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101.2</w:t>
            </w:r>
          </w:p>
        </w:tc>
        <w:tc>
          <w:tcPr>
            <w:tcW w:w="80" w:type="dxa"/>
            <w:vAlign w:val="bottom"/>
            <w:shd w:val="clear" w:color="auto" w:fill="E2EEF6"/>
          </w:tcPr>
          <w:p>
            <w:pPr>
              <w:spacing w:after="0"/>
              <w:rPr>
                <w:sz w:val="20"/>
                <w:szCs w:val="20"/>
                <w:color w:val="auto"/>
              </w:rPr>
            </w:pPr>
          </w:p>
        </w:tc>
        <w:tc>
          <w:tcPr>
            <w:tcW w:w="920" w:type="dxa"/>
            <w:vAlign w:val="bottom"/>
            <w:shd w:val="clear" w:color="auto" w:fill="E2EEF6"/>
          </w:tcPr>
          <w:p>
            <w:pPr>
              <w:spacing w:after="0"/>
              <w:rPr>
                <w:sz w:val="20"/>
                <w:szCs w:val="20"/>
                <w:color w:val="auto"/>
              </w:rPr>
            </w:pPr>
          </w:p>
        </w:tc>
        <w:tc>
          <w:tcPr>
            <w:tcW w:w="68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133.0</w:t>
            </w:r>
          </w:p>
        </w:tc>
        <w:tc>
          <w:tcPr>
            <w:tcW w:w="30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201.9</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264.5</w:t>
            </w:r>
          </w:p>
        </w:tc>
      </w:tr>
      <w:tr>
        <w:trPr>
          <w:trHeight w:val="235"/>
        </w:trPr>
        <w:tc>
          <w:tcPr>
            <w:tcW w:w="5160" w:type="dxa"/>
            <w:vAlign w:val="bottom"/>
          </w:tcPr>
          <w:p>
            <w:pPr>
              <w:ind w:left="480"/>
              <w:spacing w:after="0"/>
              <w:rPr>
                <w:sz w:val="20"/>
                <w:szCs w:val="20"/>
                <w:color w:val="auto"/>
              </w:rPr>
            </w:pPr>
            <w:r>
              <w:rPr>
                <w:rFonts w:ascii="Arial" w:cs="Arial" w:eastAsia="Arial" w:hAnsi="Arial"/>
                <w:sz w:val="17"/>
                <w:szCs w:val="17"/>
                <w:color w:val="auto"/>
              </w:rPr>
              <w:t>Stock-based compensation expense</w:t>
            </w:r>
          </w:p>
        </w:tc>
        <w:tc>
          <w:tcPr>
            <w:tcW w:w="2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3.5</w:t>
            </w:r>
          </w:p>
        </w:tc>
        <w:tc>
          <w:tcPr>
            <w:tcW w:w="3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5.9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13.5</w:t>
            </w:r>
          </w:p>
        </w:tc>
      </w:tr>
      <w:tr>
        <w:trPr>
          <w:trHeight w:val="236"/>
        </w:trPr>
        <w:tc>
          <w:tcPr>
            <w:tcW w:w="5160" w:type="dxa"/>
            <w:vAlign w:val="bottom"/>
            <w:shd w:val="clear" w:color="auto" w:fill="E2EEF6"/>
          </w:tcPr>
          <w:p>
            <w:pPr>
              <w:ind w:left="480"/>
              <w:spacing w:after="0"/>
              <w:rPr>
                <w:sz w:val="20"/>
                <w:szCs w:val="20"/>
                <w:color w:val="auto"/>
              </w:rPr>
            </w:pPr>
            <w:r>
              <w:rPr>
                <w:rFonts w:ascii="Arial" w:cs="Arial" w:eastAsia="Arial" w:hAnsi="Arial"/>
                <w:sz w:val="17"/>
                <w:szCs w:val="17"/>
                <w:color w:val="auto"/>
              </w:rPr>
              <w:t>Deferred income taxes</w:t>
            </w:r>
          </w:p>
        </w:tc>
        <w:tc>
          <w:tcPr>
            <w:tcW w:w="26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(2.4)</w:t>
            </w:r>
          </w:p>
        </w:tc>
        <w:tc>
          <w:tcPr>
            <w:tcW w:w="80" w:type="dxa"/>
            <w:vAlign w:val="bottom"/>
            <w:shd w:val="clear" w:color="auto" w:fill="E2EEF6"/>
          </w:tcPr>
          <w:p>
            <w:pPr>
              <w:spacing w:after="0"/>
              <w:rPr>
                <w:sz w:val="20"/>
                <w:szCs w:val="20"/>
                <w:color w:val="auto"/>
              </w:rPr>
            </w:pPr>
          </w:p>
        </w:tc>
        <w:tc>
          <w:tcPr>
            <w:tcW w:w="920" w:type="dxa"/>
            <w:vAlign w:val="bottom"/>
            <w:shd w:val="clear" w:color="auto" w:fill="E2EEF6"/>
          </w:tcPr>
          <w:p>
            <w:pPr>
              <w:spacing w:after="0"/>
              <w:rPr>
                <w:sz w:val="20"/>
                <w:szCs w:val="20"/>
                <w:color w:val="auto"/>
              </w:rPr>
            </w:pPr>
          </w:p>
        </w:tc>
        <w:tc>
          <w:tcPr>
            <w:tcW w:w="6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(3.3)</w:t>
            </w:r>
          </w:p>
        </w:tc>
        <w:tc>
          <w:tcPr>
            <w:tcW w:w="30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2.2</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28.0</w:t>
            </w:r>
          </w:p>
        </w:tc>
      </w:tr>
      <w:tr>
        <w:trPr>
          <w:trHeight w:val="235"/>
        </w:trPr>
        <w:tc>
          <w:tcPr>
            <w:tcW w:w="5160" w:type="dxa"/>
            <w:vAlign w:val="bottom"/>
          </w:tcPr>
          <w:p>
            <w:pPr>
              <w:ind w:left="480"/>
              <w:spacing w:after="0"/>
              <w:rPr>
                <w:sz w:val="20"/>
                <w:szCs w:val="20"/>
                <w:color w:val="auto"/>
              </w:rPr>
            </w:pPr>
            <w:r>
              <w:rPr>
                <w:rFonts w:ascii="Arial" w:cs="Arial" w:eastAsia="Arial" w:hAnsi="Arial"/>
                <w:sz w:val="17"/>
                <w:szCs w:val="17"/>
                <w:color w:val="auto"/>
              </w:rPr>
              <w:t>Equity in earnings of unconsolidated affiliates</w:t>
            </w:r>
          </w:p>
        </w:tc>
        <w:tc>
          <w:tcPr>
            <w:tcW w:w="26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(3.7)</w:t>
            </w:r>
          </w:p>
        </w:tc>
        <w:tc>
          <w:tcPr>
            <w:tcW w:w="3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(6.5)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(6.0)</w:t>
            </w:r>
          </w:p>
        </w:tc>
      </w:tr>
      <w:tr>
        <w:trPr>
          <w:trHeight w:val="236"/>
        </w:trPr>
        <w:tc>
          <w:tcPr>
            <w:tcW w:w="5160" w:type="dxa"/>
            <w:vAlign w:val="bottom"/>
            <w:shd w:val="clear" w:color="auto" w:fill="E2EEF6"/>
          </w:tcPr>
          <w:p>
            <w:pPr>
              <w:ind w:left="480"/>
              <w:spacing w:after="0"/>
              <w:rPr>
                <w:sz w:val="20"/>
                <w:szCs w:val="20"/>
                <w:color w:val="auto"/>
              </w:rPr>
            </w:pPr>
            <w:r>
              <w:rPr>
                <w:rFonts w:ascii="Arial" w:cs="Arial" w:eastAsia="Arial" w:hAnsi="Arial"/>
                <w:sz w:val="17"/>
                <w:szCs w:val="17"/>
                <w:color w:val="auto"/>
              </w:rPr>
              <w:t>Net gain from disposal of assets</w:t>
            </w:r>
          </w:p>
        </w:tc>
        <w:tc>
          <w:tcPr>
            <w:tcW w:w="26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(13.6)</w:t>
            </w:r>
          </w:p>
        </w:tc>
        <w:tc>
          <w:tcPr>
            <w:tcW w:w="80" w:type="dxa"/>
            <w:vAlign w:val="bottom"/>
            <w:shd w:val="clear" w:color="auto" w:fill="E2EEF6"/>
          </w:tcPr>
          <w:p>
            <w:pPr>
              <w:spacing w:after="0"/>
              <w:rPr>
                <w:sz w:val="20"/>
                <w:szCs w:val="20"/>
                <w:color w:val="auto"/>
              </w:rPr>
            </w:pPr>
          </w:p>
        </w:tc>
        <w:tc>
          <w:tcPr>
            <w:tcW w:w="920" w:type="dxa"/>
            <w:vAlign w:val="bottom"/>
            <w:shd w:val="clear" w:color="auto" w:fill="E2EEF6"/>
          </w:tcPr>
          <w:p>
            <w:pPr>
              <w:spacing w:after="0"/>
              <w:rPr>
                <w:sz w:val="20"/>
                <w:szCs w:val="20"/>
                <w:color w:val="auto"/>
              </w:rPr>
            </w:pPr>
          </w:p>
        </w:tc>
        <w:tc>
          <w:tcPr>
            <w:tcW w:w="6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(23.1)</w:t>
            </w:r>
          </w:p>
        </w:tc>
        <w:tc>
          <w:tcPr>
            <w:tcW w:w="30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80"/>
              <w:spacing w:after="0"/>
              <w:rPr>
                <w:sz w:val="20"/>
                <w:szCs w:val="20"/>
                <w:color w:val="auto"/>
              </w:rPr>
            </w:pPr>
            <w:r>
              <w:rPr>
                <w:rFonts w:ascii="Arial" w:cs="Arial" w:eastAsia="Arial" w:hAnsi="Arial"/>
                <w:sz w:val="17"/>
                <w:szCs w:val="17"/>
                <w:color w:val="auto"/>
              </w:rPr>
              <w:t>(33.5)</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40"/>
              <w:spacing w:after="0"/>
              <w:rPr>
                <w:sz w:val="20"/>
                <w:szCs w:val="20"/>
                <w:color w:val="auto"/>
              </w:rPr>
            </w:pPr>
            <w:r>
              <w:rPr>
                <w:rFonts w:ascii="Arial" w:cs="Arial" w:eastAsia="Arial" w:hAnsi="Arial"/>
                <w:sz w:val="17"/>
                <w:szCs w:val="17"/>
                <w:color w:val="auto"/>
              </w:rPr>
              <w:t>(25.0)</w:t>
            </w:r>
          </w:p>
        </w:tc>
      </w:tr>
      <w:tr>
        <w:trPr>
          <w:trHeight w:val="235"/>
        </w:trPr>
        <w:tc>
          <w:tcPr>
            <w:tcW w:w="5160" w:type="dxa"/>
            <w:vAlign w:val="bottom"/>
          </w:tcPr>
          <w:p>
            <w:pPr>
              <w:ind w:left="480"/>
              <w:spacing w:after="0"/>
              <w:rPr>
                <w:sz w:val="20"/>
                <w:szCs w:val="20"/>
                <w:color w:val="auto"/>
              </w:rPr>
            </w:pPr>
            <w:r>
              <w:rPr>
                <w:rFonts w:ascii="Arial" w:cs="Arial" w:eastAsia="Arial" w:hAnsi="Arial"/>
                <w:sz w:val="17"/>
                <w:szCs w:val="17"/>
                <w:color w:val="auto"/>
              </w:rPr>
              <w:t>Gain from TODCO Stock Sales</w:t>
            </w:r>
          </w:p>
        </w:tc>
        <w:tc>
          <w:tcPr>
            <w:tcW w:w="26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(165.0)</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(165.0)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(39.4)</w:t>
            </w:r>
          </w:p>
        </w:tc>
      </w:tr>
      <w:tr>
        <w:trPr>
          <w:trHeight w:val="236"/>
        </w:trPr>
        <w:tc>
          <w:tcPr>
            <w:tcW w:w="5160" w:type="dxa"/>
            <w:vAlign w:val="bottom"/>
            <w:shd w:val="clear" w:color="auto" w:fill="E2EEF6"/>
          </w:tcPr>
          <w:p>
            <w:pPr>
              <w:ind w:left="480"/>
              <w:spacing w:after="0"/>
              <w:rPr>
                <w:sz w:val="20"/>
                <w:szCs w:val="20"/>
                <w:color w:val="auto"/>
              </w:rPr>
            </w:pPr>
            <w:r>
              <w:rPr>
                <w:rFonts w:ascii="Arial" w:cs="Arial" w:eastAsia="Arial" w:hAnsi="Arial"/>
                <w:sz w:val="17"/>
                <w:szCs w:val="17"/>
                <w:color w:val="auto"/>
              </w:rPr>
              <w:t>Loss on retirement of debt</w:t>
            </w:r>
          </w:p>
        </w:tc>
        <w:tc>
          <w:tcPr>
            <w:tcW w:w="26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E2EEF6"/>
          </w:tcPr>
          <w:p>
            <w:pPr>
              <w:spacing w:after="0"/>
              <w:rPr>
                <w:sz w:val="20"/>
                <w:szCs w:val="20"/>
                <w:color w:val="auto"/>
              </w:rPr>
            </w:pPr>
          </w:p>
        </w:tc>
        <w:tc>
          <w:tcPr>
            <w:tcW w:w="920" w:type="dxa"/>
            <w:vAlign w:val="bottom"/>
            <w:shd w:val="clear" w:color="auto" w:fill="E2EEF6"/>
          </w:tcPr>
          <w:p>
            <w:pPr>
              <w:spacing w:after="0"/>
              <w:rPr>
                <w:sz w:val="20"/>
                <w:szCs w:val="20"/>
                <w:color w:val="auto"/>
              </w:rPr>
            </w:pPr>
          </w:p>
        </w:tc>
        <w:tc>
          <w:tcPr>
            <w:tcW w:w="68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6.7</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28.1</w:t>
            </w:r>
          </w:p>
        </w:tc>
      </w:tr>
      <w:tr>
        <w:trPr>
          <w:trHeight w:val="197"/>
        </w:trPr>
        <w:tc>
          <w:tcPr>
            <w:tcW w:w="5160" w:type="dxa"/>
            <w:vAlign w:val="bottom"/>
          </w:tcPr>
          <w:p>
            <w:pPr>
              <w:ind w:left="480"/>
              <w:spacing w:after="0"/>
              <w:rPr>
                <w:sz w:val="20"/>
                <w:szCs w:val="20"/>
                <w:color w:val="auto"/>
              </w:rPr>
            </w:pPr>
            <w:r>
              <w:rPr>
                <w:rFonts w:ascii="Arial" w:cs="Arial" w:eastAsia="Arial" w:hAnsi="Arial"/>
                <w:sz w:val="17"/>
                <w:szCs w:val="17"/>
                <w:color w:val="auto"/>
              </w:rPr>
              <w:t>Amortization of debt-related discounts/premiums, fair value</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5160" w:type="dxa"/>
            <w:vAlign w:val="bottom"/>
          </w:tcPr>
          <w:p>
            <w:pPr>
              <w:ind w:left="640"/>
              <w:spacing w:after="0"/>
              <w:rPr>
                <w:sz w:val="20"/>
                <w:szCs w:val="20"/>
                <w:color w:val="auto"/>
              </w:rPr>
            </w:pPr>
            <w:r>
              <w:rPr>
                <w:rFonts w:ascii="Arial" w:cs="Arial" w:eastAsia="Arial" w:hAnsi="Arial"/>
                <w:sz w:val="17"/>
                <w:szCs w:val="17"/>
                <w:color w:val="auto"/>
              </w:rPr>
              <w:t>adjustments and issue costs, net</w:t>
            </w:r>
          </w:p>
        </w:tc>
        <w:tc>
          <w:tcPr>
            <w:tcW w:w="2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(4.9)</w:t>
            </w:r>
          </w:p>
        </w:tc>
        <w:tc>
          <w:tcPr>
            <w:tcW w:w="3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(12.5)</w:t>
            </w:r>
          </w:p>
        </w:tc>
      </w:tr>
      <w:tr>
        <w:trPr>
          <w:trHeight w:val="236"/>
        </w:trPr>
        <w:tc>
          <w:tcPr>
            <w:tcW w:w="5160" w:type="dxa"/>
            <w:vAlign w:val="bottom"/>
            <w:shd w:val="clear" w:color="auto" w:fill="E2EEF6"/>
          </w:tcPr>
          <w:p>
            <w:pPr>
              <w:ind w:left="480"/>
              <w:spacing w:after="0"/>
              <w:rPr>
                <w:sz w:val="20"/>
                <w:szCs w:val="20"/>
                <w:color w:val="auto"/>
              </w:rPr>
            </w:pPr>
            <w:r>
              <w:rPr>
                <w:rFonts w:ascii="Arial" w:cs="Arial" w:eastAsia="Arial" w:hAnsi="Arial"/>
                <w:sz w:val="17"/>
                <w:szCs w:val="17"/>
                <w:color w:val="auto"/>
              </w:rPr>
              <w:t>Deferred income, net</w:t>
            </w:r>
          </w:p>
        </w:tc>
        <w:tc>
          <w:tcPr>
            <w:tcW w:w="26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2.1</w:t>
            </w:r>
          </w:p>
        </w:tc>
        <w:tc>
          <w:tcPr>
            <w:tcW w:w="80" w:type="dxa"/>
            <w:vAlign w:val="bottom"/>
            <w:shd w:val="clear" w:color="auto" w:fill="E2EEF6"/>
          </w:tcPr>
          <w:p>
            <w:pPr>
              <w:spacing w:after="0"/>
              <w:rPr>
                <w:sz w:val="20"/>
                <w:szCs w:val="20"/>
                <w:color w:val="auto"/>
              </w:rPr>
            </w:pPr>
          </w:p>
        </w:tc>
        <w:tc>
          <w:tcPr>
            <w:tcW w:w="920" w:type="dxa"/>
            <w:vAlign w:val="bottom"/>
            <w:shd w:val="clear" w:color="auto" w:fill="E2EEF6"/>
          </w:tcPr>
          <w:p>
            <w:pPr>
              <w:spacing w:after="0"/>
              <w:rPr>
                <w:sz w:val="20"/>
                <w:szCs w:val="20"/>
                <w:color w:val="auto"/>
              </w:rPr>
            </w:pPr>
          </w:p>
        </w:tc>
        <w:tc>
          <w:tcPr>
            <w:tcW w:w="68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17.4</w:t>
            </w:r>
          </w:p>
        </w:tc>
        <w:tc>
          <w:tcPr>
            <w:tcW w:w="30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12.1</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14.1</w:t>
            </w:r>
          </w:p>
        </w:tc>
      </w:tr>
      <w:tr>
        <w:trPr>
          <w:trHeight w:val="235"/>
        </w:trPr>
        <w:tc>
          <w:tcPr>
            <w:tcW w:w="5160" w:type="dxa"/>
            <w:vAlign w:val="bottom"/>
          </w:tcPr>
          <w:p>
            <w:pPr>
              <w:ind w:left="480"/>
              <w:spacing w:after="0"/>
              <w:rPr>
                <w:sz w:val="20"/>
                <w:szCs w:val="20"/>
                <w:color w:val="auto"/>
              </w:rPr>
            </w:pPr>
            <w:r>
              <w:rPr>
                <w:rFonts w:ascii="Arial" w:cs="Arial" w:eastAsia="Arial" w:hAnsi="Arial"/>
                <w:sz w:val="17"/>
                <w:szCs w:val="17"/>
                <w:color w:val="auto"/>
              </w:rPr>
              <w:t>Deferred expenses, net</w:t>
            </w:r>
          </w:p>
        </w:tc>
        <w:tc>
          <w:tcPr>
            <w:tcW w:w="2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10.3</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(10.8)</w:t>
            </w:r>
          </w:p>
        </w:tc>
        <w:tc>
          <w:tcPr>
            <w:tcW w:w="3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9.1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(12.7)</w:t>
            </w:r>
          </w:p>
        </w:tc>
      </w:tr>
      <w:tr>
        <w:trPr>
          <w:trHeight w:val="236"/>
        </w:trPr>
        <w:tc>
          <w:tcPr>
            <w:tcW w:w="5160" w:type="dxa"/>
            <w:vAlign w:val="bottom"/>
            <w:shd w:val="clear" w:color="auto" w:fill="E2EEF6"/>
          </w:tcPr>
          <w:p>
            <w:pPr>
              <w:ind w:left="480"/>
              <w:spacing w:after="0"/>
              <w:rPr>
                <w:sz w:val="20"/>
                <w:szCs w:val="20"/>
                <w:color w:val="auto"/>
              </w:rPr>
            </w:pPr>
            <w:r>
              <w:rPr>
                <w:rFonts w:ascii="Arial" w:cs="Arial" w:eastAsia="Arial" w:hAnsi="Arial"/>
                <w:sz w:val="17"/>
                <w:szCs w:val="17"/>
                <w:color w:val="auto"/>
              </w:rPr>
              <w:t>Tax benefit from exercise of stock options</w:t>
            </w:r>
          </w:p>
        </w:tc>
        <w:tc>
          <w:tcPr>
            <w:tcW w:w="26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5.7</w:t>
            </w:r>
          </w:p>
        </w:tc>
        <w:tc>
          <w:tcPr>
            <w:tcW w:w="80" w:type="dxa"/>
            <w:vAlign w:val="bottom"/>
            <w:shd w:val="clear" w:color="auto" w:fill="E2EEF6"/>
          </w:tcPr>
          <w:p>
            <w:pPr>
              <w:spacing w:after="0"/>
              <w:rPr>
                <w:sz w:val="20"/>
                <w:szCs w:val="20"/>
                <w:color w:val="auto"/>
              </w:rPr>
            </w:pPr>
          </w:p>
        </w:tc>
        <w:tc>
          <w:tcPr>
            <w:tcW w:w="920" w:type="dxa"/>
            <w:vAlign w:val="bottom"/>
            <w:shd w:val="clear" w:color="auto" w:fill="E2EEF6"/>
          </w:tcPr>
          <w:p>
            <w:pPr>
              <w:spacing w:after="0"/>
              <w:rPr>
                <w:sz w:val="20"/>
                <w:szCs w:val="20"/>
                <w:color w:val="auto"/>
              </w:rPr>
            </w:pPr>
          </w:p>
        </w:tc>
        <w:tc>
          <w:tcPr>
            <w:tcW w:w="68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4.9</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w:t>
            </w:r>
          </w:p>
        </w:tc>
      </w:tr>
      <w:tr>
        <w:trPr>
          <w:trHeight w:val="235"/>
        </w:trPr>
        <w:tc>
          <w:tcPr>
            <w:tcW w:w="5160" w:type="dxa"/>
            <w:vAlign w:val="bottom"/>
          </w:tcPr>
          <w:p>
            <w:pPr>
              <w:ind w:left="480"/>
              <w:spacing w:after="0"/>
              <w:rPr>
                <w:sz w:val="20"/>
                <w:szCs w:val="20"/>
                <w:color w:val="auto"/>
              </w:rPr>
            </w:pPr>
            <w:r>
              <w:rPr>
                <w:rFonts w:ascii="Arial" w:cs="Arial" w:eastAsia="Arial" w:hAnsi="Arial"/>
                <w:sz w:val="17"/>
                <w:szCs w:val="17"/>
                <w:color w:val="auto"/>
              </w:rPr>
              <w:t>Other long-term liabilities</w:t>
            </w:r>
          </w:p>
        </w:tc>
        <w:tc>
          <w:tcPr>
            <w:tcW w:w="2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7.3</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4.6</w:t>
            </w:r>
          </w:p>
        </w:tc>
        <w:tc>
          <w:tcPr>
            <w:tcW w:w="3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6.9</w:t>
            </w:r>
          </w:p>
        </w:tc>
      </w:tr>
      <w:tr>
        <w:trPr>
          <w:trHeight w:val="236"/>
        </w:trPr>
        <w:tc>
          <w:tcPr>
            <w:tcW w:w="5160" w:type="dxa"/>
            <w:vAlign w:val="bottom"/>
            <w:shd w:val="clear" w:color="auto" w:fill="E2EEF6"/>
          </w:tcPr>
          <w:p>
            <w:pPr>
              <w:ind w:left="480"/>
              <w:spacing w:after="0"/>
              <w:rPr>
                <w:sz w:val="20"/>
                <w:szCs w:val="20"/>
                <w:color w:val="auto"/>
              </w:rPr>
            </w:pPr>
            <w:r>
              <w:rPr>
                <w:rFonts w:ascii="Arial" w:cs="Arial" w:eastAsia="Arial" w:hAnsi="Arial"/>
                <w:sz w:val="17"/>
                <w:szCs w:val="17"/>
                <w:color w:val="auto"/>
              </w:rPr>
              <w:t>Other, net</w:t>
            </w:r>
          </w:p>
        </w:tc>
        <w:tc>
          <w:tcPr>
            <w:tcW w:w="26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(2.4)</w:t>
            </w:r>
          </w:p>
        </w:tc>
        <w:tc>
          <w:tcPr>
            <w:tcW w:w="80" w:type="dxa"/>
            <w:vAlign w:val="bottom"/>
            <w:shd w:val="clear" w:color="auto" w:fill="E2EEF6"/>
          </w:tcPr>
          <w:p>
            <w:pPr>
              <w:spacing w:after="0"/>
              <w:rPr>
                <w:sz w:val="20"/>
                <w:szCs w:val="20"/>
                <w:color w:val="auto"/>
              </w:rPr>
            </w:pPr>
          </w:p>
        </w:tc>
        <w:tc>
          <w:tcPr>
            <w:tcW w:w="920" w:type="dxa"/>
            <w:vAlign w:val="bottom"/>
            <w:shd w:val="clear" w:color="auto" w:fill="E2EEF6"/>
          </w:tcPr>
          <w:p>
            <w:pPr>
              <w:spacing w:after="0"/>
              <w:rPr>
                <w:sz w:val="20"/>
                <w:szCs w:val="20"/>
                <w:color w:val="auto"/>
              </w:rPr>
            </w:pPr>
          </w:p>
        </w:tc>
        <w:tc>
          <w:tcPr>
            <w:tcW w:w="68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0.5</w:t>
            </w:r>
          </w:p>
        </w:tc>
        <w:tc>
          <w:tcPr>
            <w:tcW w:w="30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80"/>
              <w:spacing w:after="0"/>
              <w:rPr>
                <w:sz w:val="20"/>
                <w:szCs w:val="20"/>
                <w:color w:val="auto"/>
              </w:rPr>
            </w:pPr>
            <w:r>
              <w:rPr>
                <w:rFonts w:ascii="Arial" w:cs="Arial" w:eastAsia="Arial" w:hAnsi="Arial"/>
                <w:sz w:val="17"/>
                <w:szCs w:val="17"/>
                <w:color w:val="auto"/>
              </w:rPr>
              <w:t>(1.3)</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40"/>
              <w:spacing w:after="0"/>
              <w:rPr>
                <w:sz w:val="20"/>
                <w:szCs w:val="20"/>
                <w:color w:val="auto"/>
              </w:rPr>
            </w:pPr>
            <w:r>
              <w:rPr>
                <w:rFonts w:ascii="Arial" w:cs="Arial" w:eastAsia="Arial" w:hAnsi="Arial"/>
                <w:sz w:val="17"/>
                <w:szCs w:val="17"/>
                <w:color w:val="auto"/>
              </w:rPr>
              <w:t>(4.3)</w:t>
            </w:r>
          </w:p>
        </w:tc>
      </w:tr>
      <w:tr>
        <w:trPr>
          <w:trHeight w:val="235"/>
        </w:trPr>
        <w:tc>
          <w:tcPr>
            <w:tcW w:w="5160" w:type="dxa"/>
            <w:vAlign w:val="bottom"/>
          </w:tcPr>
          <w:p>
            <w:pPr>
              <w:ind w:left="480"/>
              <w:spacing w:after="0"/>
              <w:rPr>
                <w:sz w:val="20"/>
                <w:szCs w:val="20"/>
                <w:color w:val="auto"/>
              </w:rPr>
            </w:pPr>
            <w:r>
              <w:rPr>
                <w:rFonts w:ascii="Arial" w:cs="Arial" w:eastAsia="Arial" w:hAnsi="Arial"/>
                <w:sz w:val="17"/>
                <w:szCs w:val="17"/>
                <w:color w:val="auto"/>
              </w:rPr>
              <w:t>Changes in operating assets and liabilities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160" w:type="dxa"/>
            <w:vAlign w:val="bottom"/>
            <w:shd w:val="clear" w:color="auto" w:fill="E2EEF6"/>
          </w:tcPr>
          <w:p>
            <w:pPr>
              <w:ind w:left="640"/>
              <w:spacing w:after="0"/>
              <w:rPr>
                <w:sz w:val="20"/>
                <w:szCs w:val="20"/>
                <w:color w:val="auto"/>
              </w:rPr>
            </w:pPr>
            <w:r>
              <w:rPr>
                <w:rFonts w:ascii="Arial" w:cs="Arial" w:eastAsia="Arial" w:hAnsi="Arial"/>
                <w:sz w:val="17"/>
                <w:szCs w:val="17"/>
                <w:color w:val="auto"/>
              </w:rPr>
              <w:t>Accounts receivable</w:t>
            </w:r>
          </w:p>
        </w:tc>
        <w:tc>
          <w:tcPr>
            <w:tcW w:w="26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(79.6)</w:t>
            </w:r>
          </w:p>
        </w:tc>
        <w:tc>
          <w:tcPr>
            <w:tcW w:w="80" w:type="dxa"/>
            <w:vAlign w:val="bottom"/>
            <w:shd w:val="clear" w:color="auto" w:fill="E2EEF6"/>
          </w:tcPr>
          <w:p>
            <w:pPr>
              <w:spacing w:after="0"/>
              <w:rPr>
                <w:sz w:val="20"/>
                <w:szCs w:val="20"/>
                <w:color w:val="auto"/>
              </w:rPr>
            </w:pPr>
          </w:p>
        </w:tc>
        <w:tc>
          <w:tcPr>
            <w:tcW w:w="920" w:type="dxa"/>
            <w:vAlign w:val="bottom"/>
            <w:shd w:val="clear" w:color="auto" w:fill="E2EEF6"/>
          </w:tcPr>
          <w:p>
            <w:pPr>
              <w:spacing w:after="0"/>
              <w:rPr>
                <w:sz w:val="20"/>
                <w:szCs w:val="20"/>
                <w:color w:val="auto"/>
              </w:rPr>
            </w:pPr>
          </w:p>
        </w:tc>
        <w:tc>
          <w:tcPr>
            <w:tcW w:w="6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(61.6)</w:t>
            </w:r>
          </w:p>
        </w:tc>
        <w:tc>
          <w:tcPr>
            <w:tcW w:w="30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80"/>
              <w:spacing w:after="0"/>
              <w:rPr>
                <w:sz w:val="20"/>
                <w:szCs w:val="20"/>
                <w:color w:val="auto"/>
              </w:rPr>
            </w:pPr>
            <w:r>
              <w:rPr>
                <w:rFonts w:ascii="Arial" w:cs="Arial" w:eastAsia="Arial" w:hAnsi="Arial"/>
                <w:sz w:val="17"/>
                <w:szCs w:val="17"/>
                <w:color w:val="auto"/>
              </w:rPr>
              <w:t>(119.6)</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40"/>
              <w:spacing w:after="0"/>
              <w:rPr>
                <w:sz w:val="20"/>
                <w:szCs w:val="20"/>
                <w:color w:val="auto"/>
              </w:rPr>
            </w:pPr>
            <w:r>
              <w:rPr>
                <w:rFonts w:ascii="Arial" w:cs="Arial" w:eastAsia="Arial" w:hAnsi="Arial"/>
                <w:sz w:val="17"/>
                <w:szCs w:val="17"/>
                <w:color w:val="auto"/>
              </w:rPr>
              <w:t>(31.8)</w:t>
            </w:r>
          </w:p>
        </w:tc>
      </w:tr>
      <w:tr>
        <w:trPr>
          <w:trHeight w:val="235"/>
        </w:trPr>
        <w:tc>
          <w:tcPr>
            <w:tcW w:w="5160" w:type="dxa"/>
            <w:vAlign w:val="bottom"/>
          </w:tcPr>
          <w:p>
            <w:pPr>
              <w:ind w:left="640"/>
              <w:spacing w:after="0"/>
              <w:rPr>
                <w:sz w:val="20"/>
                <w:szCs w:val="20"/>
                <w:color w:val="auto"/>
              </w:rPr>
            </w:pPr>
            <w:r>
              <w:rPr>
                <w:rFonts w:ascii="Arial" w:cs="Arial" w:eastAsia="Arial" w:hAnsi="Arial"/>
                <w:sz w:val="17"/>
                <w:szCs w:val="17"/>
                <w:color w:val="auto"/>
              </w:rPr>
              <w:t>Accounts payable and other current liabilities</w:t>
            </w:r>
          </w:p>
        </w:tc>
        <w:tc>
          <w:tcPr>
            <w:tcW w:w="2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55.7</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(23.5)</w:t>
            </w:r>
          </w:p>
        </w:tc>
        <w:tc>
          <w:tcPr>
            <w:tcW w:w="3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78.6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r>
      <w:tr>
        <w:trPr>
          <w:trHeight w:val="236"/>
        </w:trPr>
        <w:tc>
          <w:tcPr>
            <w:tcW w:w="5160" w:type="dxa"/>
            <w:vAlign w:val="bottom"/>
            <w:shd w:val="clear" w:color="auto" w:fill="E2EEF6"/>
          </w:tcPr>
          <w:p>
            <w:pPr>
              <w:ind w:left="640"/>
              <w:spacing w:after="0"/>
              <w:rPr>
                <w:sz w:val="20"/>
                <w:szCs w:val="20"/>
                <w:color w:val="auto"/>
              </w:rPr>
            </w:pPr>
            <w:r>
              <w:rPr>
                <w:rFonts w:ascii="Arial" w:cs="Arial" w:eastAsia="Arial" w:hAnsi="Arial"/>
                <w:sz w:val="17"/>
                <w:szCs w:val="17"/>
                <w:color w:val="auto"/>
              </w:rPr>
              <w:t>Income taxes receivable/payable, net</w:t>
            </w:r>
          </w:p>
        </w:tc>
        <w:tc>
          <w:tcPr>
            <w:tcW w:w="26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12.2</w:t>
            </w:r>
          </w:p>
        </w:tc>
        <w:tc>
          <w:tcPr>
            <w:tcW w:w="80" w:type="dxa"/>
            <w:vAlign w:val="bottom"/>
            <w:shd w:val="clear" w:color="auto" w:fill="E2EEF6"/>
          </w:tcPr>
          <w:p>
            <w:pPr>
              <w:spacing w:after="0"/>
              <w:rPr>
                <w:sz w:val="20"/>
                <w:szCs w:val="20"/>
                <w:color w:val="auto"/>
              </w:rPr>
            </w:pPr>
          </w:p>
        </w:tc>
        <w:tc>
          <w:tcPr>
            <w:tcW w:w="920" w:type="dxa"/>
            <w:vAlign w:val="bottom"/>
            <w:shd w:val="clear" w:color="auto" w:fill="E2EEF6"/>
          </w:tcPr>
          <w:p>
            <w:pPr>
              <w:spacing w:after="0"/>
              <w:rPr>
                <w:sz w:val="20"/>
                <w:szCs w:val="20"/>
                <w:color w:val="auto"/>
              </w:rPr>
            </w:pPr>
          </w:p>
        </w:tc>
        <w:tc>
          <w:tcPr>
            <w:tcW w:w="68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4.4</w:t>
            </w:r>
          </w:p>
        </w:tc>
        <w:tc>
          <w:tcPr>
            <w:tcW w:w="30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7.1</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2.0</w:t>
            </w:r>
          </w:p>
        </w:tc>
      </w:tr>
      <w:tr>
        <w:trPr>
          <w:trHeight w:val="235"/>
        </w:trPr>
        <w:tc>
          <w:tcPr>
            <w:tcW w:w="516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Other current assets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(24.2)</w:t>
            </w: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8.9</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(20.1)</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(15.6)</w:t>
            </w:r>
          </w:p>
        </w:tc>
      </w:tr>
      <w:tr>
        <w:trPr>
          <w:trHeight w:val="229"/>
        </w:trPr>
        <w:tc>
          <w:tcPr>
            <w:tcW w:w="516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7"/>
                <w:szCs w:val="17"/>
                <w:color w:val="auto"/>
              </w:rPr>
              <w:t>Net Cash Provided by Operating Activities</w:t>
            </w:r>
          </w:p>
        </w:tc>
        <w:tc>
          <w:tcPr>
            <w:tcW w:w="260" w:type="dxa"/>
            <w:vAlign w:val="bottom"/>
            <w:tcBorders>
              <w:bottom w:val="single" w:sz="8" w:color="auto"/>
            </w:tcBorders>
            <w:shd w:val="clear" w:color="auto" w:fill="E2EEF6"/>
          </w:tcPr>
          <w:p>
            <w:pPr>
              <w:spacing w:after="0"/>
              <w:rPr>
                <w:sz w:val="19"/>
                <w:szCs w:val="19"/>
                <w:color w:val="auto"/>
              </w:rPr>
            </w:pPr>
          </w:p>
        </w:tc>
        <w:tc>
          <w:tcPr>
            <w:tcW w:w="128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206.2</w:t>
            </w:r>
          </w:p>
        </w:tc>
        <w:tc>
          <w:tcPr>
            <w:tcW w:w="80" w:type="dxa"/>
            <w:vAlign w:val="bottom"/>
            <w:tcBorders>
              <w:bottom w:val="single" w:sz="8" w:color="auto"/>
            </w:tcBorders>
            <w:shd w:val="clear" w:color="auto" w:fill="E2EEF6"/>
          </w:tcPr>
          <w:p>
            <w:pPr>
              <w:spacing w:after="0"/>
              <w:rPr>
                <w:sz w:val="19"/>
                <w:szCs w:val="19"/>
                <w:color w:val="auto"/>
              </w:rPr>
            </w:pPr>
          </w:p>
        </w:tc>
        <w:tc>
          <w:tcPr>
            <w:tcW w:w="920" w:type="dxa"/>
            <w:vAlign w:val="bottom"/>
            <w:tcBorders>
              <w:bottom w:val="single" w:sz="8" w:color="auto"/>
            </w:tcBorders>
            <w:shd w:val="clear" w:color="auto" w:fill="E2EEF6"/>
          </w:tcPr>
          <w:p>
            <w:pPr>
              <w:spacing w:after="0"/>
              <w:rPr>
                <w:sz w:val="19"/>
                <w:szCs w:val="19"/>
                <w:color w:val="auto"/>
              </w:rPr>
            </w:pPr>
          </w:p>
        </w:tc>
        <w:tc>
          <w:tcPr>
            <w:tcW w:w="68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89.4</w:t>
            </w:r>
          </w:p>
        </w:tc>
        <w:tc>
          <w:tcPr>
            <w:tcW w:w="300" w:type="dxa"/>
            <w:vAlign w:val="bottom"/>
            <w:tcBorders>
              <w:bottom w:val="single" w:sz="8" w:color="auto"/>
            </w:tcBorders>
            <w:shd w:val="clear" w:color="auto" w:fill="E2EEF6"/>
          </w:tcPr>
          <w:p>
            <w:pPr>
              <w:spacing w:after="0"/>
              <w:rPr>
                <w:sz w:val="19"/>
                <w:szCs w:val="19"/>
                <w:color w:val="auto"/>
              </w:rPr>
            </w:pPr>
          </w:p>
        </w:tc>
        <w:tc>
          <w:tcPr>
            <w:tcW w:w="12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383.1</w:t>
            </w:r>
          </w:p>
        </w:tc>
        <w:tc>
          <w:tcPr>
            <w:tcW w:w="80" w:type="dxa"/>
            <w:vAlign w:val="bottom"/>
            <w:tcBorders>
              <w:bottom w:val="single" w:sz="8" w:color="auto"/>
            </w:tcBorders>
            <w:shd w:val="clear" w:color="auto" w:fill="E2EEF6"/>
          </w:tcPr>
          <w:p>
            <w:pPr>
              <w:spacing w:after="0"/>
              <w:rPr>
                <w:sz w:val="19"/>
                <w:szCs w:val="19"/>
                <w:color w:val="auto"/>
              </w:rPr>
            </w:pPr>
          </w:p>
        </w:tc>
        <w:tc>
          <w:tcPr>
            <w:tcW w:w="300" w:type="dxa"/>
            <w:vAlign w:val="bottom"/>
            <w:tcBorders>
              <w:bottom w:val="single" w:sz="8" w:color="auto"/>
            </w:tcBorders>
            <w:shd w:val="clear" w:color="auto" w:fill="E2EEF6"/>
          </w:tcPr>
          <w:p>
            <w:pPr>
              <w:spacing w:after="0"/>
              <w:rPr>
                <w:sz w:val="19"/>
                <w:szCs w:val="19"/>
                <w:color w:val="auto"/>
              </w:rPr>
            </w:pPr>
          </w:p>
        </w:tc>
        <w:tc>
          <w:tcPr>
            <w:tcW w:w="116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280.6</w:t>
            </w:r>
          </w:p>
        </w:tc>
      </w:tr>
      <w:tr>
        <w:trPr>
          <w:trHeight w:val="229"/>
        </w:trPr>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5160" w:type="dxa"/>
            <w:vAlign w:val="bottom"/>
            <w:shd w:val="clear" w:color="auto" w:fill="E2EEF6"/>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60" w:type="dxa"/>
            <w:vAlign w:val="bottom"/>
            <w:shd w:val="clear" w:color="auto" w:fill="E2EEF6"/>
          </w:tcPr>
          <w:p>
            <w:pPr>
              <w:spacing w:after="0"/>
              <w:rPr>
                <w:sz w:val="20"/>
                <w:szCs w:val="20"/>
                <w:color w:val="auto"/>
              </w:rPr>
            </w:pPr>
          </w:p>
        </w:tc>
        <w:tc>
          <w:tcPr>
            <w:tcW w:w="112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920" w:type="dxa"/>
            <w:vAlign w:val="bottom"/>
            <w:shd w:val="clear" w:color="auto" w:fill="E2EEF6"/>
          </w:tcPr>
          <w:p>
            <w:pPr>
              <w:spacing w:after="0"/>
              <w:rPr>
                <w:sz w:val="20"/>
                <w:szCs w:val="20"/>
                <w:color w:val="auto"/>
              </w:rPr>
            </w:pPr>
          </w:p>
        </w:tc>
        <w:tc>
          <w:tcPr>
            <w:tcW w:w="46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5"/>
        </w:trPr>
        <w:tc>
          <w:tcPr>
            <w:tcW w:w="5160" w:type="dxa"/>
            <w:vAlign w:val="bottom"/>
          </w:tcPr>
          <w:p>
            <w:pPr>
              <w:ind w:left="160"/>
              <w:spacing w:after="0"/>
              <w:rPr>
                <w:sz w:val="20"/>
                <w:szCs w:val="20"/>
                <w:color w:val="auto"/>
              </w:rPr>
            </w:pPr>
            <w:r>
              <w:rPr>
                <w:rFonts w:ascii="Arial" w:cs="Arial" w:eastAsia="Arial" w:hAnsi="Arial"/>
                <w:sz w:val="17"/>
                <w:szCs w:val="17"/>
                <w:color w:val="auto"/>
              </w:rPr>
              <w:t>Capital expenditures</w:t>
            </w:r>
          </w:p>
        </w:tc>
        <w:tc>
          <w:tcPr>
            <w:tcW w:w="26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(78.4)</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(37.3)</w:t>
            </w:r>
          </w:p>
        </w:tc>
        <w:tc>
          <w:tcPr>
            <w:tcW w:w="3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(109.6)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(54.7)</w:t>
            </w:r>
          </w:p>
        </w:tc>
      </w:tr>
      <w:tr>
        <w:trPr>
          <w:trHeight w:val="236"/>
        </w:trPr>
        <w:tc>
          <w:tcPr>
            <w:tcW w:w="5160" w:type="dxa"/>
            <w:vAlign w:val="bottom"/>
            <w:shd w:val="clear" w:color="auto" w:fill="E2EEF6"/>
          </w:tcPr>
          <w:p>
            <w:pPr>
              <w:ind w:left="160"/>
              <w:spacing w:after="0"/>
              <w:rPr>
                <w:sz w:val="20"/>
                <w:szCs w:val="20"/>
                <w:color w:val="auto"/>
              </w:rPr>
            </w:pPr>
            <w:r>
              <w:rPr>
                <w:rFonts w:ascii="Arial" w:cs="Arial" w:eastAsia="Arial" w:hAnsi="Arial"/>
                <w:sz w:val="17"/>
                <w:szCs w:val="17"/>
                <w:color w:val="auto"/>
              </w:rPr>
              <w:t>Proceeds from disposal of assets, net</w:t>
            </w:r>
          </w:p>
        </w:tc>
        <w:tc>
          <w:tcPr>
            <w:tcW w:w="26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25.0</w:t>
            </w:r>
          </w:p>
        </w:tc>
        <w:tc>
          <w:tcPr>
            <w:tcW w:w="80" w:type="dxa"/>
            <w:vAlign w:val="bottom"/>
            <w:shd w:val="clear" w:color="auto" w:fill="E2EEF6"/>
          </w:tcPr>
          <w:p>
            <w:pPr>
              <w:spacing w:after="0"/>
              <w:rPr>
                <w:sz w:val="20"/>
                <w:szCs w:val="20"/>
                <w:color w:val="auto"/>
              </w:rPr>
            </w:pPr>
          </w:p>
        </w:tc>
        <w:tc>
          <w:tcPr>
            <w:tcW w:w="920" w:type="dxa"/>
            <w:vAlign w:val="bottom"/>
            <w:shd w:val="clear" w:color="auto" w:fill="E2EEF6"/>
          </w:tcPr>
          <w:p>
            <w:pPr>
              <w:spacing w:after="0"/>
              <w:rPr>
                <w:sz w:val="20"/>
                <w:szCs w:val="20"/>
                <w:color w:val="auto"/>
              </w:rPr>
            </w:pPr>
          </w:p>
        </w:tc>
        <w:tc>
          <w:tcPr>
            <w:tcW w:w="68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31.5</w:t>
            </w:r>
          </w:p>
        </w:tc>
        <w:tc>
          <w:tcPr>
            <w:tcW w:w="30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60.5</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42.0</w:t>
            </w:r>
          </w:p>
        </w:tc>
      </w:tr>
      <w:tr>
        <w:trPr>
          <w:trHeight w:val="235"/>
        </w:trPr>
        <w:tc>
          <w:tcPr>
            <w:tcW w:w="5160" w:type="dxa"/>
            <w:vAlign w:val="bottom"/>
          </w:tcPr>
          <w:p>
            <w:pPr>
              <w:ind w:left="160"/>
              <w:spacing w:after="0"/>
              <w:rPr>
                <w:sz w:val="20"/>
                <w:szCs w:val="20"/>
                <w:color w:val="auto"/>
              </w:rPr>
            </w:pPr>
            <w:r>
              <w:rPr>
                <w:rFonts w:ascii="Arial" w:cs="Arial" w:eastAsia="Arial" w:hAnsi="Arial"/>
                <w:sz w:val="17"/>
                <w:szCs w:val="17"/>
                <w:color w:val="auto"/>
              </w:rPr>
              <w:t>Proceeds from TODCO Stock Sales, net</w:t>
            </w:r>
          </w:p>
        </w:tc>
        <w:tc>
          <w:tcPr>
            <w:tcW w:w="2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271.9</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271.9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155.7</w:t>
            </w:r>
          </w:p>
        </w:tc>
      </w:tr>
      <w:tr>
        <w:trPr>
          <w:trHeight w:val="235"/>
        </w:trPr>
        <w:tc>
          <w:tcPr>
            <w:tcW w:w="5160" w:type="dxa"/>
            <w:vAlign w:val="bottom"/>
            <w:tcBorders>
              <w:bottom w:val="single" w:sz="8" w:color="auto"/>
            </w:tcBorders>
            <w:shd w:val="clear" w:color="auto" w:fill="E2EEF6"/>
          </w:tcPr>
          <w:p>
            <w:pPr>
              <w:ind w:left="160"/>
              <w:spacing w:after="0"/>
              <w:rPr>
                <w:sz w:val="20"/>
                <w:szCs w:val="20"/>
                <w:color w:val="auto"/>
              </w:rPr>
            </w:pPr>
            <w:r>
              <w:rPr>
                <w:rFonts w:ascii="Arial" w:cs="Arial" w:eastAsia="Arial" w:hAnsi="Arial"/>
                <w:sz w:val="17"/>
                <w:szCs w:val="17"/>
                <w:color w:val="auto"/>
              </w:rPr>
              <w:t>Joint ventures and other investments, net</w:t>
            </w:r>
          </w:p>
        </w:tc>
        <w:tc>
          <w:tcPr>
            <w:tcW w:w="260" w:type="dxa"/>
            <w:vAlign w:val="bottom"/>
            <w:tcBorders>
              <w:bottom w:val="single" w:sz="8" w:color="auto"/>
            </w:tcBorders>
            <w:shd w:val="clear" w:color="auto" w:fill="E2EEF6"/>
          </w:tcPr>
          <w:p>
            <w:pPr>
              <w:spacing w:after="0"/>
              <w:rPr>
                <w:sz w:val="20"/>
                <w:szCs w:val="20"/>
                <w:color w:val="auto"/>
              </w:rPr>
            </w:pPr>
          </w:p>
        </w:tc>
        <w:tc>
          <w:tcPr>
            <w:tcW w:w="128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1.4</w:t>
            </w:r>
          </w:p>
        </w:tc>
        <w:tc>
          <w:tcPr>
            <w:tcW w:w="80" w:type="dxa"/>
            <w:vAlign w:val="bottom"/>
            <w:tcBorders>
              <w:bottom w:val="single" w:sz="8" w:color="auto"/>
            </w:tcBorders>
            <w:shd w:val="clear" w:color="auto" w:fill="E2EEF6"/>
          </w:tcPr>
          <w:p>
            <w:pPr>
              <w:spacing w:after="0"/>
              <w:rPr>
                <w:sz w:val="20"/>
                <w:szCs w:val="20"/>
                <w:color w:val="auto"/>
              </w:rPr>
            </w:pPr>
          </w:p>
        </w:tc>
        <w:tc>
          <w:tcPr>
            <w:tcW w:w="920" w:type="dxa"/>
            <w:vAlign w:val="bottom"/>
            <w:tcBorders>
              <w:bottom w:val="single" w:sz="8" w:color="auto"/>
            </w:tcBorders>
            <w:shd w:val="clear" w:color="auto" w:fill="E2EEF6"/>
          </w:tcPr>
          <w:p>
            <w:pPr>
              <w:spacing w:after="0"/>
              <w:rPr>
                <w:sz w:val="20"/>
                <w:szCs w:val="20"/>
                <w:color w:val="auto"/>
              </w:rPr>
            </w:pPr>
          </w:p>
        </w:tc>
        <w:tc>
          <w:tcPr>
            <w:tcW w:w="68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3.2</w:t>
            </w:r>
          </w:p>
        </w:tc>
        <w:tc>
          <w:tcPr>
            <w:tcW w:w="300" w:type="dxa"/>
            <w:vAlign w:val="bottom"/>
            <w:tcBorders>
              <w:bottom w:val="single" w:sz="8" w:color="auto"/>
            </w:tcBorders>
            <w:shd w:val="clear" w:color="auto" w:fill="E2EEF6"/>
          </w:tcPr>
          <w:p>
            <w:pPr>
              <w:spacing w:after="0"/>
              <w:rPr>
                <w:sz w:val="20"/>
                <w:szCs w:val="20"/>
                <w:color w:val="auto"/>
              </w:rPr>
            </w:pPr>
          </w:p>
        </w:tc>
        <w:tc>
          <w:tcPr>
            <w:tcW w:w="12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4.5</w:t>
            </w:r>
          </w:p>
        </w:tc>
        <w:tc>
          <w:tcPr>
            <w:tcW w:w="80" w:type="dxa"/>
            <w:vAlign w:val="bottom"/>
            <w:tcBorders>
              <w:bottom w:val="single" w:sz="8" w:color="auto"/>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16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4.7</w:t>
            </w:r>
          </w:p>
        </w:tc>
      </w:tr>
      <w:tr>
        <w:trPr>
          <w:trHeight w:val="229"/>
        </w:trPr>
        <w:tc>
          <w:tcPr>
            <w:tcW w:w="5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Cash Provided by (Used in) Investing Activities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219.9</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(2.6)</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227.3</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147.7</w:t>
            </w:r>
          </w:p>
        </w:tc>
      </w:tr>
      <w:tr>
        <w:trPr>
          <w:trHeight w:val="229"/>
        </w:trPr>
        <w:tc>
          <w:tcPr>
            <w:tcW w:w="5160" w:type="dxa"/>
            <w:vAlign w:val="bottom"/>
            <w:shd w:val="clear" w:color="auto" w:fill="E2EEF6"/>
          </w:tcPr>
          <w:p>
            <w:pPr>
              <w:spacing w:after="0"/>
              <w:rPr>
                <w:sz w:val="19"/>
                <w:szCs w:val="19"/>
                <w:color w:val="auto"/>
              </w:rPr>
            </w:pPr>
          </w:p>
        </w:tc>
        <w:tc>
          <w:tcPr>
            <w:tcW w:w="260" w:type="dxa"/>
            <w:vAlign w:val="bottom"/>
            <w:shd w:val="clear" w:color="auto" w:fill="E2EEF6"/>
          </w:tcPr>
          <w:p>
            <w:pPr>
              <w:spacing w:after="0"/>
              <w:rPr>
                <w:sz w:val="19"/>
                <w:szCs w:val="19"/>
                <w:color w:val="auto"/>
              </w:rPr>
            </w:pPr>
          </w:p>
        </w:tc>
        <w:tc>
          <w:tcPr>
            <w:tcW w:w="112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c>
          <w:tcPr>
            <w:tcW w:w="920" w:type="dxa"/>
            <w:vAlign w:val="bottom"/>
            <w:shd w:val="clear" w:color="auto" w:fill="E2EEF6"/>
          </w:tcPr>
          <w:p>
            <w:pPr>
              <w:spacing w:after="0"/>
              <w:rPr>
                <w:sz w:val="19"/>
                <w:szCs w:val="19"/>
                <w:color w:val="auto"/>
              </w:rPr>
            </w:pPr>
          </w:p>
        </w:tc>
        <w:tc>
          <w:tcPr>
            <w:tcW w:w="46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06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06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r>
      <w:tr>
        <w:trPr>
          <w:trHeight w:val="235"/>
        </w:trPr>
        <w:tc>
          <w:tcPr>
            <w:tcW w:w="516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160" w:type="dxa"/>
            <w:vAlign w:val="bottom"/>
            <w:shd w:val="clear" w:color="auto" w:fill="E2EEF6"/>
          </w:tcPr>
          <w:p>
            <w:pPr>
              <w:ind w:left="160"/>
              <w:spacing w:after="0"/>
              <w:rPr>
                <w:sz w:val="20"/>
                <w:szCs w:val="20"/>
                <w:color w:val="auto"/>
              </w:rPr>
            </w:pPr>
            <w:r>
              <w:rPr>
                <w:rFonts w:ascii="Arial" w:cs="Arial" w:eastAsia="Arial" w:hAnsi="Arial"/>
                <w:sz w:val="17"/>
                <w:szCs w:val="17"/>
                <w:color w:val="auto"/>
              </w:rPr>
              <w:t>Repayments on revolving credit agreement</w:t>
            </w:r>
          </w:p>
        </w:tc>
        <w:tc>
          <w:tcPr>
            <w:tcW w:w="26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E2EEF6"/>
          </w:tcPr>
          <w:p>
            <w:pPr>
              <w:spacing w:after="0"/>
              <w:rPr>
                <w:sz w:val="20"/>
                <w:szCs w:val="20"/>
                <w:color w:val="auto"/>
              </w:rPr>
            </w:pPr>
          </w:p>
        </w:tc>
        <w:tc>
          <w:tcPr>
            <w:tcW w:w="920" w:type="dxa"/>
            <w:vAlign w:val="bottom"/>
            <w:shd w:val="clear" w:color="auto" w:fill="E2EEF6"/>
          </w:tcPr>
          <w:p>
            <w:pPr>
              <w:spacing w:after="0"/>
              <w:rPr>
                <w:sz w:val="20"/>
                <w:szCs w:val="20"/>
                <w:color w:val="auto"/>
              </w:rPr>
            </w:pPr>
          </w:p>
        </w:tc>
        <w:tc>
          <w:tcPr>
            <w:tcW w:w="6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w w:val="92"/>
              </w:rPr>
              <w:t>(150.0)</w:t>
            </w: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40"/>
              <w:spacing w:after="0"/>
              <w:rPr>
                <w:sz w:val="20"/>
                <w:szCs w:val="20"/>
                <w:color w:val="auto"/>
              </w:rPr>
            </w:pPr>
            <w:r>
              <w:rPr>
                <w:rFonts w:ascii="Arial" w:cs="Arial" w:eastAsia="Arial" w:hAnsi="Arial"/>
                <w:sz w:val="17"/>
                <w:szCs w:val="17"/>
                <w:color w:val="auto"/>
              </w:rPr>
              <w:t>(200.0)</w:t>
            </w:r>
          </w:p>
        </w:tc>
      </w:tr>
      <w:tr>
        <w:trPr>
          <w:trHeight w:val="235"/>
        </w:trPr>
        <w:tc>
          <w:tcPr>
            <w:tcW w:w="5160" w:type="dxa"/>
            <w:vAlign w:val="bottom"/>
          </w:tcPr>
          <w:p>
            <w:pPr>
              <w:ind w:left="160"/>
              <w:spacing w:after="0"/>
              <w:rPr>
                <w:sz w:val="20"/>
                <w:szCs w:val="20"/>
                <w:color w:val="auto"/>
              </w:rPr>
            </w:pPr>
            <w:r>
              <w:rPr>
                <w:rFonts w:ascii="Arial" w:cs="Arial" w:eastAsia="Arial" w:hAnsi="Arial"/>
                <w:sz w:val="17"/>
                <w:szCs w:val="17"/>
                <w:color w:val="auto"/>
              </w:rPr>
              <w:t>Repayments on other debt instruments</w:t>
            </w:r>
          </w:p>
        </w:tc>
        <w:tc>
          <w:tcPr>
            <w:tcW w:w="26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(7.9)</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(13.6)</w:t>
            </w:r>
          </w:p>
        </w:tc>
        <w:tc>
          <w:tcPr>
            <w:tcW w:w="3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(295.3)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(395.2)</w:t>
            </w:r>
          </w:p>
        </w:tc>
      </w:tr>
      <w:tr>
        <w:trPr>
          <w:trHeight w:val="197"/>
        </w:trPr>
        <w:tc>
          <w:tcPr>
            <w:tcW w:w="5160" w:type="dxa"/>
            <w:vAlign w:val="bottom"/>
            <w:shd w:val="clear" w:color="auto" w:fill="E2EEF6"/>
          </w:tcPr>
          <w:p>
            <w:pPr>
              <w:ind w:left="160"/>
              <w:spacing w:after="0"/>
              <w:rPr>
                <w:sz w:val="20"/>
                <w:szCs w:val="20"/>
                <w:color w:val="auto"/>
              </w:rPr>
            </w:pPr>
            <w:r>
              <w:rPr>
                <w:rFonts w:ascii="Arial" w:cs="Arial" w:eastAsia="Arial" w:hAnsi="Arial"/>
                <w:sz w:val="17"/>
                <w:szCs w:val="17"/>
                <w:color w:val="auto"/>
              </w:rPr>
              <w:t>Net proceeds from issuance of ordinary shares under stock-based</w:t>
            </w:r>
          </w:p>
        </w:tc>
        <w:tc>
          <w:tcPr>
            <w:tcW w:w="260" w:type="dxa"/>
            <w:vAlign w:val="bottom"/>
            <w:shd w:val="clear" w:color="auto" w:fill="E2EEF6"/>
          </w:tcPr>
          <w:p>
            <w:pPr>
              <w:spacing w:after="0"/>
              <w:rPr>
                <w:sz w:val="17"/>
                <w:szCs w:val="17"/>
                <w:color w:val="auto"/>
              </w:rPr>
            </w:pPr>
          </w:p>
        </w:tc>
        <w:tc>
          <w:tcPr>
            <w:tcW w:w="1120" w:type="dxa"/>
            <w:vAlign w:val="bottom"/>
            <w:shd w:val="clear" w:color="auto" w:fill="E2EEF6"/>
          </w:tcPr>
          <w:p>
            <w:pPr>
              <w:spacing w:after="0"/>
              <w:rPr>
                <w:sz w:val="17"/>
                <w:szCs w:val="17"/>
                <w:color w:val="auto"/>
              </w:rPr>
            </w:pPr>
          </w:p>
        </w:tc>
        <w:tc>
          <w:tcPr>
            <w:tcW w:w="160" w:type="dxa"/>
            <w:vAlign w:val="bottom"/>
            <w:shd w:val="clear" w:color="auto" w:fill="E2EEF6"/>
          </w:tcPr>
          <w:p>
            <w:pPr>
              <w:spacing w:after="0"/>
              <w:rPr>
                <w:sz w:val="17"/>
                <w:szCs w:val="17"/>
                <w:color w:val="auto"/>
              </w:rPr>
            </w:pPr>
          </w:p>
        </w:tc>
        <w:tc>
          <w:tcPr>
            <w:tcW w:w="80" w:type="dxa"/>
            <w:vAlign w:val="bottom"/>
            <w:shd w:val="clear" w:color="auto" w:fill="E2EEF6"/>
          </w:tcPr>
          <w:p>
            <w:pPr>
              <w:spacing w:after="0"/>
              <w:rPr>
                <w:sz w:val="17"/>
                <w:szCs w:val="17"/>
                <w:color w:val="auto"/>
              </w:rPr>
            </w:pPr>
          </w:p>
        </w:tc>
        <w:tc>
          <w:tcPr>
            <w:tcW w:w="920" w:type="dxa"/>
            <w:vAlign w:val="bottom"/>
            <w:shd w:val="clear" w:color="auto" w:fill="E2EEF6"/>
          </w:tcPr>
          <w:p>
            <w:pPr>
              <w:spacing w:after="0"/>
              <w:rPr>
                <w:sz w:val="17"/>
                <w:szCs w:val="17"/>
                <w:color w:val="auto"/>
              </w:rPr>
            </w:pPr>
          </w:p>
        </w:tc>
        <w:tc>
          <w:tcPr>
            <w:tcW w:w="460" w:type="dxa"/>
            <w:vAlign w:val="bottom"/>
            <w:shd w:val="clear" w:color="auto" w:fill="E2EEF6"/>
          </w:tcPr>
          <w:p>
            <w:pPr>
              <w:spacing w:after="0"/>
              <w:rPr>
                <w:sz w:val="17"/>
                <w:szCs w:val="17"/>
                <w:color w:val="auto"/>
              </w:rPr>
            </w:pPr>
          </w:p>
        </w:tc>
        <w:tc>
          <w:tcPr>
            <w:tcW w:w="220" w:type="dxa"/>
            <w:vAlign w:val="bottom"/>
            <w:shd w:val="clear" w:color="auto" w:fill="E2EEF6"/>
          </w:tcPr>
          <w:p>
            <w:pPr>
              <w:spacing w:after="0"/>
              <w:rPr>
                <w:sz w:val="17"/>
                <w:szCs w:val="17"/>
                <w:color w:val="auto"/>
              </w:rPr>
            </w:pPr>
          </w:p>
        </w:tc>
        <w:tc>
          <w:tcPr>
            <w:tcW w:w="300" w:type="dxa"/>
            <w:vAlign w:val="bottom"/>
            <w:shd w:val="clear" w:color="auto" w:fill="E2EEF6"/>
          </w:tcPr>
          <w:p>
            <w:pPr>
              <w:spacing w:after="0"/>
              <w:rPr>
                <w:sz w:val="17"/>
                <w:szCs w:val="17"/>
                <w:color w:val="auto"/>
              </w:rPr>
            </w:pPr>
          </w:p>
        </w:tc>
        <w:tc>
          <w:tcPr>
            <w:tcW w:w="1060" w:type="dxa"/>
            <w:vAlign w:val="bottom"/>
            <w:shd w:val="clear" w:color="auto" w:fill="E2EEF6"/>
          </w:tcPr>
          <w:p>
            <w:pPr>
              <w:spacing w:after="0"/>
              <w:rPr>
                <w:sz w:val="17"/>
                <w:szCs w:val="17"/>
                <w:color w:val="auto"/>
              </w:rPr>
            </w:pPr>
          </w:p>
        </w:tc>
        <w:tc>
          <w:tcPr>
            <w:tcW w:w="140" w:type="dxa"/>
            <w:vAlign w:val="bottom"/>
            <w:shd w:val="clear" w:color="auto" w:fill="E2EEF6"/>
          </w:tcPr>
          <w:p>
            <w:pPr>
              <w:spacing w:after="0"/>
              <w:rPr>
                <w:sz w:val="17"/>
                <w:szCs w:val="17"/>
                <w:color w:val="auto"/>
              </w:rPr>
            </w:pPr>
          </w:p>
        </w:tc>
        <w:tc>
          <w:tcPr>
            <w:tcW w:w="80" w:type="dxa"/>
            <w:vAlign w:val="bottom"/>
            <w:shd w:val="clear" w:color="auto" w:fill="E2EEF6"/>
          </w:tcPr>
          <w:p>
            <w:pPr>
              <w:spacing w:after="0"/>
              <w:rPr>
                <w:sz w:val="17"/>
                <w:szCs w:val="17"/>
                <w:color w:val="auto"/>
              </w:rPr>
            </w:pPr>
          </w:p>
        </w:tc>
        <w:tc>
          <w:tcPr>
            <w:tcW w:w="300" w:type="dxa"/>
            <w:vAlign w:val="bottom"/>
            <w:shd w:val="clear" w:color="auto" w:fill="E2EEF6"/>
          </w:tcPr>
          <w:p>
            <w:pPr>
              <w:spacing w:after="0"/>
              <w:rPr>
                <w:sz w:val="17"/>
                <w:szCs w:val="17"/>
                <w:color w:val="auto"/>
              </w:rPr>
            </w:pPr>
          </w:p>
        </w:tc>
        <w:tc>
          <w:tcPr>
            <w:tcW w:w="106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r>
      <w:tr>
        <w:trPr>
          <w:trHeight w:val="222"/>
        </w:trPr>
        <w:tc>
          <w:tcPr>
            <w:tcW w:w="5160" w:type="dxa"/>
            <w:vAlign w:val="bottom"/>
            <w:shd w:val="clear" w:color="auto" w:fill="E2EEF6"/>
          </w:tcPr>
          <w:p>
            <w:pPr>
              <w:ind w:left="320"/>
              <w:spacing w:after="0"/>
              <w:rPr>
                <w:sz w:val="20"/>
                <w:szCs w:val="20"/>
                <w:color w:val="auto"/>
              </w:rPr>
            </w:pPr>
            <w:r>
              <w:rPr>
                <w:rFonts w:ascii="Arial" w:cs="Arial" w:eastAsia="Arial" w:hAnsi="Arial"/>
                <w:sz w:val="17"/>
                <w:szCs w:val="17"/>
                <w:color w:val="auto"/>
              </w:rPr>
              <w:t>compensation plans</w:t>
            </w:r>
          </w:p>
        </w:tc>
        <w:tc>
          <w:tcPr>
            <w:tcW w:w="260" w:type="dxa"/>
            <w:vAlign w:val="bottom"/>
            <w:shd w:val="clear" w:color="auto" w:fill="E2EEF6"/>
          </w:tcPr>
          <w:p>
            <w:pPr>
              <w:spacing w:after="0"/>
              <w:rPr>
                <w:sz w:val="19"/>
                <w:szCs w:val="19"/>
                <w:color w:val="auto"/>
              </w:rPr>
            </w:pPr>
          </w:p>
        </w:tc>
        <w:tc>
          <w:tcPr>
            <w:tcW w:w="12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87.0</w:t>
            </w:r>
          </w:p>
        </w:tc>
        <w:tc>
          <w:tcPr>
            <w:tcW w:w="80" w:type="dxa"/>
            <w:vAlign w:val="bottom"/>
            <w:shd w:val="clear" w:color="auto" w:fill="E2EEF6"/>
          </w:tcPr>
          <w:p>
            <w:pPr>
              <w:spacing w:after="0"/>
              <w:rPr>
                <w:sz w:val="19"/>
                <w:szCs w:val="19"/>
                <w:color w:val="auto"/>
              </w:rPr>
            </w:pPr>
          </w:p>
        </w:tc>
        <w:tc>
          <w:tcPr>
            <w:tcW w:w="920" w:type="dxa"/>
            <w:vAlign w:val="bottom"/>
            <w:shd w:val="clear" w:color="auto" w:fill="E2EEF6"/>
          </w:tcPr>
          <w:p>
            <w:pPr>
              <w:spacing w:after="0"/>
              <w:rPr>
                <w:sz w:val="19"/>
                <w:szCs w:val="19"/>
                <w:color w:val="auto"/>
              </w:rPr>
            </w:pPr>
          </w:p>
        </w:tc>
        <w:tc>
          <w:tcPr>
            <w:tcW w:w="68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1.0</w:t>
            </w:r>
          </w:p>
        </w:tc>
        <w:tc>
          <w:tcPr>
            <w:tcW w:w="300" w:type="dxa"/>
            <w:vAlign w:val="bottom"/>
            <w:shd w:val="clear" w:color="auto" w:fill="E2EEF6"/>
          </w:tcPr>
          <w:p>
            <w:pPr>
              <w:spacing w:after="0"/>
              <w:rPr>
                <w:sz w:val="19"/>
                <w:szCs w:val="19"/>
                <w:color w:val="auto"/>
              </w:rPr>
            </w:pPr>
          </w:p>
        </w:tc>
        <w:tc>
          <w:tcPr>
            <w:tcW w:w="120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159.4</w:t>
            </w:r>
          </w:p>
        </w:tc>
        <w:tc>
          <w:tcPr>
            <w:tcW w:w="8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15.0</w:t>
            </w:r>
          </w:p>
        </w:tc>
      </w:tr>
      <w:tr>
        <w:trPr>
          <w:trHeight w:val="197"/>
        </w:trPr>
        <w:tc>
          <w:tcPr>
            <w:tcW w:w="5160" w:type="dxa"/>
            <w:vAlign w:val="bottom"/>
          </w:tcPr>
          <w:p>
            <w:pPr>
              <w:ind w:left="160"/>
              <w:spacing w:after="0"/>
              <w:rPr>
                <w:sz w:val="20"/>
                <w:szCs w:val="20"/>
                <w:color w:val="auto"/>
              </w:rPr>
            </w:pPr>
            <w:r>
              <w:rPr>
                <w:rFonts w:ascii="Arial" w:cs="Arial" w:eastAsia="Arial" w:hAnsi="Arial"/>
                <w:sz w:val="17"/>
                <w:szCs w:val="17"/>
                <w:color w:val="auto"/>
              </w:rPr>
              <w:t>Proceeds from issuance of ordinary shares upon exercise of</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5160" w:type="dxa"/>
            <w:vAlign w:val="bottom"/>
          </w:tcPr>
          <w:p>
            <w:pPr>
              <w:ind w:left="320"/>
              <w:spacing w:after="0"/>
              <w:rPr>
                <w:sz w:val="20"/>
                <w:szCs w:val="20"/>
                <w:color w:val="auto"/>
              </w:rPr>
            </w:pPr>
            <w:r>
              <w:rPr>
                <w:rFonts w:ascii="Arial" w:cs="Arial" w:eastAsia="Arial" w:hAnsi="Arial"/>
                <w:sz w:val="17"/>
                <w:szCs w:val="17"/>
                <w:color w:val="auto"/>
              </w:rPr>
              <w:t>warrants</w:t>
            </w: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4.6</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36"/>
        </w:trPr>
        <w:tc>
          <w:tcPr>
            <w:tcW w:w="5160" w:type="dxa"/>
            <w:vAlign w:val="bottom"/>
            <w:shd w:val="clear" w:color="auto" w:fill="E2EEF6"/>
          </w:tcPr>
          <w:p>
            <w:pPr>
              <w:ind w:left="160"/>
              <w:spacing w:after="0"/>
              <w:rPr>
                <w:sz w:val="20"/>
                <w:szCs w:val="20"/>
                <w:color w:val="auto"/>
              </w:rPr>
            </w:pPr>
            <w:r>
              <w:rPr>
                <w:rFonts w:ascii="Arial" w:cs="Arial" w:eastAsia="Arial" w:hAnsi="Arial"/>
                <w:sz w:val="17"/>
                <w:szCs w:val="17"/>
                <w:color w:val="auto"/>
              </w:rPr>
              <w:t>Decrease in cash dedicated to debt service</w:t>
            </w:r>
          </w:p>
        </w:tc>
        <w:tc>
          <w:tcPr>
            <w:tcW w:w="26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12.0</w:t>
            </w:r>
          </w:p>
        </w:tc>
        <w:tc>
          <w:tcPr>
            <w:tcW w:w="80" w:type="dxa"/>
            <w:vAlign w:val="bottom"/>
            <w:shd w:val="clear" w:color="auto" w:fill="E2EEF6"/>
          </w:tcPr>
          <w:p>
            <w:pPr>
              <w:spacing w:after="0"/>
              <w:rPr>
                <w:sz w:val="20"/>
                <w:szCs w:val="20"/>
                <w:color w:val="auto"/>
              </w:rPr>
            </w:pPr>
          </w:p>
        </w:tc>
        <w:tc>
          <w:tcPr>
            <w:tcW w:w="920" w:type="dxa"/>
            <w:vAlign w:val="bottom"/>
            <w:shd w:val="clear" w:color="auto" w:fill="E2EEF6"/>
          </w:tcPr>
          <w:p>
            <w:pPr>
              <w:spacing w:after="0"/>
              <w:rPr>
                <w:sz w:val="20"/>
                <w:szCs w:val="20"/>
                <w:color w:val="auto"/>
              </w:rPr>
            </w:pPr>
          </w:p>
        </w:tc>
        <w:tc>
          <w:tcPr>
            <w:tcW w:w="68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12.0</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w:t>
            </w:r>
          </w:p>
        </w:tc>
      </w:tr>
      <w:tr>
        <w:trPr>
          <w:trHeight w:val="235"/>
        </w:trPr>
        <w:tc>
          <w:tcPr>
            <w:tcW w:w="51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Other, net</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0.1</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9"/>
        </w:trPr>
        <w:tc>
          <w:tcPr>
            <w:tcW w:w="516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7"/>
                <w:szCs w:val="17"/>
                <w:color w:val="auto"/>
              </w:rPr>
              <w:t>Net Cash Provided by (Used in) Financing Activities</w:t>
            </w:r>
          </w:p>
        </w:tc>
        <w:tc>
          <w:tcPr>
            <w:tcW w:w="260" w:type="dxa"/>
            <w:vAlign w:val="bottom"/>
            <w:tcBorders>
              <w:bottom w:val="single" w:sz="8" w:color="auto"/>
            </w:tcBorders>
            <w:shd w:val="clear" w:color="auto" w:fill="E2EEF6"/>
          </w:tcPr>
          <w:p>
            <w:pPr>
              <w:spacing w:after="0"/>
              <w:rPr>
                <w:sz w:val="19"/>
                <w:szCs w:val="19"/>
                <w:color w:val="auto"/>
              </w:rPr>
            </w:pPr>
          </w:p>
        </w:tc>
        <w:tc>
          <w:tcPr>
            <w:tcW w:w="128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95.7</w:t>
            </w:r>
          </w:p>
        </w:tc>
        <w:tc>
          <w:tcPr>
            <w:tcW w:w="80" w:type="dxa"/>
            <w:vAlign w:val="bottom"/>
            <w:tcBorders>
              <w:bottom w:val="single" w:sz="8" w:color="auto"/>
            </w:tcBorders>
            <w:shd w:val="clear" w:color="auto" w:fill="E2EEF6"/>
          </w:tcPr>
          <w:p>
            <w:pPr>
              <w:spacing w:after="0"/>
              <w:rPr>
                <w:sz w:val="19"/>
                <w:szCs w:val="19"/>
                <w:color w:val="auto"/>
              </w:rPr>
            </w:pPr>
          </w:p>
        </w:tc>
        <w:tc>
          <w:tcPr>
            <w:tcW w:w="920" w:type="dxa"/>
            <w:vAlign w:val="bottom"/>
            <w:tcBorders>
              <w:bottom w:val="single" w:sz="8" w:color="auto"/>
            </w:tcBorders>
            <w:shd w:val="clear" w:color="auto" w:fill="E2EEF6"/>
          </w:tcPr>
          <w:p>
            <w:pPr>
              <w:spacing w:after="0"/>
              <w:rPr>
                <w:sz w:val="19"/>
                <w:szCs w:val="19"/>
                <w:color w:val="auto"/>
              </w:rPr>
            </w:pPr>
          </w:p>
        </w:tc>
        <w:tc>
          <w:tcPr>
            <w:tcW w:w="68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7"/>
                <w:szCs w:val="17"/>
                <w:color w:val="auto"/>
                <w:w w:val="92"/>
              </w:rPr>
              <w:t>(162.6)</w:t>
            </w:r>
          </w:p>
        </w:tc>
        <w:tc>
          <w:tcPr>
            <w:tcW w:w="300" w:type="dxa"/>
            <w:vAlign w:val="bottom"/>
            <w:tcBorders>
              <w:bottom w:val="single" w:sz="8" w:color="auto"/>
            </w:tcBorders>
            <w:shd w:val="clear" w:color="auto" w:fill="E2EEF6"/>
          </w:tcPr>
          <w:p>
            <w:pPr>
              <w:spacing w:after="0"/>
              <w:rPr>
                <w:sz w:val="19"/>
                <w:szCs w:val="19"/>
                <w:color w:val="auto"/>
              </w:rPr>
            </w:pPr>
          </w:p>
        </w:tc>
        <w:tc>
          <w:tcPr>
            <w:tcW w:w="1200" w:type="dxa"/>
            <w:vAlign w:val="bottom"/>
            <w:tcBorders>
              <w:bottom w:val="single" w:sz="8" w:color="auto"/>
            </w:tcBorders>
            <w:gridSpan w:val="2"/>
            <w:shd w:val="clear" w:color="auto" w:fill="E2EEF6"/>
          </w:tcPr>
          <w:p>
            <w:pPr>
              <w:jc w:val="right"/>
              <w:ind w:right="80"/>
              <w:spacing w:after="0"/>
              <w:rPr>
                <w:sz w:val="20"/>
                <w:szCs w:val="20"/>
                <w:color w:val="auto"/>
              </w:rPr>
            </w:pPr>
            <w:r>
              <w:rPr>
                <w:rFonts w:ascii="Arial" w:cs="Arial" w:eastAsia="Arial" w:hAnsi="Arial"/>
                <w:sz w:val="17"/>
                <w:szCs w:val="17"/>
                <w:color w:val="auto"/>
              </w:rPr>
              <w:t>(119.2)</w:t>
            </w:r>
          </w:p>
        </w:tc>
        <w:tc>
          <w:tcPr>
            <w:tcW w:w="80" w:type="dxa"/>
            <w:vAlign w:val="bottom"/>
            <w:tcBorders>
              <w:bottom w:val="single" w:sz="8" w:color="auto"/>
            </w:tcBorders>
            <w:shd w:val="clear" w:color="auto" w:fill="E2EEF6"/>
          </w:tcPr>
          <w:p>
            <w:pPr>
              <w:spacing w:after="0"/>
              <w:rPr>
                <w:sz w:val="19"/>
                <w:szCs w:val="19"/>
                <w:color w:val="auto"/>
              </w:rPr>
            </w:pPr>
          </w:p>
        </w:tc>
        <w:tc>
          <w:tcPr>
            <w:tcW w:w="300" w:type="dxa"/>
            <w:vAlign w:val="bottom"/>
            <w:tcBorders>
              <w:bottom w:val="single" w:sz="8" w:color="auto"/>
            </w:tcBorders>
            <w:shd w:val="clear" w:color="auto" w:fill="E2EEF6"/>
          </w:tcPr>
          <w:p>
            <w:pPr>
              <w:spacing w:after="0"/>
              <w:rPr>
                <w:sz w:val="19"/>
                <w:szCs w:val="19"/>
                <w:color w:val="auto"/>
              </w:rPr>
            </w:pPr>
          </w:p>
        </w:tc>
        <w:tc>
          <w:tcPr>
            <w:tcW w:w="1160" w:type="dxa"/>
            <w:vAlign w:val="bottom"/>
            <w:tcBorders>
              <w:bottom w:val="single" w:sz="8" w:color="auto"/>
            </w:tcBorders>
            <w:gridSpan w:val="2"/>
            <w:shd w:val="clear" w:color="auto" w:fill="E2EEF6"/>
          </w:tcPr>
          <w:p>
            <w:pPr>
              <w:jc w:val="right"/>
              <w:ind w:right="40"/>
              <w:spacing w:after="0"/>
              <w:rPr>
                <w:sz w:val="20"/>
                <w:szCs w:val="20"/>
                <w:color w:val="auto"/>
              </w:rPr>
            </w:pPr>
            <w:r>
              <w:rPr>
                <w:rFonts w:ascii="Arial" w:cs="Arial" w:eastAsia="Arial" w:hAnsi="Arial"/>
                <w:sz w:val="17"/>
                <w:szCs w:val="17"/>
                <w:color w:val="auto"/>
              </w:rPr>
              <w:t>(580.2)</w:t>
            </w:r>
          </w:p>
        </w:tc>
      </w:tr>
      <w:tr>
        <w:trPr>
          <w:trHeight w:val="229"/>
        </w:trPr>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516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7"/>
                <w:szCs w:val="17"/>
                <w:color w:val="auto"/>
              </w:rPr>
              <w:t>Net Increase (Decrease) in Cash and Cash Equivalents</w:t>
            </w:r>
          </w:p>
        </w:tc>
        <w:tc>
          <w:tcPr>
            <w:tcW w:w="260" w:type="dxa"/>
            <w:vAlign w:val="bottom"/>
            <w:tcBorders>
              <w:bottom w:val="single" w:sz="8" w:color="auto"/>
            </w:tcBorders>
            <w:shd w:val="clear" w:color="auto" w:fill="E2EEF6"/>
          </w:tcPr>
          <w:p>
            <w:pPr>
              <w:spacing w:after="0"/>
              <w:rPr>
                <w:sz w:val="20"/>
                <w:szCs w:val="20"/>
                <w:color w:val="auto"/>
              </w:rPr>
            </w:pPr>
          </w:p>
        </w:tc>
        <w:tc>
          <w:tcPr>
            <w:tcW w:w="128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521.8</w:t>
            </w:r>
          </w:p>
        </w:tc>
        <w:tc>
          <w:tcPr>
            <w:tcW w:w="80" w:type="dxa"/>
            <w:vAlign w:val="bottom"/>
            <w:tcBorders>
              <w:bottom w:val="single" w:sz="8" w:color="auto"/>
            </w:tcBorders>
            <w:shd w:val="clear" w:color="auto" w:fill="E2EEF6"/>
          </w:tcPr>
          <w:p>
            <w:pPr>
              <w:spacing w:after="0"/>
              <w:rPr>
                <w:sz w:val="20"/>
                <w:szCs w:val="20"/>
                <w:color w:val="auto"/>
              </w:rPr>
            </w:pPr>
          </w:p>
        </w:tc>
        <w:tc>
          <w:tcPr>
            <w:tcW w:w="920" w:type="dxa"/>
            <w:vAlign w:val="bottom"/>
            <w:tcBorders>
              <w:bottom w:val="single" w:sz="8" w:color="auto"/>
            </w:tcBorders>
            <w:shd w:val="clear" w:color="auto" w:fill="E2EEF6"/>
          </w:tcPr>
          <w:p>
            <w:pPr>
              <w:spacing w:after="0"/>
              <w:rPr>
                <w:sz w:val="20"/>
                <w:szCs w:val="20"/>
                <w:color w:val="auto"/>
              </w:rPr>
            </w:pPr>
          </w:p>
        </w:tc>
        <w:tc>
          <w:tcPr>
            <w:tcW w:w="68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(75.8)</w:t>
            </w:r>
          </w:p>
        </w:tc>
        <w:tc>
          <w:tcPr>
            <w:tcW w:w="300" w:type="dxa"/>
            <w:vAlign w:val="bottom"/>
            <w:tcBorders>
              <w:bottom w:val="single" w:sz="8" w:color="auto"/>
            </w:tcBorders>
            <w:shd w:val="clear" w:color="auto" w:fill="E2EEF6"/>
          </w:tcPr>
          <w:p>
            <w:pPr>
              <w:spacing w:after="0"/>
              <w:rPr>
                <w:sz w:val="20"/>
                <w:szCs w:val="20"/>
                <w:color w:val="auto"/>
              </w:rPr>
            </w:pPr>
          </w:p>
        </w:tc>
        <w:tc>
          <w:tcPr>
            <w:tcW w:w="12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491.2</w:t>
            </w:r>
          </w:p>
        </w:tc>
        <w:tc>
          <w:tcPr>
            <w:tcW w:w="80" w:type="dxa"/>
            <w:vAlign w:val="bottom"/>
            <w:tcBorders>
              <w:bottom w:val="single" w:sz="8" w:color="auto"/>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160" w:type="dxa"/>
            <w:vAlign w:val="bottom"/>
            <w:tcBorders>
              <w:bottom w:val="single" w:sz="8" w:color="auto"/>
            </w:tcBorders>
            <w:gridSpan w:val="2"/>
            <w:shd w:val="clear" w:color="auto" w:fill="E2EEF6"/>
          </w:tcPr>
          <w:p>
            <w:pPr>
              <w:jc w:val="right"/>
              <w:ind w:right="40"/>
              <w:spacing w:after="0"/>
              <w:rPr>
                <w:sz w:val="20"/>
                <w:szCs w:val="20"/>
                <w:color w:val="auto"/>
              </w:rPr>
            </w:pPr>
            <w:r>
              <w:rPr>
                <w:rFonts w:ascii="Arial" w:cs="Arial" w:eastAsia="Arial" w:hAnsi="Arial"/>
                <w:sz w:val="17"/>
                <w:szCs w:val="17"/>
                <w:color w:val="auto"/>
              </w:rPr>
              <w:t>(151.9)</w:t>
            </w:r>
          </w:p>
        </w:tc>
      </w:tr>
      <w:tr>
        <w:trPr>
          <w:trHeight w:val="229"/>
        </w:trPr>
        <w:tc>
          <w:tcPr>
            <w:tcW w:w="5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Cash and Cash Equivalents at Beginning of Period</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420.7</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397.9</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451.3</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474.0</w:t>
            </w:r>
          </w:p>
        </w:tc>
      </w:tr>
      <w:tr>
        <w:trPr>
          <w:trHeight w:val="269"/>
        </w:trPr>
        <w:tc>
          <w:tcPr>
            <w:tcW w:w="516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7"/>
                <w:szCs w:val="17"/>
                <w:color w:val="auto"/>
              </w:rPr>
              <w:t>Cash and Cash Equivalents at End of Period</w:t>
            </w:r>
          </w:p>
        </w:tc>
        <w:tc>
          <w:tcPr>
            <w:tcW w:w="260" w:type="dxa"/>
            <w:vAlign w:val="bottom"/>
            <w:tcBorders>
              <w:bottom w:val="single" w:sz="8" w:color="auto"/>
            </w:tcBorders>
            <w:shd w:val="clear" w:color="auto" w:fill="E2EEF6"/>
          </w:tcPr>
          <w:p>
            <w:pPr>
              <w:jc w:val="right"/>
              <w:ind w:right="10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942.5</w:t>
            </w:r>
          </w:p>
        </w:tc>
        <w:tc>
          <w:tcPr>
            <w:tcW w:w="1000" w:type="dxa"/>
            <w:vAlign w:val="bottom"/>
            <w:tcBorders>
              <w:bottom w:val="single" w:sz="8" w:color="auto"/>
            </w:tcBorders>
            <w:gridSpan w:val="2"/>
            <w:shd w:val="clear" w:color="auto" w:fill="E2EEF6"/>
          </w:tcPr>
          <w:p>
            <w:pPr>
              <w:jc w:val="right"/>
              <w:ind w:right="84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322.1</w:t>
            </w:r>
          </w:p>
        </w:tc>
        <w:tc>
          <w:tcPr>
            <w:tcW w:w="300" w:type="dxa"/>
            <w:vAlign w:val="bottom"/>
            <w:tcBorders>
              <w:bottom w:val="single" w:sz="8" w:color="auto"/>
            </w:tcBorders>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942.5</w:t>
            </w:r>
          </w:p>
        </w:tc>
        <w:tc>
          <w:tcPr>
            <w:tcW w:w="38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322.1</w:t>
            </w: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ectPr>
          <w:pgSz w:w="11900" w:h="16838" w:orient="portrait"/>
          <w:cols w:equalWidth="0" w:num="1">
            <w:col w:w="11420"/>
          </w:cols>
          <w:pgMar w:left="240" w:top="134" w:right="239" w:bottom="1440" w:gutter="0" w:footer="0" w:header="0"/>
        </w:sect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94615</wp:posOffset>
            </wp:positionV>
            <wp:extent cx="725551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TRANSOCEAN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w:t>
      </w:r>
      <w:r>
        <w:rPr>
          <w:rFonts w:ascii="Arial" w:cs="Arial" w:eastAsia="Arial" w:hAnsi="Arial"/>
          <w:sz w:val="17"/>
          <w:szCs w:val="17"/>
          <w:color w:val="auto"/>
        </w:rPr>
        <w:t>―</w:t>
      </w:r>
      <w:r>
        <w:rPr>
          <w:rFonts w:ascii="Arial" w:cs="Arial" w:eastAsia="Arial" w:hAnsi="Arial"/>
          <w:sz w:val="17"/>
          <w:szCs w:val="17"/>
          <w:b w:val="1"/>
          <w:bCs w:val="1"/>
          <w:color w:val="auto"/>
        </w:rPr>
        <w:t>Nature of Business and Principles of Consolidation</w:t>
      </w:r>
    </w:p>
    <w:p>
      <w:pPr>
        <w:spacing w:after="0" w:line="281"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color w:val="auto"/>
        </w:rPr>
        <w:t>Transocean Inc. (together with its subsidiaries and predecessors, unless the context requires otherwise, “Transocean,” “we,” “us” or “our”) is a leading international provider of offshore contract drilling services for oil and gas wells. We contract our drilling rigs, related equipment and work crews primarily on a dayrate basis to drill oil and gas wells. We also provide additional services, including integrated well services. At June 30, 2005, we owned, had partial ownership interests in or operated 92 mobile offshore and barge drilling units. As of this date, our assets consisted of 32 High-Specification semisubmersibles and drillships (“floaters”), 24 Other Floaters, 25 Jackup Rigs and 11 Other Rigs.</w:t>
      </w:r>
    </w:p>
    <w:p>
      <w:pPr>
        <w:spacing w:after="0" w:line="233"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On January 31, 2001, we completed a merger transaction (the “R&amp;B Falcon merger”) with R&amp;B Falcon Corporation (“R&amp;B Falcon”). At the time of the merger, R&amp;B Falcon operated a diverse global drilling rig fleet consisting of drillships, semisubmersibles, jackup rigs and other units including the Gulf of Mexico Shallow and Inland Water segment fleet. R&amp;B Falcon and the Gulf of Mexico Shallow and Inland Water segment later became known as TODCO (together with its subsidiaries and predecessors, unless the context requires otherwise, “TODCO”) and the TODCO segment, respectively. In preparation for the initial public offering discussed below, we transferred all assets and businesses out of R&amp;B Falcon that were unrelated to the Gulf of Mexico Shallow and Inland Water business.</w:t>
      </w:r>
    </w:p>
    <w:p>
      <w:pPr>
        <w:spacing w:after="0" w:line="232" w:lineRule="exact"/>
        <w:rPr>
          <w:sz w:val="20"/>
          <w:szCs w:val="20"/>
          <w:color w:val="auto"/>
        </w:rPr>
      </w:pPr>
    </w:p>
    <w:p>
      <w:pPr>
        <w:jc w:val="both"/>
        <w:ind w:firstLine="628"/>
        <w:spacing w:after="0" w:line="299" w:lineRule="auto"/>
        <w:rPr>
          <w:sz w:val="20"/>
          <w:szCs w:val="20"/>
          <w:color w:val="auto"/>
        </w:rPr>
      </w:pPr>
      <w:r>
        <w:rPr>
          <w:rFonts w:ascii="Arial" w:cs="Arial" w:eastAsia="Arial" w:hAnsi="Arial"/>
          <w:sz w:val="15"/>
          <w:szCs w:val="15"/>
          <w:color w:val="auto"/>
        </w:rPr>
        <w:t>In February 2004, we completed an initial public offering (the “TODCO IPO”) of common stock of TODCO in which we sold 13.8 million shares of TODCO class A common stock, representing 23 percent of TODCO’s total outstanding shares. In September 2004 and December 2004, respectively, we completed additional public offerings of TODCO common stock (respectively referred to as the “September 2004 Offering” and “December 2004 Offering” and, together with the TODCO IPO, the “2004 Offerings”). We sold 17.9 million shares of TODCO’s class A common stock (30 percent of TODCO’s total outstanding shares) in the September 2004 Offering and 15.0 million shares of TODCO’s class A common stock (25 percent of TODCO’s total outstanding shares) in the December 2004 Offering. Prior to the December 2004 Offering, we held TODCO class B common stock, which was entitled to five votes per share (compared to one vote per share of TODCO class A common stock) and converted automatically into class A common stock upon any sale by us to a third party. In connection with the December 2004 Offering, we converted all of our remaining TODCO class B common stock not sold in the 2004 Offerings into shares of class A common stock. After the 2004 Offerings, we held a 22 percent ownership and voting interest in TODCO, represented by 13.3 million shares of class A common stock. See Note 3.</w:t>
      </w:r>
    </w:p>
    <w:p>
      <w:pPr>
        <w:spacing w:after="0" w:line="211"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We consolidated TODCO in our financial statements as a business segment through December 16, 2004 and that portion of TODCO that we did not own was reported as minority interest in our consolidated statements of operations and balance sheet. As a result of the conversion of the TODCO class B common stock into class A common stock, we no longer had a majority voting interest in TODCO and no longer consolidated TODCO in our financial statements but accounted for our remaining investment using the equity method of accounting.</w:t>
      </w:r>
    </w:p>
    <w:p>
      <w:pPr>
        <w:spacing w:after="0" w:line="229" w:lineRule="exact"/>
        <w:rPr>
          <w:sz w:val="20"/>
          <w:szCs w:val="20"/>
          <w:color w:val="auto"/>
        </w:rPr>
      </w:pPr>
    </w:p>
    <w:p>
      <w:pPr>
        <w:jc w:val="both"/>
        <w:ind w:firstLine="628"/>
        <w:spacing w:after="0" w:line="282" w:lineRule="auto"/>
        <w:rPr>
          <w:sz w:val="20"/>
          <w:szCs w:val="20"/>
          <w:color w:val="auto"/>
        </w:rPr>
      </w:pPr>
      <w:r>
        <w:rPr>
          <w:rFonts w:ascii="Arial" w:cs="Arial" w:eastAsia="Arial" w:hAnsi="Arial"/>
          <w:sz w:val="16"/>
          <w:szCs w:val="16"/>
          <w:color w:val="auto"/>
        </w:rPr>
        <w:t>In May 2005 and June 2005, respectively, we completed a public offering of TODCO common stock and a sale of TODCO common stock pursuant to Rule 144 under the Securities Act of 1933, as amended (respectively referred to as the “May Offering” and the “June Sale,” collectively referred to as the “2005 Offering and Sale,” and, collectively with the 2004 Offerings, the “TODCO Stock Sales”). We sold 12.0 million shares of TODCO’s class A common stock (20 percent of TODCO’s total outstanding shares) in the May TODCO Offering and our remaining 1.3 million shares of TODCO’s class A common stock (2 percent of TODCO’s total outstanding shares) in the June Sale. As a result of the May Offering, we accounted for our remaining investment using the cost method of accounting. As a result of the June Sale, we no longer own any shares of TODCO’s common stock. See Note 3.</w:t>
      </w:r>
    </w:p>
    <w:p>
      <w:pPr>
        <w:spacing w:after="0" w:line="220" w:lineRule="exact"/>
        <w:rPr>
          <w:sz w:val="20"/>
          <w:szCs w:val="20"/>
          <w:color w:val="auto"/>
        </w:rPr>
      </w:pPr>
    </w:p>
    <w:p>
      <w:pPr>
        <w:jc w:val="both"/>
        <w:ind w:firstLine="628"/>
        <w:spacing w:after="0" w:line="304" w:lineRule="auto"/>
        <w:rPr>
          <w:sz w:val="20"/>
          <w:szCs w:val="20"/>
          <w:color w:val="auto"/>
        </w:rPr>
      </w:pPr>
      <w:r>
        <w:rPr>
          <w:rFonts w:ascii="Arial" w:cs="Arial" w:eastAsia="Arial" w:hAnsi="Arial"/>
          <w:sz w:val="15"/>
          <w:szCs w:val="15"/>
          <w:color w:val="auto"/>
        </w:rPr>
        <w:t>For investments in joint ventures and other entities that do not meet the criteria of a variable interest entity or where we are not deemed to be the primary beneficiary for accounting purposes of those entities that meet the variable interest entity criteria, we use the equity method of accounting where our ownership is between 20 percent and 50 percent or where our ownership is more than 50 percent and we do not have significant control over the unconsolidated affiliate. We use the cost method of accounting for investments in unconsolidated affiliates where our ownership is less than 20 percent and where we do not have significant influence over the unconsolidated affiliate. We consolidate those investments that meet the criteria of a variable interest entity where we are deemed to be the primary beneficiary for accounting purposes and for entities in which we have a majority voting interest. Intercompany transactions and accounts are eliminated.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TRANSOCEAN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w:t>
      </w:r>
      <w:r>
        <w:rPr>
          <w:rFonts w:ascii="Arial" w:cs="Arial" w:eastAsia="Arial" w:hAnsi="Arial"/>
          <w:sz w:val="17"/>
          <w:szCs w:val="17"/>
          <w:color w:val="auto"/>
        </w:rPr>
        <w:t>―</w:t>
      </w:r>
      <w:r>
        <w:rPr>
          <w:rFonts w:ascii="Arial" w:cs="Arial" w:eastAsia="Arial" w:hAnsi="Arial"/>
          <w:sz w:val="17"/>
          <w:szCs w:val="17"/>
          <w:b w:val="1"/>
          <w:bCs w:val="1"/>
          <w:color w:val="auto"/>
        </w:rPr>
        <w:t>Summary of Significant Accounting Policies</w:t>
      </w:r>
    </w:p>
    <w:p>
      <w:pPr>
        <w:spacing w:after="0" w:line="281" w:lineRule="exact"/>
        <w:rPr>
          <w:sz w:val="20"/>
          <w:szCs w:val="20"/>
          <w:color w:val="auto"/>
        </w:rPr>
      </w:pPr>
    </w:p>
    <w:p>
      <w:pPr>
        <w:jc w:val="both"/>
        <w:ind w:firstLine="628"/>
        <w:spacing w:after="0" w:line="279" w:lineRule="auto"/>
        <w:rPr>
          <w:sz w:val="20"/>
          <w:szCs w:val="20"/>
          <w:color w:val="auto"/>
        </w:rPr>
      </w:pPr>
      <w:r>
        <w:rPr>
          <w:rFonts w:ascii="Arial" w:cs="Arial" w:eastAsia="Arial" w:hAnsi="Arial"/>
          <w:sz w:val="16"/>
          <w:szCs w:val="16"/>
          <w:i w:val="1"/>
          <w:iCs w:val="1"/>
          <w:color w:val="auto"/>
        </w:rPr>
        <w:t>Basis of Presentation</w:t>
      </w:r>
      <w:r>
        <w:rPr>
          <w:rFonts w:ascii="Arial" w:cs="Arial" w:eastAsia="Arial" w:hAnsi="Arial"/>
          <w:sz w:val="16"/>
          <w:szCs w:val="16"/>
          <w:color w:val="auto"/>
        </w:rPr>
        <w:t>—Our accompanying condensed consolidated financial statements have been prepared without audit in accordance with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principles generally accepted in the United States for interim financial information and with the instructions to Form 10-Q and Article 10 of Regulation S-X of the Securities and Exchange Commission (“SEC”). Accordingly, pursuant to such rules and regulations, these financial statements do not include all disclosures required by accounting principles generally accepted in the U.S. for complete financial statements. The condensed consolidated financial statements reflect all adjustments, which are, in the opinion of management, necessary for a fair presentation of financial position, results of operations and cash flows for the interim periods. Such adjustments are considered to be of a normal recurring nature unless otherwise identified. Operating results for the three and six months ended June 30, 2005 are not necessarily indicative of the results that may be expected for the year ending December 31, 2005 or for any future period. The accompanying condensed consolidated financial statements and notes thereto should be read in conjunction with the audited consolidated financial statements and notes thereto included in our Annual Report on Form 10-K for the year ended December 31, 2004.</w:t>
      </w:r>
    </w:p>
    <w:p>
      <w:pPr>
        <w:spacing w:after="0" w:line="220" w:lineRule="exact"/>
        <w:rPr>
          <w:sz w:val="20"/>
          <w:szCs w:val="20"/>
          <w:color w:val="auto"/>
        </w:rPr>
      </w:pPr>
    </w:p>
    <w:p>
      <w:pPr>
        <w:jc w:val="both"/>
        <w:ind w:firstLine="628"/>
        <w:spacing w:after="0" w:line="262" w:lineRule="auto"/>
        <w:rPr>
          <w:sz w:val="20"/>
          <w:szCs w:val="20"/>
          <w:color w:val="auto"/>
        </w:rPr>
      </w:pPr>
      <w:r>
        <w:rPr>
          <w:rFonts w:ascii="Arial" w:cs="Arial" w:eastAsia="Arial" w:hAnsi="Arial"/>
          <w:sz w:val="17"/>
          <w:szCs w:val="17"/>
          <w:i w:val="1"/>
          <w:iCs w:val="1"/>
          <w:color w:val="auto"/>
        </w:rPr>
        <w:t>Accounting Estimates</w:t>
      </w:r>
      <w:r>
        <w:rPr>
          <w:rFonts w:ascii="Arial" w:cs="Arial" w:eastAsia="Arial" w:hAnsi="Arial"/>
          <w:sz w:val="17"/>
          <w:szCs w:val="17"/>
          <w:color w:val="auto"/>
        </w:rPr>
        <w:t>—The preparation of financial statements in conformity with accounting principles generally accepted in the U.S.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to make estimates and assumptions that affect the reported amounts of assets, liabilities, revenues, expenses and disclosure of contingent assets and liabilities. On an ongoing basis, we evaluate our estimates, including those related to bad debts, materials and supplies obsolescence, investments, intangible assets and goodwill, property and equipment and other long-lived assets, income taxes, workers’ insurance, pensions and other postretirement benefits, other employment benefits and contingent liabilities. We base our estimates on historical experience and on various other assumptions we believe are reasonable under the circumstances, the results of which form the basis for making judgments about the carrying values of assets and liabilities that are not readily apparent from other sources. Actual results could differ from such estimates.</w:t>
      </w:r>
    </w:p>
    <w:p>
      <w:pPr>
        <w:spacing w:after="0" w:line="233" w:lineRule="exact"/>
        <w:rPr>
          <w:sz w:val="20"/>
          <w:szCs w:val="20"/>
          <w:color w:val="auto"/>
        </w:rPr>
      </w:pPr>
    </w:p>
    <w:p>
      <w:pPr>
        <w:jc w:val="both"/>
        <w:ind w:firstLine="628"/>
        <w:spacing w:after="0" w:line="297" w:lineRule="auto"/>
        <w:rPr>
          <w:sz w:val="20"/>
          <w:szCs w:val="20"/>
          <w:color w:val="auto"/>
        </w:rPr>
      </w:pPr>
      <w:r>
        <w:rPr>
          <w:rFonts w:ascii="Arial" w:cs="Arial" w:eastAsia="Arial" w:hAnsi="Arial"/>
          <w:sz w:val="16"/>
          <w:szCs w:val="16"/>
          <w:i w:val="1"/>
          <w:iCs w:val="1"/>
          <w:color w:val="auto"/>
        </w:rPr>
        <w:t>Cash and Cash Equivalents—</w:t>
      </w:r>
      <w:r>
        <w:rPr>
          <w:rFonts w:ascii="Arial" w:cs="Arial" w:eastAsia="Arial" w:hAnsi="Arial"/>
          <w:sz w:val="16"/>
          <w:szCs w:val="16"/>
          <w:color w:val="auto"/>
        </w:rPr>
        <w:t>As a result of the</w:t>
      </w:r>
      <w:r>
        <w:rPr>
          <w:rFonts w:ascii="Arial" w:cs="Arial" w:eastAsia="Arial" w:hAnsi="Arial"/>
          <w:sz w:val="16"/>
          <w:szCs w:val="16"/>
          <w:i w:val="1"/>
          <w:iCs w:val="1"/>
          <w:color w:val="auto"/>
        </w:rPr>
        <w:t xml:space="preserve"> Deepwater Nautilus </w:t>
      </w:r>
      <w:r>
        <w:rPr>
          <w:rFonts w:ascii="Arial" w:cs="Arial" w:eastAsia="Arial" w:hAnsi="Arial"/>
          <w:sz w:val="16"/>
          <w:szCs w:val="16"/>
          <w:color w:val="auto"/>
        </w:rPr>
        <w:t>project financing in 1999, we were required to maintain in cash an amount to cover</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principal and interest payments. Such restricted cash, classified as other current assets in the condensed consolidated balance sheet, was $12.0 million at December 31, 2004. As a result of the repayment of the project financing (see Note 6), the restricted cash balance was released in May 2005.</w:t>
      </w:r>
    </w:p>
    <w:p>
      <w:pPr>
        <w:spacing w:after="0" w:line="206" w:lineRule="exact"/>
        <w:rPr>
          <w:sz w:val="20"/>
          <w:szCs w:val="20"/>
          <w:color w:val="auto"/>
        </w:rPr>
      </w:pPr>
    </w:p>
    <w:p>
      <w:pPr>
        <w:jc w:val="both"/>
        <w:ind w:firstLine="628"/>
        <w:spacing w:after="0" w:line="285" w:lineRule="auto"/>
        <w:rPr>
          <w:sz w:val="20"/>
          <w:szCs w:val="20"/>
          <w:color w:val="auto"/>
        </w:rPr>
      </w:pPr>
      <w:r>
        <w:rPr>
          <w:rFonts w:ascii="Arial" w:cs="Arial" w:eastAsia="Arial" w:hAnsi="Arial"/>
          <w:sz w:val="16"/>
          <w:szCs w:val="16"/>
          <w:i w:val="1"/>
          <w:iCs w:val="1"/>
          <w:color w:val="auto"/>
        </w:rPr>
        <w:t>Change in Estimate</w:t>
      </w:r>
      <w:r>
        <w:rPr>
          <w:rFonts w:ascii="Arial" w:cs="Arial" w:eastAsia="Arial" w:hAnsi="Arial"/>
          <w:sz w:val="16"/>
          <w:szCs w:val="16"/>
          <w:color w:val="auto"/>
        </w:rPr>
        <w:t>—During the fourth quarter of 2004, we extended the useful life of four rigs, which had estimated useful lives ranging from 30 to 32</w:t>
      </w:r>
      <w:r>
        <w:rPr>
          <w:rFonts w:ascii="Arial" w:cs="Arial" w:eastAsia="Arial" w:hAnsi="Arial"/>
          <w:sz w:val="16"/>
          <w:szCs w:val="16"/>
          <w:i w:val="1"/>
          <w:iCs w:val="1"/>
          <w:color w:val="auto"/>
        </w:rPr>
        <w:t xml:space="preserve"> </w:t>
      </w:r>
      <w:r>
        <w:rPr>
          <w:rFonts w:ascii="Arial" w:cs="Arial" w:eastAsia="Arial" w:hAnsi="Arial"/>
          <w:sz w:val="16"/>
          <w:szCs w:val="16"/>
          <w:color w:val="auto"/>
        </w:rPr>
        <w:t>years, to 35 years. We determined 35 years was appropriate for each of these rigs based on the current contracts these rigs are operating under as well as the additional life-extending work, upgrades and inspections we have performed on these rigs. In the three and six months ended June 30, 2005, the impact of the life extension of these four rigs was a reduction in depreciation expense of $4.8 million ($0.01 per diluted share) and $9.6 million ($0.03 per diluted share), respectively, which had no tax effect, and such reduction is expected to be approximately $16 million before tax in 2005.</w:t>
      </w:r>
    </w:p>
    <w:p>
      <w:pPr>
        <w:spacing w:after="0" w:line="216"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i w:val="1"/>
          <w:iCs w:val="1"/>
          <w:color w:val="auto"/>
        </w:rPr>
        <w:t>Stock-Based Compensation</w:t>
      </w:r>
      <w:r>
        <w:rPr>
          <w:rFonts w:ascii="Arial" w:cs="Arial" w:eastAsia="Arial" w:hAnsi="Arial"/>
          <w:sz w:val="17"/>
          <w:szCs w:val="17"/>
          <w:color w:val="auto"/>
        </w:rPr>
        <w:t>—Effective January 1, 2003, we account for stock-based compensation using the fair value recognition provisions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Financial Accounting Standards Board’s (“FASB”) Statement of Financial Accounting Standard (“SFAS”)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xml:space="preserve">, for all awards granted or modified on or subsequent to January 1, 2003. We account for awards granted prior to January 1, 2003 using the intrinsic value method under Accounting Principles Board Opinion (“APB”)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xml:space="preserve"> and related interpretations (see “―New Accounting Pronouncements”).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TRANSOCEAN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63"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If compensation expense for grants to employees under our long-term incentive plan prior to January 1, 2003 was recognized using the fair value method of accounting under SFAS 123 rather than the intrinsic value method under APB 25, net income and earnings per share would have been reduced to the pro forma amounts indicated below (in millions, except per share data):</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60" w:type="dxa"/>
            <w:vAlign w:val="bottom"/>
          </w:tcPr>
          <w:p>
            <w:pPr>
              <w:spacing w:after="0"/>
              <w:rPr>
                <w:sz w:val="18"/>
                <w:szCs w:val="18"/>
                <w:color w:val="auto"/>
              </w:rPr>
            </w:pPr>
          </w:p>
        </w:tc>
        <w:tc>
          <w:tcPr>
            <w:tcW w:w="2580" w:type="dxa"/>
            <w:vAlign w:val="bottom"/>
            <w:gridSpan w:val="5"/>
          </w:tcPr>
          <w:p>
            <w:pPr>
              <w:jc w:val="right"/>
              <w:ind w:right="273"/>
              <w:spacing w:after="0"/>
              <w:rPr>
                <w:sz w:val="20"/>
                <w:szCs w:val="20"/>
                <w:color w:val="auto"/>
              </w:rPr>
            </w:pPr>
            <w:r>
              <w:rPr>
                <w:rFonts w:ascii="Arial" w:cs="Arial" w:eastAsia="Arial" w:hAnsi="Arial"/>
                <w:sz w:val="17"/>
                <w:szCs w:val="17"/>
                <w:color w:val="auto"/>
              </w:rPr>
              <w:t>Three Months Ended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6"/>
          </w:tcPr>
          <w:p>
            <w:pPr>
              <w:jc w:val="right"/>
              <w:ind w:right="920"/>
              <w:spacing w:after="0"/>
              <w:rPr>
                <w:sz w:val="20"/>
                <w:szCs w:val="20"/>
                <w:color w:val="auto"/>
              </w:rPr>
            </w:pPr>
            <w:r>
              <w:rPr>
                <w:rFonts w:ascii="Arial" w:cs="Arial" w:eastAsia="Arial" w:hAnsi="Arial"/>
                <w:sz w:val="17"/>
                <w:szCs w:val="17"/>
                <w:color w:val="auto"/>
              </w:rPr>
              <w:t>Six Months Ended</w:t>
            </w:r>
          </w:p>
        </w:tc>
      </w:tr>
      <w:tr>
        <w:trPr>
          <w:trHeight w:val="222"/>
        </w:trPr>
        <w:tc>
          <w:tcPr>
            <w:tcW w:w="51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7"/>
                <w:szCs w:val="17"/>
                <w:color w:val="auto"/>
              </w:rPr>
              <w:t>June 30,</w:t>
            </w: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7"/>
                <w:szCs w:val="17"/>
                <w:color w:val="auto"/>
              </w:rPr>
              <w:t>June 30,</w:t>
            </w: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55"/>
        </w:trPr>
        <w:tc>
          <w:tcPr>
            <w:tcW w:w="51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2005</w:t>
            </w:r>
          </w:p>
        </w:tc>
        <w:tc>
          <w:tcPr>
            <w:tcW w:w="4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2004</w:t>
            </w:r>
          </w:p>
        </w:tc>
        <w:tc>
          <w:tcPr>
            <w:tcW w:w="4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2005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2004</w:t>
            </w:r>
          </w:p>
        </w:tc>
        <w:tc>
          <w:tcPr>
            <w:tcW w:w="100" w:type="dxa"/>
            <w:vAlign w:val="bottom"/>
          </w:tcPr>
          <w:p>
            <w:pPr>
              <w:spacing w:after="0"/>
              <w:rPr>
                <w:sz w:val="22"/>
                <w:szCs w:val="22"/>
                <w:color w:val="auto"/>
              </w:rPr>
            </w:pPr>
          </w:p>
        </w:tc>
      </w:tr>
      <w:tr>
        <w:trPr>
          <w:trHeight w:val="229"/>
        </w:trPr>
        <w:tc>
          <w:tcPr>
            <w:tcW w:w="5160" w:type="dxa"/>
            <w:vAlign w:val="bottom"/>
            <w:shd w:val="clear" w:color="auto" w:fill="E2EEF6"/>
          </w:tcPr>
          <w:p>
            <w:pPr>
              <w:spacing w:after="0"/>
              <w:rPr>
                <w:sz w:val="20"/>
                <w:szCs w:val="20"/>
                <w:color w:val="auto"/>
              </w:rPr>
            </w:pPr>
            <w:r>
              <w:rPr>
                <w:rFonts w:ascii="Arial" w:cs="Arial" w:eastAsia="Arial" w:hAnsi="Arial"/>
                <w:sz w:val="17"/>
                <w:szCs w:val="17"/>
                <w:color w:val="auto"/>
              </w:rPr>
              <w:t>Net Income as Reported</w:t>
            </w:r>
          </w:p>
        </w:tc>
        <w:tc>
          <w:tcPr>
            <w:tcW w:w="920" w:type="dxa"/>
            <w:vAlign w:val="bottom"/>
            <w:shd w:val="clear" w:color="auto" w:fill="E2EEF6"/>
          </w:tcPr>
          <w:p>
            <w:pPr>
              <w:jc w:val="right"/>
              <w:ind w:right="76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301.8</w:t>
            </w:r>
          </w:p>
        </w:tc>
        <w:tc>
          <w:tcPr>
            <w:tcW w:w="1040" w:type="dxa"/>
            <w:vAlign w:val="bottom"/>
            <w:gridSpan w:val="2"/>
            <w:shd w:val="clear" w:color="auto" w:fill="E2EEF6"/>
          </w:tcPr>
          <w:p>
            <w:pPr>
              <w:jc w:val="right"/>
              <w:ind w:right="793"/>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48.0</w:t>
            </w:r>
          </w:p>
        </w:tc>
        <w:tc>
          <w:tcPr>
            <w:tcW w:w="300" w:type="dxa"/>
            <w:vAlign w:val="bottom"/>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393.6</w:t>
            </w:r>
          </w:p>
        </w:tc>
        <w:tc>
          <w:tcPr>
            <w:tcW w:w="400" w:type="dxa"/>
            <w:vAlign w:val="bottom"/>
            <w:gridSpan w:val="2"/>
            <w:shd w:val="clear" w:color="auto" w:fill="E2EEF6"/>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70.7</w:t>
            </w:r>
          </w:p>
        </w:tc>
      </w:tr>
      <w:tr>
        <w:trPr>
          <w:trHeight w:val="197"/>
        </w:trPr>
        <w:tc>
          <w:tcPr>
            <w:tcW w:w="5160" w:type="dxa"/>
            <w:vAlign w:val="bottom"/>
          </w:tcPr>
          <w:p>
            <w:pPr>
              <w:ind w:left="160"/>
              <w:spacing w:after="0"/>
              <w:rPr>
                <w:sz w:val="20"/>
                <w:szCs w:val="20"/>
                <w:color w:val="auto"/>
              </w:rPr>
            </w:pPr>
            <w:r>
              <w:rPr>
                <w:rFonts w:ascii="Arial" w:cs="Arial" w:eastAsia="Arial" w:hAnsi="Arial"/>
                <w:sz w:val="17"/>
                <w:szCs w:val="17"/>
                <w:color w:val="auto"/>
                <w:w w:val="97"/>
              </w:rPr>
              <w:t>Add back: Stock-based compensation expense included in reported</w:t>
            </w: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5160" w:type="dxa"/>
            <w:vAlign w:val="bottom"/>
          </w:tcPr>
          <w:p>
            <w:pPr>
              <w:ind w:left="320"/>
              <w:spacing w:after="0"/>
              <w:rPr>
                <w:sz w:val="20"/>
                <w:szCs w:val="20"/>
                <w:color w:val="auto"/>
              </w:rPr>
            </w:pPr>
            <w:r>
              <w:rPr>
                <w:rFonts w:ascii="Arial" w:cs="Arial" w:eastAsia="Arial" w:hAnsi="Arial"/>
                <w:sz w:val="17"/>
                <w:szCs w:val="17"/>
                <w:color w:val="auto"/>
              </w:rPr>
              <w:t>net income, net of related tax effects</w:t>
            </w:r>
          </w:p>
        </w:tc>
        <w:tc>
          <w:tcPr>
            <w:tcW w:w="9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1.5</w:t>
            </w:r>
          </w:p>
        </w:tc>
        <w:tc>
          <w:tcPr>
            <w:tcW w:w="3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8.8</w:t>
            </w:r>
          </w:p>
        </w:tc>
      </w:tr>
      <w:tr>
        <w:trPr>
          <w:trHeight w:val="236"/>
        </w:trPr>
        <w:tc>
          <w:tcPr>
            <w:tcW w:w="5160" w:type="dxa"/>
            <w:vAlign w:val="bottom"/>
            <w:shd w:val="clear" w:color="auto" w:fill="E2EEF6"/>
          </w:tcPr>
          <w:p>
            <w:pPr>
              <w:spacing w:after="0"/>
              <w:rPr>
                <w:sz w:val="20"/>
                <w:szCs w:val="20"/>
                <w:color w:val="auto"/>
              </w:rPr>
            </w:pPr>
          </w:p>
        </w:tc>
        <w:tc>
          <w:tcPr>
            <w:tcW w:w="920" w:type="dxa"/>
            <w:vAlign w:val="bottom"/>
            <w:shd w:val="clear" w:color="auto" w:fill="E2EEF6"/>
          </w:tcPr>
          <w:p>
            <w:pPr>
              <w:spacing w:after="0"/>
              <w:rPr>
                <w:sz w:val="20"/>
                <w:szCs w:val="20"/>
                <w:color w:val="auto"/>
              </w:rPr>
            </w:pPr>
          </w:p>
        </w:tc>
        <w:tc>
          <w:tcPr>
            <w:tcW w:w="46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960" w:type="dxa"/>
            <w:vAlign w:val="bottom"/>
            <w:shd w:val="clear" w:color="auto" w:fill="E2EEF6"/>
          </w:tcPr>
          <w:p>
            <w:pPr>
              <w:spacing w:after="0"/>
              <w:rPr>
                <w:sz w:val="20"/>
                <w:szCs w:val="20"/>
                <w:color w:val="auto"/>
              </w:rPr>
            </w:pPr>
          </w:p>
        </w:tc>
        <w:tc>
          <w:tcPr>
            <w:tcW w:w="4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320" w:type="dxa"/>
            <w:vAlign w:val="bottom"/>
            <w:shd w:val="clear" w:color="auto" w:fill="E2EEF6"/>
          </w:tcPr>
          <w:p>
            <w:pPr>
              <w:spacing w:after="0"/>
              <w:rPr>
                <w:sz w:val="20"/>
                <w:szCs w:val="20"/>
                <w:color w:val="auto"/>
              </w:rPr>
            </w:pPr>
          </w:p>
        </w:tc>
        <w:tc>
          <w:tcPr>
            <w:tcW w:w="104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197"/>
        </w:trPr>
        <w:tc>
          <w:tcPr>
            <w:tcW w:w="5160" w:type="dxa"/>
            <w:vAlign w:val="bottom"/>
          </w:tcPr>
          <w:p>
            <w:pPr>
              <w:ind w:left="160"/>
              <w:spacing w:after="0"/>
              <w:rPr>
                <w:sz w:val="20"/>
                <w:szCs w:val="20"/>
                <w:color w:val="auto"/>
              </w:rPr>
            </w:pPr>
            <w:r>
              <w:rPr>
                <w:rFonts w:ascii="Arial" w:cs="Arial" w:eastAsia="Arial" w:hAnsi="Arial"/>
                <w:sz w:val="17"/>
                <w:szCs w:val="17"/>
                <w:color w:val="auto"/>
                <w:w w:val="96"/>
              </w:rPr>
              <w:t>Deduct: Total stock-based compensation expense determined under</w:t>
            </w: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5160" w:type="dxa"/>
            <w:vAlign w:val="bottom"/>
          </w:tcPr>
          <w:p>
            <w:pPr>
              <w:ind w:left="320"/>
              <w:spacing w:after="0"/>
              <w:rPr>
                <w:sz w:val="20"/>
                <w:szCs w:val="20"/>
                <w:color w:val="auto"/>
              </w:rPr>
            </w:pPr>
            <w:r>
              <w:rPr>
                <w:rFonts w:ascii="Arial" w:cs="Arial" w:eastAsia="Arial" w:hAnsi="Arial"/>
                <w:sz w:val="17"/>
                <w:szCs w:val="17"/>
                <w:color w:val="auto"/>
              </w:rPr>
              <w:t>the fair value method for all awards, net of related tax effects</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5160" w:type="dxa"/>
            <w:vAlign w:val="bottom"/>
            <w:shd w:val="clear" w:color="auto" w:fill="E2EEF6"/>
          </w:tcPr>
          <w:p>
            <w:pPr>
              <w:ind w:left="480"/>
              <w:spacing w:after="0"/>
              <w:rPr>
                <w:sz w:val="20"/>
                <w:szCs w:val="20"/>
                <w:color w:val="auto"/>
              </w:rPr>
            </w:pPr>
            <w:r>
              <w:rPr>
                <w:rFonts w:ascii="Arial" w:cs="Arial" w:eastAsia="Arial" w:hAnsi="Arial"/>
                <w:sz w:val="17"/>
                <w:szCs w:val="17"/>
                <w:color w:val="auto"/>
              </w:rPr>
              <w:t>Long-Term Incentive Plan</w:t>
            </w:r>
          </w:p>
        </w:tc>
        <w:tc>
          <w:tcPr>
            <w:tcW w:w="920" w:type="dxa"/>
            <w:vAlign w:val="bottom"/>
            <w:shd w:val="clear" w:color="auto" w:fill="E2EEF6"/>
          </w:tcPr>
          <w:p>
            <w:pPr>
              <w:spacing w:after="0"/>
              <w:rPr>
                <w:sz w:val="20"/>
                <w:szCs w:val="20"/>
                <w:color w:val="auto"/>
              </w:rPr>
            </w:pPr>
          </w:p>
        </w:tc>
        <w:tc>
          <w:tcPr>
            <w:tcW w:w="6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(3.3)</w:t>
            </w:r>
          </w:p>
        </w:tc>
        <w:tc>
          <w:tcPr>
            <w:tcW w:w="80" w:type="dxa"/>
            <w:vAlign w:val="bottom"/>
            <w:shd w:val="clear" w:color="auto" w:fill="E2EEF6"/>
          </w:tcPr>
          <w:p>
            <w:pPr>
              <w:spacing w:after="0"/>
              <w:rPr>
                <w:sz w:val="20"/>
                <w:szCs w:val="20"/>
                <w:color w:val="auto"/>
              </w:rPr>
            </w:pPr>
          </w:p>
        </w:tc>
        <w:tc>
          <w:tcPr>
            <w:tcW w:w="960" w:type="dxa"/>
            <w:vAlign w:val="bottom"/>
            <w:shd w:val="clear" w:color="auto" w:fill="E2EEF6"/>
          </w:tcPr>
          <w:p>
            <w:pPr>
              <w:spacing w:after="0"/>
              <w:rPr>
                <w:sz w:val="20"/>
                <w:szCs w:val="20"/>
                <w:color w:val="auto"/>
              </w:rPr>
            </w:pPr>
          </w:p>
        </w:tc>
        <w:tc>
          <w:tcPr>
            <w:tcW w:w="64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(3.2)</w:t>
            </w:r>
          </w:p>
        </w:tc>
        <w:tc>
          <w:tcPr>
            <w:tcW w:w="30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80"/>
              <w:spacing w:after="0"/>
              <w:rPr>
                <w:sz w:val="20"/>
                <w:szCs w:val="20"/>
                <w:color w:val="auto"/>
              </w:rPr>
            </w:pPr>
            <w:r>
              <w:rPr>
                <w:rFonts w:ascii="Arial" w:cs="Arial" w:eastAsia="Arial" w:hAnsi="Arial"/>
                <w:sz w:val="17"/>
                <w:szCs w:val="17"/>
                <w:color w:val="auto"/>
              </w:rPr>
              <w:t>(7.9)</w:t>
            </w:r>
          </w:p>
        </w:tc>
        <w:tc>
          <w:tcPr>
            <w:tcW w:w="80" w:type="dxa"/>
            <w:vAlign w:val="bottom"/>
            <w:shd w:val="clear" w:color="auto" w:fill="E2EEF6"/>
          </w:tcPr>
          <w:p>
            <w:pPr>
              <w:spacing w:after="0"/>
              <w:rPr>
                <w:sz w:val="20"/>
                <w:szCs w:val="20"/>
                <w:color w:val="auto"/>
              </w:rPr>
            </w:pPr>
          </w:p>
        </w:tc>
        <w:tc>
          <w:tcPr>
            <w:tcW w:w="320" w:type="dxa"/>
            <w:vAlign w:val="bottom"/>
            <w:shd w:val="clear" w:color="auto" w:fill="E2EEF6"/>
          </w:tcPr>
          <w:p>
            <w:pPr>
              <w:spacing w:after="0"/>
              <w:rPr>
                <w:sz w:val="20"/>
                <w:szCs w:val="20"/>
                <w:color w:val="auto"/>
              </w:rPr>
            </w:pPr>
          </w:p>
        </w:tc>
        <w:tc>
          <w:tcPr>
            <w:tcW w:w="1140" w:type="dxa"/>
            <w:vAlign w:val="bottom"/>
            <w:gridSpan w:val="2"/>
            <w:shd w:val="clear" w:color="auto" w:fill="E2EEF6"/>
          </w:tcPr>
          <w:p>
            <w:pPr>
              <w:jc w:val="right"/>
              <w:ind w:right="40"/>
              <w:spacing w:after="0"/>
              <w:rPr>
                <w:sz w:val="20"/>
                <w:szCs w:val="20"/>
                <w:color w:val="auto"/>
              </w:rPr>
            </w:pPr>
            <w:r>
              <w:rPr>
                <w:rFonts w:ascii="Arial" w:cs="Arial" w:eastAsia="Arial" w:hAnsi="Arial"/>
                <w:sz w:val="17"/>
                <w:szCs w:val="17"/>
                <w:color w:val="auto"/>
              </w:rPr>
              <w:t>(12.9)</w:t>
            </w:r>
          </w:p>
        </w:tc>
      </w:tr>
      <w:tr>
        <w:trPr>
          <w:trHeight w:val="235"/>
        </w:trPr>
        <w:tc>
          <w:tcPr>
            <w:tcW w:w="5160" w:type="dxa"/>
            <w:vAlign w:val="bottom"/>
          </w:tcPr>
          <w:p>
            <w:pPr>
              <w:ind w:left="480"/>
              <w:spacing w:after="0"/>
              <w:rPr>
                <w:sz w:val="20"/>
                <w:szCs w:val="20"/>
                <w:color w:val="auto"/>
              </w:rPr>
            </w:pPr>
            <w:r>
              <w:rPr>
                <w:rFonts w:ascii="Arial" w:cs="Arial" w:eastAsia="Arial" w:hAnsi="Arial"/>
                <w:sz w:val="17"/>
                <w:szCs w:val="17"/>
                <w:color w:val="auto"/>
              </w:rPr>
              <w:t>Employee Stock Purchase Plan</w:t>
            </w:r>
          </w:p>
        </w:tc>
        <w:tc>
          <w:tcPr>
            <w:tcW w:w="9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(0.8)</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(0.5)</w:t>
            </w:r>
          </w:p>
        </w:tc>
        <w:tc>
          <w:tcPr>
            <w:tcW w:w="3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62"/>
        </w:trPr>
        <w:tc>
          <w:tcPr>
            <w:tcW w:w="5160" w:type="dxa"/>
            <w:vAlign w:val="bottom"/>
            <w:tcBorders>
              <w:bottom w:val="single" w:sz="8" w:color="E2EEF6"/>
            </w:tcBorders>
            <w:shd w:val="clear" w:color="auto" w:fill="E2EEF6"/>
          </w:tcPr>
          <w:p>
            <w:pPr>
              <w:spacing w:after="0"/>
              <w:rPr>
                <w:sz w:val="22"/>
                <w:szCs w:val="22"/>
                <w:color w:val="auto"/>
              </w:rPr>
            </w:pPr>
          </w:p>
        </w:tc>
        <w:tc>
          <w:tcPr>
            <w:tcW w:w="920" w:type="dxa"/>
            <w:vAlign w:val="bottom"/>
            <w:tcBorders>
              <w:bottom w:val="single" w:sz="8" w:color="auto"/>
            </w:tcBorders>
            <w:shd w:val="clear" w:color="auto" w:fill="E2EEF6"/>
          </w:tcPr>
          <w:p>
            <w:pPr>
              <w:spacing w:after="0"/>
              <w:rPr>
                <w:sz w:val="22"/>
                <w:szCs w:val="22"/>
                <w:color w:val="auto"/>
              </w:rPr>
            </w:pPr>
          </w:p>
        </w:tc>
        <w:tc>
          <w:tcPr>
            <w:tcW w:w="460" w:type="dxa"/>
            <w:vAlign w:val="bottom"/>
            <w:tcBorders>
              <w:bottom w:val="single" w:sz="8" w:color="auto"/>
            </w:tcBorders>
            <w:shd w:val="clear" w:color="auto" w:fill="E2EEF6"/>
          </w:tcPr>
          <w:p>
            <w:pPr>
              <w:spacing w:after="0"/>
              <w:rPr>
                <w:sz w:val="22"/>
                <w:szCs w:val="22"/>
                <w:color w:val="auto"/>
              </w:rPr>
            </w:pPr>
          </w:p>
        </w:tc>
        <w:tc>
          <w:tcPr>
            <w:tcW w:w="160" w:type="dxa"/>
            <w:vAlign w:val="bottom"/>
            <w:tcBorders>
              <w:bottom w:val="single" w:sz="8" w:color="E2EEF6"/>
            </w:tcBorders>
            <w:shd w:val="clear" w:color="auto" w:fill="E2EEF6"/>
          </w:tcPr>
          <w:p>
            <w:pPr>
              <w:spacing w:after="0"/>
              <w:rPr>
                <w:sz w:val="22"/>
                <w:szCs w:val="22"/>
                <w:color w:val="auto"/>
              </w:rPr>
            </w:pPr>
          </w:p>
        </w:tc>
        <w:tc>
          <w:tcPr>
            <w:tcW w:w="80" w:type="dxa"/>
            <w:vAlign w:val="bottom"/>
            <w:tcBorders>
              <w:bottom w:val="single" w:sz="8" w:color="E2EEF6"/>
            </w:tcBorders>
            <w:shd w:val="clear" w:color="auto" w:fill="E2EEF6"/>
          </w:tcPr>
          <w:p>
            <w:pPr>
              <w:spacing w:after="0"/>
              <w:rPr>
                <w:sz w:val="22"/>
                <w:szCs w:val="22"/>
                <w:color w:val="auto"/>
              </w:rPr>
            </w:pPr>
          </w:p>
        </w:tc>
        <w:tc>
          <w:tcPr>
            <w:tcW w:w="960" w:type="dxa"/>
            <w:vAlign w:val="bottom"/>
            <w:tcBorders>
              <w:bottom w:val="single" w:sz="8" w:color="auto"/>
            </w:tcBorders>
            <w:shd w:val="clear" w:color="auto" w:fill="E2EEF6"/>
          </w:tcPr>
          <w:p>
            <w:pPr>
              <w:spacing w:after="0"/>
              <w:rPr>
                <w:sz w:val="22"/>
                <w:szCs w:val="22"/>
                <w:color w:val="auto"/>
              </w:rPr>
            </w:pPr>
          </w:p>
        </w:tc>
        <w:tc>
          <w:tcPr>
            <w:tcW w:w="420" w:type="dxa"/>
            <w:vAlign w:val="bottom"/>
            <w:tcBorders>
              <w:bottom w:val="single" w:sz="8" w:color="auto"/>
            </w:tcBorders>
            <w:shd w:val="clear" w:color="auto" w:fill="E2EEF6"/>
          </w:tcPr>
          <w:p>
            <w:pPr>
              <w:spacing w:after="0"/>
              <w:rPr>
                <w:sz w:val="22"/>
                <w:szCs w:val="22"/>
                <w:color w:val="auto"/>
              </w:rPr>
            </w:pPr>
          </w:p>
        </w:tc>
        <w:tc>
          <w:tcPr>
            <w:tcW w:w="220" w:type="dxa"/>
            <w:vAlign w:val="bottom"/>
            <w:tcBorders>
              <w:bottom w:val="single" w:sz="8" w:color="E2EEF6"/>
            </w:tcBorders>
            <w:shd w:val="clear" w:color="auto" w:fill="E2EEF6"/>
          </w:tcPr>
          <w:p>
            <w:pPr>
              <w:spacing w:after="0"/>
              <w:rPr>
                <w:sz w:val="22"/>
                <w:szCs w:val="22"/>
                <w:color w:val="auto"/>
              </w:rPr>
            </w:pPr>
          </w:p>
        </w:tc>
        <w:tc>
          <w:tcPr>
            <w:tcW w:w="300" w:type="dxa"/>
            <w:vAlign w:val="bottom"/>
            <w:tcBorders>
              <w:bottom w:val="single" w:sz="8" w:color="auto"/>
            </w:tcBorders>
            <w:shd w:val="clear" w:color="auto" w:fill="E2EEF6"/>
          </w:tcPr>
          <w:p>
            <w:pPr>
              <w:spacing w:after="0"/>
              <w:rPr>
                <w:sz w:val="22"/>
                <w:szCs w:val="22"/>
                <w:color w:val="auto"/>
              </w:rPr>
            </w:pPr>
          </w:p>
        </w:tc>
        <w:tc>
          <w:tcPr>
            <w:tcW w:w="1060" w:type="dxa"/>
            <w:vAlign w:val="bottom"/>
            <w:tcBorders>
              <w:bottom w:val="single" w:sz="8" w:color="auto"/>
            </w:tcBorders>
            <w:shd w:val="clear" w:color="auto" w:fill="E2EEF6"/>
          </w:tcPr>
          <w:p>
            <w:pPr>
              <w:spacing w:after="0"/>
              <w:rPr>
                <w:sz w:val="22"/>
                <w:szCs w:val="22"/>
                <w:color w:val="auto"/>
              </w:rPr>
            </w:pPr>
          </w:p>
        </w:tc>
        <w:tc>
          <w:tcPr>
            <w:tcW w:w="140" w:type="dxa"/>
            <w:vAlign w:val="bottom"/>
            <w:tcBorders>
              <w:bottom w:val="single" w:sz="8" w:color="E2EEF6"/>
            </w:tcBorders>
            <w:shd w:val="clear" w:color="auto" w:fill="E2EEF6"/>
          </w:tcPr>
          <w:p>
            <w:pPr>
              <w:spacing w:after="0"/>
              <w:rPr>
                <w:sz w:val="22"/>
                <w:szCs w:val="22"/>
                <w:color w:val="auto"/>
              </w:rPr>
            </w:pPr>
          </w:p>
        </w:tc>
        <w:tc>
          <w:tcPr>
            <w:tcW w:w="80" w:type="dxa"/>
            <w:vAlign w:val="bottom"/>
            <w:tcBorders>
              <w:bottom w:val="single" w:sz="8" w:color="E2EEF6"/>
            </w:tcBorders>
            <w:shd w:val="clear" w:color="auto" w:fill="E2EEF6"/>
          </w:tcPr>
          <w:p>
            <w:pPr>
              <w:spacing w:after="0"/>
              <w:rPr>
                <w:sz w:val="22"/>
                <w:szCs w:val="22"/>
                <w:color w:val="auto"/>
              </w:rPr>
            </w:pPr>
          </w:p>
        </w:tc>
        <w:tc>
          <w:tcPr>
            <w:tcW w:w="320" w:type="dxa"/>
            <w:vAlign w:val="bottom"/>
            <w:tcBorders>
              <w:bottom w:val="single" w:sz="8" w:color="auto"/>
            </w:tcBorders>
            <w:shd w:val="clear" w:color="auto" w:fill="E2EEF6"/>
          </w:tcPr>
          <w:p>
            <w:pPr>
              <w:spacing w:after="0"/>
              <w:rPr>
                <w:sz w:val="22"/>
                <w:szCs w:val="22"/>
                <w:color w:val="auto"/>
              </w:rPr>
            </w:pPr>
          </w:p>
        </w:tc>
        <w:tc>
          <w:tcPr>
            <w:tcW w:w="1040" w:type="dxa"/>
            <w:vAlign w:val="bottom"/>
            <w:tcBorders>
              <w:bottom w:val="single" w:sz="8" w:color="auto"/>
            </w:tcBorders>
            <w:shd w:val="clear" w:color="auto" w:fill="E2EEF6"/>
          </w:tcPr>
          <w:p>
            <w:pPr>
              <w:spacing w:after="0"/>
              <w:rPr>
                <w:sz w:val="22"/>
                <w:szCs w:val="22"/>
                <w:color w:val="auto"/>
              </w:rPr>
            </w:pPr>
          </w:p>
        </w:tc>
        <w:tc>
          <w:tcPr>
            <w:tcW w:w="100" w:type="dxa"/>
            <w:vAlign w:val="bottom"/>
            <w:tcBorders>
              <w:bottom w:val="single" w:sz="8" w:color="E2EEF6"/>
            </w:tcBorders>
            <w:shd w:val="clear" w:color="auto" w:fill="E2EEF6"/>
          </w:tcPr>
          <w:p>
            <w:pPr>
              <w:spacing w:after="0"/>
              <w:rPr>
                <w:sz w:val="22"/>
                <w:szCs w:val="22"/>
                <w:color w:val="auto"/>
              </w:rPr>
            </w:pPr>
          </w:p>
        </w:tc>
      </w:tr>
      <w:tr>
        <w:trPr>
          <w:trHeight w:val="228"/>
        </w:trPr>
        <w:tc>
          <w:tcPr>
            <w:tcW w:w="5160" w:type="dxa"/>
            <w:vAlign w:val="bottom"/>
          </w:tcPr>
          <w:p>
            <w:pPr>
              <w:ind w:left="160"/>
              <w:spacing w:after="0"/>
              <w:rPr>
                <w:sz w:val="20"/>
                <w:szCs w:val="20"/>
                <w:color w:val="auto"/>
              </w:rPr>
            </w:pPr>
            <w:r>
              <w:rPr>
                <w:rFonts w:ascii="Arial" w:cs="Arial" w:eastAsia="Arial" w:hAnsi="Arial"/>
                <w:sz w:val="17"/>
                <w:szCs w:val="17"/>
                <w:color w:val="auto"/>
              </w:rPr>
              <w:t>Pro Forma Net Income</w:t>
            </w:r>
          </w:p>
        </w:tc>
        <w:tc>
          <w:tcPr>
            <w:tcW w:w="920" w:type="dxa"/>
            <w:vAlign w:val="bottom"/>
          </w:tcPr>
          <w:p>
            <w:pPr>
              <w:jc w:val="right"/>
              <w:ind w:right="76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300.2</w:t>
            </w:r>
          </w:p>
        </w:tc>
        <w:tc>
          <w:tcPr>
            <w:tcW w:w="1040" w:type="dxa"/>
            <w:vAlign w:val="bottom"/>
            <w:gridSpan w:val="2"/>
          </w:tcPr>
          <w:p>
            <w:pPr>
              <w:jc w:val="right"/>
              <w:ind w:right="793"/>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45.8</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389.4</w:t>
            </w:r>
          </w:p>
        </w:tc>
        <w:tc>
          <w:tcPr>
            <w:tcW w:w="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65.5</w:t>
            </w:r>
          </w:p>
        </w:tc>
      </w:tr>
      <w:tr>
        <w:trPr>
          <w:trHeight w:val="20"/>
        </w:trPr>
        <w:tc>
          <w:tcPr>
            <w:tcW w:w="5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5160" w:type="dxa"/>
            <w:vAlign w:val="bottom"/>
            <w:shd w:val="clear" w:color="auto" w:fill="E2EEF6"/>
          </w:tcPr>
          <w:p>
            <w:pPr>
              <w:spacing w:after="0"/>
              <w:rPr>
                <w:sz w:val="18"/>
                <w:szCs w:val="18"/>
                <w:color w:val="auto"/>
              </w:rPr>
            </w:pPr>
          </w:p>
        </w:tc>
        <w:tc>
          <w:tcPr>
            <w:tcW w:w="920" w:type="dxa"/>
            <w:vAlign w:val="bottom"/>
            <w:shd w:val="clear" w:color="auto" w:fill="E2EEF6"/>
          </w:tcPr>
          <w:p>
            <w:pPr>
              <w:spacing w:after="0"/>
              <w:rPr>
                <w:sz w:val="18"/>
                <w:szCs w:val="18"/>
                <w:color w:val="auto"/>
              </w:rPr>
            </w:pPr>
          </w:p>
        </w:tc>
        <w:tc>
          <w:tcPr>
            <w:tcW w:w="460" w:type="dxa"/>
            <w:vAlign w:val="bottom"/>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80" w:type="dxa"/>
            <w:vAlign w:val="bottom"/>
            <w:shd w:val="clear" w:color="auto" w:fill="E2EEF6"/>
          </w:tcPr>
          <w:p>
            <w:pPr>
              <w:spacing w:after="0"/>
              <w:rPr>
                <w:sz w:val="18"/>
                <w:szCs w:val="18"/>
                <w:color w:val="auto"/>
              </w:rPr>
            </w:pPr>
          </w:p>
        </w:tc>
        <w:tc>
          <w:tcPr>
            <w:tcW w:w="960" w:type="dxa"/>
            <w:vAlign w:val="bottom"/>
            <w:shd w:val="clear" w:color="auto" w:fill="E2EEF6"/>
          </w:tcPr>
          <w:p>
            <w:pPr>
              <w:spacing w:after="0"/>
              <w:rPr>
                <w:sz w:val="18"/>
                <w:szCs w:val="18"/>
                <w:color w:val="auto"/>
              </w:rPr>
            </w:pPr>
          </w:p>
        </w:tc>
        <w:tc>
          <w:tcPr>
            <w:tcW w:w="420" w:type="dxa"/>
            <w:vAlign w:val="bottom"/>
            <w:shd w:val="clear" w:color="auto" w:fill="E2EEF6"/>
          </w:tcPr>
          <w:p>
            <w:pPr>
              <w:spacing w:after="0"/>
              <w:rPr>
                <w:sz w:val="18"/>
                <w:szCs w:val="18"/>
                <w:color w:val="auto"/>
              </w:rPr>
            </w:pPr>
          </w:p>
        </w:tc>
        <w:tc>
          <w:tcPr>
            <w:tcW w:w="220" w:type="dxa"/>
            <w:vAlign w:val="bottom"/>
            <w:shd w:val="clear" w:color="auto" w:fill="E2EEF6"/>
          </w:tcPr>
          <w:p>
            <w:pPr>
              <w:spacing w:after="0"/>
              <w:rPr>
                <w:sz w:val="18"/>
                <w:szCs w:val="18"/>
                <w:color w:val="auto"/>
              </w:rPr>
            </w:pPr>
          </w:p>
        </w:tc>
        <w:tc>
          <w:tcPr>
            <w:tcW w:w="300" w:type="dxa"/>
            <w:vAlign w:val="bottom"/>
            <w:shd w:val="clear" w:color="auto" w:fill="E2EEF6"/>
          </w:tcPr>
          <w:p>
            <w:pPr>
              <w:spacing w:after="0"/>
              <w:rPr>
                <w:sz w:val="18"/>
                <w:szCs w:val="18"/>
                <w:color w:val="auto"/>
              </w:rPr>
            </w:pPr>
          </w:p>
        </w:tc>
        <w:tc>
          <w:tcPr>
            <w:tcW w:w="1060" w:type="dxa"/>
            <w:vAlign w:val="bottom"/>
            <w:shd w:val="clear" w:color="auto" w:fill="E2EEF6"/>
          </w:tcPr>
          <w:p>
            <w:pPr>
              <w:spacing w:after="0"/>
              <w:rPr>
                <w:sz w:val="18"/>
                <w:szCs w:val="18"/>
                <w:color w:val="auto"/>
              </w:rPr>
            </w:pPr>
          </w:p>
        </w:tc>
        <w:tc>
          <w:tcPr>
            <w:tcW w:w="140" w:type="dxa"/>
            <w:vAlign w:val="bottom"/>
            <w:shd w:val="clear" w:color="auto" w:fill="E2EEF6"/>
          </w:tcPr>
          <w:p>
            <w:pPr>
              <w:spacing w:after="0"/>
              <w:rPr>
                <w:sz w:val="18"/>
                <w:szCs w:val="18"/>
                <w:color w:val="auto"/>
              </w:rPr>
            </w:pPr>
          </w:p>
        </w:tc>
        <w:tc>
          <w:tcPr>
            <w:tcW w:w="80" w:type="dxa"/>
            <w:vAlign w:val="bottom"/>
            <w:shd w:val="clear" w:color="auto" w:fill="E2EEF6"/>
          </w:tcPr>
          <w:p>
            <w:pPr>
              <w:spacing w:after="0"/>
              <w:rPr>
                <w:sz w:val="18"/>
                <w:szCs w:val="18"/>
                <w:color w:val="auto"/>
              </w:rPr>
            </w:pPr>
          </w:p>
        </w:tc>
        <w:tc>
          <w:tcPr>
            <w:tcW w:w="320" w:type="dxa"/>
            <w:vAlign w:val="bottom"/>
            <w:shd w:val="clear" w:color="auto" w:fill="E2EEF6"/>
          </w:tcPr>
          <w:p>
            <w:pPr>
              <w:spacing w:after="0"/>
              <w:rPr>
                <w:sz w:val="18"/>
                <w:szCs w:val="18"/>
                <w:color w:val="auto"/>
              </w:rPr>
            </w:pPr>
          </w:p>
        </w:tc>
        <w:tc>
          <w:tcPr>
            <w:tcW w:w="1040" w:type="dxa"/>
            <w:vAlign w:val="bottom"/>
            <w:shd w:val="clear" w:color="auto" w:fill="E2EEF6"/>
          </w:tcPr>
          <w:p>
            <w:pPr>
              <w:spacing w:after="0"/>
              <w:rPr>
                <w:sz w:val="18"/>
                <w:szCs w:val="18"/>
                <w:color w:val="auto"/>
              </w:rPr>
            </w:pPr>
          </w:p>
        </w:tc>
        <w:tc>
          <w:tcPr>
            <w:tcW w:w="100" w:type="dxa"/>
            <w:vAlign w:val="bottom"/>
            <w:shd w:val="clear" w:color="auto" w:fill="E2EEF6"/>
          </w:tcPr>
          <w:p>
            <w:pPr>
              <w:spacing w:after="0"/>
              <w:rPr>
                <w:sz w:val="18"/>
                <w:szCs w:val="18"/>
                <w:color w:val="auto"/>
              </w:rPr>
            </w:pPr>
          </w:p>
        </w:tc>
      </w:tr>
      <w:tr>
        <w:trPr>
          <w:trHeight w:val="235"/>
        </w:trPr>
        <w:tc>
          <w:tcPr>
            <w:tcW w:w="5160" w:type="dxa"/>
            <w:vAlign w:val="bottom"/>
          </w:tcPr>
          <w:p>
            <w:pPr>
              <w:spacing w:after="0"/>
              <w:rPr>
                <w:sz w:val="20"/>
                <w:szCs w:val="20"/>
                <w:color w:val="auto"/>
              </w:rPr>
            </w:pPr>
            <w:r>
              <w:rPr>
                <w:rFonts w:ascii="Arial" w:cs="Arial" w:eastAsia="Arial" w:hAnsi="Arial"/>
                <w:sz w:val="17"/>
                <w:szCs w:val="17"/>
                <w:color w:val="auto"/>
              </w:rPr>
              <w:t>Basic Earnings Per Share</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160" w:type="dxa"/>
            <w:vAlign w:val="bottom"/>
            <w:shd w:val="clear" w:color="auto" w:fill="E2EEF6"/>
          </w:tcPr>
          <w:p>
            <w:pPr>
              <w:ind w:left="160"/>
              <w:spacing w:after="0"/>
              <w:rPr>
                <w:sz w:val="20"/>
                <w:szCs w:val="20"/>
                <w:color w:val="auto"/>
              </w:rPr>
            </w:pPr>
            <w:r>
              <w:rPr>
                <w:rFonts w:ascii="Arial" w:cs="Arial" w:eastAsia="Arial" w:hAnsi="Arial"/>
                <w:sz w:val="17"/>
                <w:szCs w:val="17"/>
                <w:color w:val="auto"/>
              </w:rPr>
              <w:t>As Reported</w:t>
            </w:r>
          </w:p>
        </w:tc>
        <w:tc>
          <w:tcPr>
            <w:tcW w:w="920" w:type="dxa"/>
            <w:vAlign w:val="bottom"/>
            <w:shd w:val="clear" w:color="auto" w:fill="E2EEF6"/>
          </w:tcPr>
          <w:p>
            <w:pPr>
              <w:jc w:val="right"/>
              <w:ind w:right="76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0.93</w:t>
            </w:r>
          </w:p>
        </w:tc>
        <w:tc>
          <w:tcPr>
            <w:tcW w:w="1040" w:type="dxa"/>
            <w:vAlign w:val="bottom"/>
            <w:gridSpan w:val="2"/>
            <w:shd w:val="clear" w:color="auto" w:fill="E2EEF6"/>
          </w:tcPr>
          <w:p>
            <w:pPr>
              <w:jc w:val="right"/>
              <w:ind w:right="793"/>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0.15</w:t>
            </w:r>
          </w:p>
        </w:tc>
        <w:tc>
          <w:tcPr>
            <w:tcW w:w="300" w:type="dxa"/>
            <w:vAlign w:val="bottom"/>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1.21</w:t>
            </w:r>
          </w:p>
        </w:tc>
        <w:tc>
          <w:tcPr>
            <w:tcW w:w="400" w:type="dxa"/>
            <w:vAlign w:val="bottom"/>
            <w:gridSpan w:val="2"/>
            <w:shd w:val="clear" w:color="auto" w:fill="E2EEF6"/>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0.22</w:t>
            </w:r>
          </w:p>
        </w:tc>
      </w:tr>
      <w:tr>
        <w:trPr>
          <w:trHeight w:val="235"/>
        </w:trPr>
        <w:tc>
          <w:tcPr>
            <w:tcW w:w="5160" w:type="dxa"/>
            <w:vAlign w:val="bottom"/>
          </w:tcPr>
          <w:p>
            <w:pPr>
              <w:ind w:left="160"/>
              <w:spacing w:after="0"/>
              <w:rPr>
                <w:sz w:val="20"/>
                <w:szCs w:val="20"/>
                <w:color w:val="auto"/>
              </w:rPr>
            </w:pPr>
            <w:r>
              <w:rPr>
                <w:rFonts w:ascii="Arial" w:cs="Arial" w:eastAsia="Arial" w:hAnsi="Arial"/>
                <w:sz w:val="17"/>
                <w:szCs w:val="17"/>
                <w:color w:val="auto"/>
              </w:rPr>
              <w:t>Pro Forma</w:t>
            </w:r>
          </w:p>
        </w:tc>
        <w:tc>
          <w:tcPr>
            <w:tcW w:w="92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0.92</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0.14</w:t>
            </w:r>
          </w:p>
        </w:tc>
        <w:tc>
          <w:tcPr>
            <w:tcW w:w="3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1.20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0.20</w:t>
            </w:r>
          </w:p>
        </w:tc>
      </w:tr>
      <w:tr>
        <w:trPr>
          <w:trHeight w:val="236"/>
        </w:trPr>
        <w:tc>
          <w:tcPr>
            <w:tcW w:w="5160" w:type="dxa"/>
            <w:vAlign w:val="bottom"/>
            <w:shd w:val="clear" w:color="auto" w:fill="E2EEF6"/>
          </w:tcPr>
          <w:p>
            <w:pPr>
              <w:spacing w:after="0"/>
              <w:rPr>
                <w:sz w:val="20"/>
                <w:szCs w:val="20"/>
                <w:color w:val="auto"/>
              </w:rPr>
            </w:pPr>
          </w:p>
        </w:tc>
        <w:tc>
          <w:tcPr>
            <w:tcW w:w="920" w:type="dxa"/>
            <w:vAlign w:val="bottom"/>
            <w:shd w:val="clear" w:color="auto" w:fill="E2EEF6"/>
          </w:tcPr>
          <w:p>
            <w:pPr>
              <w:spacing w:after="0"/>
              <w:rPr>
                <w:sz w:val="20"/>
                <w:szCs w:val="20"/>
                <w:color w:val="auto"/>
              </w:rPr>
            </w:pPr>
          </w:p>
        </w:tc>
        <w:tc>
          <w:tcPr>
            <w:tcW w:w="46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960" w:type="dxa"/>
            <w:vAlign w:val="bottom"/>
            <w:shd w:val="clear" w:color="auto" w:fill="E2EEF6"/>
          </w:tcPr>
          <w:p>
            <w:pPr>
              <w:spacing w:after="0"/>
              <w:rPr>
                <w:sz w:val="20"/>
                <w:szCs w:val="20"/>
                <w:color w:val="auto"/>
              </w:rPr>
            </w:pPr>
          </w:p>
        </w:tc>
        <w:tc>
          <w:tcPr>
            <w:tcW w:w="4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320" w:type="dxa"/>
            <w:vAlign w:val="bottom"/>
            <w:shd w:val="clear" w:color="auto" w:fill="E2EEF6"/>
          </w:tcPr>
          <w:p>
            <w:pPr>
              <w:spacing w:after="0"/>
              <w:rPr>
                <w:sz w:val="20"/>
                <w:szCs w:val="20"/>
                <w:color w:val="auto"/>
              </w:rPr>
            </w:pPr>
          </w:p>
        </w:tc>
        <w:tc>
          <w:tcPr>
            <w:tcW w:w="104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5"/>
        </w:trPr>
        <w:tc>
          <w:tcPr>
            <w:tcW w:w="5160" w:type="dxa"/>
            <w:vAlign w:val="bottom"/>
          </w:tcPr>
          <w:p>
            <w:pPr>
              <w:spacing w:after="0"/>
              <w:rPr>
                <w:sz w:val="20"/>
                <w:szCs w:val="20"/>
                <w:color w:val="auto"/>
              </w:rPr>
            </w:pPr>
            <w:r>
              <w:rPr>
                <w:rFonts w:ascii="Arial" w:cs="Arial" w:eastAsia="Arial" w:hAnsi="Arial"/>
                <w:sz w:val="17"/>
                <w:szCs w:val="17"/>
                <w:color w:val="auto"/>
              </w:rPr>
              <w:t>Diluted Earnings Per Share</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160" w:type="dxa"/>
            <w:vAlign w:val="bottom"/>
            <w:shd w:val="clear" w:color="auto" w:fill="E2EEF6"/>
          </w:tcPr>
          <w:p>
            <w:pPr>
              <w:ind w:left="160"/>
              <w:spacing w:after="0"/>
              <w:rPr>
                <w:sz w:val="20"/>
                <w:szCs w:val="20"/>
                <w:color w:val="auto"/>
              </w:rPr>
            </w:pPr>
            <w:r>
              <w:rPr>
                <w:rFonts w:ascii="Arial" w:cs="Arial" w:eastAsia="Arial" w:hAnsi="Arial"/>
                <w:sz w:val="17"/>
                <w:szCs w:val="17"/>
                <w:color w:val="auto"/>
              </w:rPr>
              <w:t>As Reported</w:t>
            </w:r>
          </w:p>
        </w:tc>
        <w:tc>
          <w:tcPr>
            <w:tcW w:w="920" w:type="dxa"/>
            <w:vAlign w:val="bottom"/>
            <w:shd w:val="clear" w:color="auto" w:fill="E2EEF6"/>
          </w:tcPr>
          <w:p>
            <w:pPr>
              <w:jc w:val="right"/>
              <w:ind w:right="76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0.90</w:t>
            </w:r>
          </w:p>
        </w:tc>
        <w:tc>
          <w:tcPr>
            <w:tcW w:w="1040" w:type="dxa"/>
            <w:vAlign w:val="bottom"/>
            <w:gridSpan w:val="2"/>
            <w:shd w:val="clear" w:color="auto" w:fill="E2EEF6"/>
          </w:tcPr>
          <w:p>
            <w:pPr>
              <w:jc w:val="right"/>
              <w:ind w:right="793"/>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0.15</w:t>
            </w:r>
          </w:p>
        </w:tc>
        <w:tc>
          <w:tcPr>
            <w:tcW w:w="300" w:type="dxa"/>
            <w:vAlign w:val="bottom"/>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1.18</w:t>
            </w:r>
          </w:p>
        </w:tc>
        <w:tc>
          <w:tcPr>
            <w:tcW w:w="400" w:type="dxa"/>
            <w:vAlign w:val="bottom"/>
            <w:gridSpan w:val="2"/>
            <w:shd w:val="clear" w:color="auto" w:fill="E2EEF6"/>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0.22</w:t>
            </w:r>
          </w:p>
        </w:tc>
      </w:tr>
      <w:tr>
        <w:trPr>
          <w:trHeight w:val="235"/>
        </w:trPr>
        <w:tc>
          <w:tcPr>
            <w:tcW w:w="5160" w:type="dxa"/>
            <w:vAlign w:val="bottom"/>
          </w:tcPr>
          <w:p>
            <w:pPr>
              <w:ind w:left="160"/>
              <w:spacing w:after="0"/>
              <w:rPr>
                <w:sz w:val="20"/>
                <w:szCs w:val="20"/>
                <w:color w:val="auto"/>
              </w:rPr>
            </w:pPr>
            <w:r>
              <w:rPr>
                <w:rFonts w:ascii="Arial" w:cs="Arial" w:eastAsia="Arial" w:hAnsi="Arial"/>
                <w:sz w:val="17"/>
                <w:szCs w:val="17"/>
                <w:color w:val="auto"/>
              </w:rPr>
              <w:t>Pro Forma</w:t>
            </w:r>
          </w:p>
        </w:tc>
        <w:tc>
          <w:tcPr>
            <w:tcW w:w="92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0.89</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0.14</w:t>
            </w:r>
          </w:p>
        </w:tc>
        <w:tc>
          <w:tcPr>
            <w:tcW w:w="3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1.17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0.20</w:t>
            </w:r>
          </w:p>
        </w:tc>
      </w:tr>
    </w:tbl>
    <w:p>
      <w:pPr>
        <w:spacing w:after="0" w:line="250" w:lineRule="exact"/>
        <w:rPr>
          <w:sz w:val="20"/>
          <w:szCs w:val="20"/>
          <w:color w:val="auto"/>
        </w:rPr>
      </w:pPr>
    </w:p>
    <w:p>
      <w:pPr>
        <w:jc w:val="both"/>
        <w:ind w:firstLine="628"/>
        <w:spacing w:after="0" w:line="282" w:lineRule="auto"/>
        <w:rPr>
          <w:sz w:val="20"/>
          <w:szCs w:val="20"/>
          <w:color w:val="auto"/>
        </w:rPr>
      </w:pPr>
      <w:r>
        <w:rPr>
          <w:rFonts w:ascii="Arial" w:cs="Arial" w:eastAsia="Arial" w:hAnsi="Arial"/>
          <w:sz w:val="16"/>
          <w:szCs w:val="16"/>
          <w:i w:val="1"/>
          <w:iCs w:val="1"/>
          <w:color w:val="auto"/>
        </w:rPr>
        <w:t>New Accounting Pronouncements</w:t>
      </w:r>
      <w:r>
        <w:rPr>
          <w:rFonts w:ascii="Arial" w:cs="Arial" w:eastAsia="Arial" w:hAnsi="Arial"/>
          <w:sz w:val="16"/>
          <w:szCs w:val="16"/>
          <w:color w:val="auto"/>
        </w:rPr>
        <w:t>—In May 2005, the FASB issued SFAS 154,</w:t>
      </w:r>
      <w:r>
        <w:rPr>
          <w:rFonts w:ascii="Arial" w:cs="Arial" w:eastAsia="Arial" w:hAnsi="Arial"/>
          <w:sz w:val="16"/>
          <w:szCs w:val="16"/>
          <w:i w:val="1"/>
          <w:iCs w:val="1"/>
          <w:color w:val="auto"/>
        </w:rPr>
        <w:t xml:space="preserve"> “Accounting Changes and Error Corrections,”</w:t>
      </w:r>
      <w:r>
        <w:rPr>
          <w:rFonts w:ascii="Arial" w:cs="Arial" w:eastAsia="Arial" w:hAnsi="Arial"/>
          <w:sz w:val="16"/>
          <w:szCs w:val="16"/>
          <w:color w:val="auto"/>
        </w:rPr>
        <w:t>which requires retrospective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application to all prior period financial statements presented for voluntary changes in accounting principle unless it is impracticable. This statement replaces APB 20, </w:t>
      </w:r>
      <w:r>
        <w:rPr>
          <w:rFonts w:ascii="Arial" w:cs="Arial" w:eastAsia="Arial" w:hAnsi="Arial"/>
          <w:sz w:val="16"/>
          <w:szCs w:val="16"/>
          <w:i w:val="1"/>
          <w:iCs w:val="1"/>
          <w:color w:val="auto"/>
        </w:rPr>
        <w:t>Accounting Changes</w:t>
      </w:r>
      <w:r>
        <w:rPr>
          <w:rFonts w:ascii="Arial" w:cs="Arial" w:eastAsia="Arial" w:hAnsi="Arial"/>
          <w:sz w:val="16"/>
          <w:szCs w:val="16"/>
          <w:color w:val="auto"/>
        </w:rPr>
        <w:t xml:space="preserve">, and SFAS 3, </w:t>
      </w:r>
      <w:r>
        <w:rPr>
          <w:rFonts w:ascii="Arial" w:cs="Arial" w:eastAsia="Arial" w:hAnsi="Arial"/>
          <w:sz w:val="16"/>
          <w:szCs w:val="16"/>
          <w:i w:val="1"/>
          <w:iCs w:val="1"/>
          <w:color w:val="auto"/>
        </w:rPr>
        <w:t>Reporting Accounting Changes in Interim Financial Statements</w:t>
      </w:r>
      <w:r>
        <w:rPr>
          <w:rFonts w:ascii="Arial" w:cs="Arial" w:eastAsia="Arial" w:hAnsi="Arial"/>
          <w:sz w:val="16"/>
          <w:szCs w:val="16"/>
          <w:color w:val="auto"/>
        </w:rPr>
        <w:t>, though it carries forward the guidance in those pronouncements with respect to accounting for changes in estimates, changes in reporting entity and the correction of errors. SFAS 154 is effective for accounting changes and corrections of errors made in fiscal years beginning after December 15, 2005. We will adopt SFAS 154 effective January 1, 2006, and we do not expect the adoption of this statement to have an impact on our consolidated financial position, results of operations or cash flows.</w:t>
      </w:r>
    </w:p>
    <w:p>
      <w:pPr>
        <w:spacing w:after="0" w:line="220" w:lineRule="exact"/>
        <w:rPr>
          <w:sz w:val="20"/>
          <w:szCs w:val="20"/>
          <w:color w:val="auto"/>
        </w:rPr>
      </w:pPr>
    </w:p>
    <w:p>
      <w:pPr>
        <w:jc w:val="both"/>
        <w:ind w:firstLine="628"/>
        <w:spacing w:after="0" w:line="285" w:lineRule="auto"/>
        <w:rPr>
          <w:sz w:val="20"/>
          <w:szCs w:val="20"/>
          <w:color w:val="auto"/>
        </w:rPr>
      </w:pPr>
      <w:r>
        <w:rPr>
          <w:rFonts w:ascii="Arial" w:cs="Arial" w:eastAsia="Arial" w:hAnsi="Arial"/>
          <w:sz w:val="16"/>
          <w:szCs w:val="16"/>
          <w:color w:val="auto"/>
        </w:rPr>
        <w:t xml:space="preserve">In December 2004, the FASB issued SFAS 123 (revised 2004)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which is a revision of SFAS 123,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Stock-Based Compensation</w:t>
      </w:r>
      <w:r>
        <w:rPr>
          <w:rFonts w:ascii="Arial" w:cs="Arial" w:eastAsia="Arial" w:hAnsi="Arial"/>
          <w:sz w:val="16"/>
          <w:szCs w:val="16"/>
          <w:color w:val="auto"/>
        </w:rPr>
        <w:t>. SFAS 123(R) supersedes APB 25,</w:t>
      </w:r>
      <w:r>
        <w:rPr>
          <w:rFonts w:ascii="Arial" w:cs="Arial" w:eastAsia="Arial" w:hAnsi="Arial"/>
          <w:sz w:val="16"/>
          <w:szCs w:val="16"/>
          <w:i w:val="1"/>
          <w:iCs w:val="1"/>
          <w:color w:val="auto"/>
        </w:rPr>
        <w:t xml:space="preserve"> Accounting for Stock Issued to Employees</w:t>
      </w:r>
      <w:r>
        <w:rPr>
          <w:rFonts w:ascii="Arial" w:cs="Arial" w:eastAsia="Arial" w:hAnsi="Arial"/>
          <w:sz w:val="16"/>
          <w:szCs w:val="16"/>
          <w:color w:val="auto"/>
        </w:rPr>
        <w:t>, and amends SFAS 95,</w:t>
      </w:r>
      <w:r>
        <w:rPr>
          <w:rFonts w:ascii="Arial" w:cs="Arial" w:eastAsia="Arial" w:hAnsi="Arial"/>
          <w:sz w:val="16"/>
          <w:szCs w:val="16"/>
          <w:i w:val="1"/>
          <w:iCs w:val="1"/>
          <w:color w:val="auto"/>
        </w:rPr>
        <w:t xml:space="preserve"> Statement of Cash Flows</w:t>
      </w:r>
      <w:r>
        <w:rPr>
          <w:rFonts w:ascii="Arial" w:cs="Arial" w:eastAsia="Arial" w:hAnsi="Arial"/>
          <w:sz w:val="16"/>
          <w:szCs w:val="16"/>
          <w:color w:val="auto"/>
        </w:rPr>
        <w:t>. While</w:t>
      </w:r>
      <w:r>
        <w:rPr>
          <w:rFonts w:ascii="Arial" w:cs="Arial" w:eastAsia="Arial" w:hAnsi="Arial"/>
          <w:sz w:val="16"/>
          <w:szCs w:val="16"/>
          <w:i w:val="1"/>
          <w:iCs w:val="1"/>
          <w:color w:val="auto"/>
        </w:rPr>
        <w:t xml:space="preserve"> </w:t>
      </w:r>
      <w:r>
        <w:rPr>
          <w:rFonts w:ascii="Arial" w:cs="Arial" w:eastAsia="Arial" w:hAnsi="Arial"/>
          <w:sz w:val="16"/>
          <w:szCs w:val="16"/>
          <w:color w:val="auto"/>
        </w:rPr>
        <w:t>the approach in SFAS 123(R) is similar to the approach described in SFAS 123, SFAS 123(R) requires recognition in the income statement of all share-based payments to employees, including grants of employee stock options, based on their fair values, and pro forma disclosure is no longer an alternative. The SEC has deferred the implementation date, and we are now required to adopt SFAS 123(R) no later than January 1, 2006.</w:t>
      </w:r>
    </w:p>
    <w:p>
      <w:pPr>
        <w:spacing w:after="0" w:line="216" w:lineRule="exact"/>
        <w:rPr>
          <w:sz w:val="20"/>
          <w:szCs w:val="20"/>
          <w:color w:val="auto"/>
        </w:rPr>
      </w:pPr>
    </w:p>
    <w:p>
      <w:pPr>
        <w:jc w:val="both"/>
        <w:ind w:firstLine="628"/>
        <w:spacing w:after="0" w:line="285" w:lineRule="auto"/>
        <w:rPr>
          <w:sz w:val="20"/>
          <w:szCs w:val="20"/>
          <w:color w:val="auto"/>
        </w:rPr>
      </w:pPr>
      <w:r>
        <w:rPr>
          <w:rFonts w:ascii="Arial" w:cs="Arial" w:eastAsia="Arial" w:hAnsi="Arial"/>
          <w:sz w:val="16"/>
          <w:szCs w:val="16"/>
          <w:color w:val="auto"/>
        </w:rPr>
        <w:t>SFAS 123(R) permits adoption using one of two methods, a modified prospective method (“Prospective Method”) or a modified retrospective method (“Retrospective Method”). With the Prospective Method, costs are recognized beginning with the effective date based on the requirements of SFAS 123(R) for (i) all share-based payments granted after the effective date of SFAS 123(R), and (ii) all awards granted to employees prior to the effective date of SFAS 123(R) that remain unvested on the effective date. The Retrospective Method applies the requirements of the Prospective Method but further permits entities to restate all prior periods presented based on the amounts previously recognized under SFAS 123 for purposes of pro forma disclosures.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TRANSOCEAN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63" w:lineRule="exact"/>
        <w:rPr>
          <w:sz w:val="20"/>
          <w:szCs w:val="20"/>
          <w:color w:val="auto"/>
        </w:rPr>
      </w:pPr>
    </w:p>
    <w:p>
      <w:pPr>
        <w:jc w:val="both"/>
        <w:ind w:firstLine="628"/>
        <w:spacing w:after="0" w:line="296" w:lineRule="auto"/>
        <w:rPr>
          <w:sz w:val="20"/>
          <w:szCs w:val="20"/>
          <w:color w:val="auto"/>
        </w:rPr>
      </w:pPr>
      <w:r>
        <w:rPr>
          <w:rFonts w:ascii="Arial" w:cs="Arial" w:eastAsia="Arial" w:hAnsi="Arial"/>
          <w:sz w:val="15"/>
          <w:szCs w:val="15"/>
          <w:color w:val="auto"/>
        </w:rPr>
        <w:t xml:space="preserve">Although we will adopt SFAS 123(R) effective January 1, 2006, we have not yet determined which method we will use. We adopted the fair-value-based method of accounting for share-based payments effective January 1, 2003 using the modified prospective method as described in SFAS 148, </w:t>
      </w:r>
      <w:r>
        <w:rPr>
          <w:rFonts w:ascii="Arial" w:cs="Arial" w:eastAsia="Arial" w:hAnsi="Arial"/>
          <w:sz w:val="15"/>
          <w:szCs w:val="15"/>
          <w:i w:val="1"/>
          <w:iCs w:val="1"/>
          <w:color w:val="auto"/>
        </w:rPr>
        <w:t>Accounting for Stock-Based Compensation</w:t>
      </w:r>
      <w:r>
        <w:rPr>
          <w:rFonts w:ascii="Arial" w:cs="Arial" w:eastAsia="Arial" w:hAnsi="Arial"/>
          <w:sz w:val="15"/>
          <w:szCs w:val="15"/>
          <w:color w:val="auto"/>
        </w:rPr>
        <w:t>―</w:t>
      </w:r>
      <w:r>
        <w:rPr>
          <w:rFonts w:ascii="Arial" w:cs="Arial" w:eastAsia="Arial" w:hAnsi="Arial"/>
          <w:sz w:val="15"/>
          <w:szCs w:val="15"/>
          <w:i w:val="1"/>
          <w:iCs w:val="1"/>
          <w:color w:val="auto"/>
        </w:rPr>
        <w:t>Transition and Disclosure</w:t>
      </w:r>
      <w:r>
        <w:rPr>
          <w:rFonts w:ascii="Arial" w:cs="Arial" w:eastAsia="Arial" w:hAnsi="Arial"/>
          <w:sz w:val="15"/>
          <w:szCs w:val="15"/>
          <w:color w:val="auto"/>
        </w:rPr>
        <w:t>. While we currently use the Black-Scholes-Merton formula to estimate the value of stock options granted to</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employees, which is an acceptable share-based award valuation model, we may choose some other model that is also acceptable in determining fair value of stock awards upon adoption of SFAS 123(R). Because SFAS 123(R) must be applied to unvested awards granted and accounted for under APB 25, any additional compensation costs not previously recognized under SFAS 123 will be recognized under SFAS 123(R). Our unvested APB 25 options will vest in the third quarter of 2005. If we adopt SFAS 123(R) using the Prospective Method, there would be no impact on our consolidated financial position, results of operations or cash flows. If we adopt using the Retrospective Method, the impact of those amounts would approximate the amounts described in our pro forma net income and earnings per share disclosure (see “―Stock-Based Compensation”). In addition to the compensation cost recognition requirements, SFAS 123(R) also requires the tax deduction benefits for an award in excess of recognized compensation cost be reported as a financing cash flow rather than as an operating cash flow, which is currently required under SFAS 95. While we cannot estimate what these amounts will be in the future (because they depend on, among other things, when employees exercise stock options), we reported operating cash flows related to tax deduction benefits of $5.7 million and $4.9 million for the three and six months ended June 30, 2005, respectively. We reported operating cash flows related to the tax deduction benefits of $5.9 million for the year ended December 31, 2004.</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Reclassifications</w:t>
      </w:r>
      <w:r>
        <w:rPr>
          <w:rFonts w:ascii="Arial" w:cs="Arial" w:eastAsia="Arial" w:hAnsi="Arial"/>
          <w:sz w:val="17"/>
          <w:szCs w:val="17"/>
          <w:color w:val="auto"/>
        </w:rPr>
        <w:t>—Certain reclassifications have been made to prior period amounts to conform with the current period’s presentation.</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w:t>
      </w:r>
      <w:r>
        <w:rPr>
          <w:rFonts w:ascii="Arial" w:cs="Arial" w:eastAsia="Arial" w:hAnsi="Arial"/>
          <w:sz w:val="17"/>
          <w:szCs w:val="17"/>
          <w:color w:val="auto"/>
        </w:rPr>
        <w:t>―</w:t>
      </w:r>
      <w:r>
        <w:rPr>
          <w:rFonts w:ascii="Arial" w:cs="Arial" w:eastAsia="Arial" w:hAnsi="Arial"/>
          <w:sz w:val="17"/>
          <w:szCs w:val="17"/>
          <w:b w:val="1"/>
          <w:bCs w:val="1"/>
          <w:color w:val="auto"/>
        </w:rPr>
        <w:t>TODCO Stock Sales</w:t>
      </w:r>
    </w:p>
    <w:p>
      <w:pPr>
        <w:spacing w:after="0" w:line="281"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color w:val="auto"/>
        </w:rPr>
        <w:t>We sold 12.0 million shares of TODCO’s class A common stock, representing 20 percent of TODCO’s total outstanding shares, at $20.50 per share in the May Offering. We sold our remaining 1.3 million shares of TODCO’s class A common stock, representing 2 percent of TODCO’s total outstanding shares, at $23.57 per share in the June Sale. We received net proceeds of $271.9 million from the 2005 Offering and Sale and recognized a gain of $165.0 million ($0.49 per diluted share), which had no tax effect, in the second quarter of 2005 and represented the excess of net proceeds received over the net book value of the shares sold in the 2005 Offering and Sale.</w:t>
      </w:r>
    </w:p>
    <w:p>
      <w:pPr>
        <w:spacing w:after="0" w:line="233"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In February 2004, we completed the TODCO IPO in which we sold 13.8 million shares of TODCO’s class A common stock, representing 23 percent of TODCO’s total outstanding shares, at $12.00 per share. We received net proceeds of $155.7 million from the TODCO IPO and recognized a gain of $39.4 million ($0.12 per diluted share), which had no tax effect, in the first quarter of 2004 and represented the excess of net proceeds received over the net book value of the shares sold in the TODCO IPO.</w:t>
      </w:r>
    </w:p>
    <w:p>
      <w:pPr>
        <w:spacing w:after="0" w:line="229" w:lineRule="exact"/>
        <w:rPr>
          <w:sz w:val="20"/>
          <w:szCs w:val="20"/>
          <w:color w:val="auto"/>
        </w:rPr>
      </w:pPr>
    </w:p>
    <w:p>
      <w:pPr>
        <w:jc w:val="both"/>
        <w:ind w:firstLine="628"/>
        <w:spacing w:after="0" w:line="262" w:lineRule="auto"/>
        <w:rPr>
          <w:sz w:val="20"/>
          <w:szCs w:val="20"/>
          <w:color w:val="auto"/>
        </w:rPr>
      </w:pPr>
      <w:r>
        <w:rPr>
          <w:rFonts w:ascii="Arial" w:cs="Arial" w:eastAsia="Arial" w:hAnsi="Arial"/>
          <w:sz w:val="17"/>
          <w:szCs w:val="17"/>
          <w:color w:val="auto"/>
        </w:rPr>
        <w:t>In conjunction with the closing of the TODCO IPO, TODCO granted restricted stock and stock options to some of its employees under its long-term incentive plan and some of these awards vested at the time of grant. In accordance with the provisions of SFAS 123, TODCO recognized compensation expense of $5.6 million ($0.02 per Transocean’s diluted share), which had no tax effect, in the first quarter of 2004 as a result of the immediate vesting of these awards. In addition, certain of TODCO’s employees held options that were granted prior to the TODCO IPO to acquire our ordinary shares. In accordance with the employee matters agreement, these options were modified at the TODCO IPO date, which resulted in the accelerated vesting of the options and the extension of the term of the options through the original contractual life. In connection with the modification of these options, TODCO recognized additional compensation expense of $1.5 million, which had no tax effect, in the first quarter of 2004.</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TRANSOCEAN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w:t>
      </w:r>
      <w:r>
        <w:rPr>
          <w:rFonts w:ascii="Arial" w:cs="Arial" w:eastAsia="Arial" w:hAnsi="Arial"/>
          <w:sz w:val="17"/>
          <w:szCs w:val="17"/>
          <w:color w:val="auto"/>
        </w:rPr>
        <w:t>―</w:t>
      </w:r>
      <w:r>
        <w:rPr>
          <w:rFonts w:ascii="Arial" w:cs="Arial" w:eastAsia="Arial" w:hAnsi="Arial"/>
          <w:sz w:val="17"/>
          <w:szCs w:val="17"/>
          <w:b w:val="1"/>
          <w:bCs w:val="1"/>
          <w:color w:val="auto"/>
        </w:rPr>
        <w:t>Asset Acquisition, Dispositions and Retirements</w:t>
      </w:r>
    </w:p>
    <w:p>
      <w:pPr>
        <w:spacing w:after="0" w:line="281"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i w:val="1"/>
          <w:iCs w:val="1"/>
          <w:color w:val="auto"/>
        </w:rPr>
        <w:t>Asset Acquisition</w:t>
      </w:r>
      <w:r>
        <w:rPr>
          <w:rFonts w:ascii="Arial" w:cs="Arial" w:eastAsia="Arial" w:hAnsi="Arial"/>
          <w:sz w:val="17"/>
          <w:szCs w:val="17"/>
          <w:color w:val="auto"/>
        </w:rPr>
        <w:t>—In May 2005, we purchased for $42.5 million the semisubmersible rig</w:t>
      </w:r>
      <w:r>
        <w:rPr>
          <w:rFonts w:ascii="Arial" w:cs="Arial" w:eastAsia="Arial" w:hAnsi="Arial"/>
          <w:sz w:val="17"/>
          <w:szCs w:val="17"/>
          <w:i w:val="1"/>
          <w:iCs w:val="1"/>
          <w:color w:val="auto"/>
        </w:rPr>
        <w:t xml:space="preserve"> M.G. Hulme, Jr., </w:t>
      </w:r>
      <w:r>
        <w:rPr>
          <w:rFonts w:ascii="Arial" w:cs="Arial" w:eastAsia="Arial" w:hAnsi="Arial"/>
          <w:sz w:val="17"/>
          <w:szCs w:val="17"/>
          <w:color w:val="auto"/>
        </w:rPr>
        <w:t>which we had previously operated under a</w:t>
      </w:r>
      <w:r>
        <w:rPr>
          <w:rFonts w:ascii="Arial" w:cs="Arial" w:eastAsia="Arial" w:hAnsi="Arial"/>
          <w:sz w:val="17"/>
          <w:szCs w:val="17"/>
          <w:i w:val="1"/>
          <w:iCs w:val="1"/>
          <w:color w:val="auto"/>
        </w:rPr>
        <w:t xml:space="preserve"> </w:t>
      </w:r>
      <w:r>
        <w:rPr>
          <w:rFonts w:ascii="Arial" w:cs="Arial" w:eastAsia="Arial" w:hAnsi="Arial"/>
          <w:sz w:val="17"/>
          <w:szCs w:val="17"/>
          <w:color w:val="auto"/>
        </w:rPr>
        <w:t>lease arrangement. See Note 11.</w:t>
      </w:r>
    </w:p>
    <w:p>
      <w:pPr>
        <w:spacing w:after="0" w:line="211"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i w:val="1"/>
          <w:iCs w:val="1"/>
          <w:color w:val="auto"/>
        </w:rPr>
        <w:t>Asset Dispositions and Retirements</w:t>
      </w:r>
      <w:r>
        <w:rPr>
          <w:rFonts w:ascii="Arial" w:cs="Arial" w:eastAsia="Arial" w:hAnsi="Arial"/>
          <w:sz w:val="17"/>
          <w:szCs w:val="17"/>
          <w:color w:val="auto"/>
        </w:rPr>
        <w:t>—In June 2005, we sold the jackup rig</w:t>
      </w:r>
      <w:r>
        <w:rPr>
          <w:rFonts w:ascii="Arial" w:cs="Arial" w:eastAsia="Arial" w:hAnsi="Arial"/>
          <w:sz w:val="17"/>
          <w:szCs w:val="17"/>
          <w:i w:val="1"/>
          <w:iCs w:val="1"/>
          <w:color w:val="auto"/>
        </w:rPr>
        <w:t xml:space="preserve"> Transocean Jupiter </w:t>
      </w:r>
      <w:r>
        <w:rPr>
          <w:rFonts w:ascii="Arial" w:cs="Arial" w:eastAsia="Arial" w:hAnsi="Arial"/>
          <w:sz w:val="17"/>
          <w:szCs w:val="17"/>
          <w:color w:val="auto"/>
        </w:rPr>
        <w:t>and a land rig for net proceeds of $23.5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a gain of $14.0 million ($9.1 million, or $0.03 per diluted share, net of tax).</w:t>
      </w:r>
    </w:p>
    <w:p>
      <w:pPr>
        <w:spacing w:after="0" w:line="211"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 xml:space="preserve">In January 2005, we completed the sale of the semisubmersible rig </w:t>
      </w:r>
      <w:r>
        <w:rPr>
          <w:rFonts w:ascii="Arial" w:cs="Arial" w:eastAsia="Arial" w:hAnsi="Arial"/>
          <w:sz w:val="17"/>
          <w:szCs w:val="17"/>
          <w:i w:val="1"/>
          <w:iCs w:val="1"/>
          <w:color w:val="auto"/>
        </w:rPr>
        <w:t>Sedco 600</w:t>
      </w:r>
      <w:r>
        <w:rPr>
          <w:rFonts w:ascii="Arial" w:cs="Arial" w:eastAsia="Arial" w:hAnsi="Arial"/>
          <w:sz w:val="17"/>
          <w:szCs w:val="17"/>
          <w:color w:val="auto"/>
        </w:rPr>
        <w:t xml:space="preserve"> for net proceeds of $24.9 million and recognized a gain of $18.8 million ($0.06 per diluted share), which had no tax effect. At December 31, 2004, this asset was held for sale in the amount of $5.6 million and was included in other current assets in our condensed consolidated balance sheet.</w:t>
      </w:r>
    </w:p>
    <w:p>
      <w:pPr>
        <w:spacing w:after="0" w:line="225"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During the six months ended June 30, 2005, we sold certain other assets for net proceeds of approximately $12.1 million. We recorded net gains of $2.9 million ($2.1 million, or $0.01 per diluted share, net of tax).</w:t>
      </w:r>
    </w:p>
    <w:p>
      <w:pPr>
        <w:spacing w:after="0" w:line="211" w:lineRule="exact"/>
        <w:rPr>
          <w:sz w:val="20"/>
          <w:szCs w:val="20"/>
          <w:color w:val="auto"/>
        </w:rPr>
      </w:pPr>
    </w:p>
    <w:p>
      <w:pPr>
        <w:jc w:val="both"/>
        <w:ind w:firstLine="628"/>
        <w:spacing w:after="0" w:line="289" w:lineRule="auto"/>
        <w:rPr>
          <w:sz w:val="20"/>
          <w:szCs w:val="20"/>
          <w:color w:val="auto"/>
        </w:rPr>
      </w:pPr>
      <w:r>
        <w:rPr>
          <w:rFonts w:ascii="Arial" w:cs="Arial" w:eastAsia="Arial" w:hAnsi="Arial"/>
          <w:sz w:val="16"/>
          <w:szCs w:val="16"/>
          <w:color w:val="auto"/>
        </w:rPr>
        <w:t xml:space="preserve">In June 2004, in our Transocean Drilling segment, we completed the sale of a semisubmersible rig, the </w:t>
      </w:r>
      <w:r>
        <w:rPr>
          <w:rFonts w:ascii="Arial" w:cs="Arial" w:eastAsia="Arial" w:hAnsi="Arial"/>
          <w:sz w:val="16"/>
          <w:szCs w:val="16"/>
          <w:i w:val="1"/>
          <w:iCs w:val="1"/>
          <w:color w:val="auto"/>
        </w:rPr>
        <w:t>Sedco 602,</w:t>
      </w:r>
      <w:r>
        <w:rPr>
          <w:rFonts w:ascii="Arial" w:cs="Arial" w:eastAsia="Arial" w:hAnsi="Arial"/>
          <w:sz w:val="16"/>
          <w:szCs w:val="16"/>
          <w:color w:val="auto"/>
        </w:rPr>
        <w:t xml:space="preserve"> for net proceeds of $28.0 million and recognized a gain of $21.6 million ($0.07 per diluted share), which had no tax effect. During the six months ended June 30, 2004, we settled insurance claims and sold marine support vessels and certain other assets for net proceeds of approximately $14.0 million. We recorded net gains of $1.0 million ($0.6 million, net of tax) and $4.6 million ($0.01 per diluted share), which had no tax effect, in our Transocean Drilling and TODCO segments,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w:t>
      </w:r>
      <w:r>
        <w:rPr>
          <w:rFonts w:ascii="Arial" w:cs="Arial" w:eastAsia="Arial" w:hAnsi="Arial"/>
          <w:sz w:val="17"/>
          <w:szCs w:val="17"/>
          <w:color w:val="auto"/>
        </w:rPr>
        <w:t>―</w:t>
      </w:r>
      <w:r>
        <w:rPr>
          <w:rFonts w:ascii="Arial" w:cs="Arial" w:eastAsia="Arial" w:hAnsi="Arial"/>
          <w:sz w:val="17"/>
          <w:szCs w:val="17"/>
          <w:b w:val="1"/>
          <w:bCs w:val="1"/>
          <w:color w:val="auto"/>
        </w:rPr>
        <w:t>Income Taxes</w:t>
      </w:r>
    </w:p>
    <w:p>
      <w:pPr>
        <w:spacing w:after="0" w:line="281"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color w:val="auto"/>
        </w:rPr>
        <w:t>We are a Cayman Islands company registered in Barbados, and we are not subject to income tax in the Cayman Islands. Income taxes have been provided based upon the tax laws and rates in the countries in which operations are conducted and income is earned. There is no expected relationship between the provision for or benefit from income taxes and income or loss before income taxes because the countries in which we operate have taxation regimes that vary not only with respect to nominal rate, but also in terms of the availability of deductions, credits and other benefits. Variations also arise because income earned and taxed in any particular country or countries may fluctuate from year to year.</w:t>
      </w:r>
    </w:p>
    <w:p>
      <w:pPr>
        <w:spacing w:after="0" w:line="233"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 xml:space="preserve">The estimated annual effective tax rates for the six months ended June 30, 2005 and 2004, respectively, were based on estimated 2005 and 2004 annual income before income taxes and minority interest. In accordance with APB 28, </w:t>
      </w:r>
      <w:r>
        <w:rPr>
          <w:rFonts w:ascii="Arial" w:cs="Arial" w:eastAsia="Arial" w:hAnsi="Arial"/>
          <w:sz w:val="17"/>
          <w:szCs w:val="17"/>
          <w:i w:val="1"/>
          <w:iCs w:val="1"/>
          <w:color w:val="auto"/>
        </w:rPr>
        <w:t>Interim Financial Reporting,</w:t>
      </w:r>
      <w:r>
        <w:rPr>
          <w:rFonts w:ascii="Arial" w:cs="Arial" w:eastAsia="Arial" w:hAnsi="Arial"/>
          <w:sz w:val="17"/>
          <w:szCs w:val="17"/>
          <w:color w:val="auto"/>
        </w:rPr>
        <w:t xml:space="preserve"> certain items have been excluded from the estimated annual effective tax rate and treated as period items. These items included portions of net gains on sales of assets, TODCO Stock Sales-related items (see Note 3) and losses on retirements of debt (see Note 6).</w:t>
      </w:r>
    </w:p>
    <w:p>
      <w:pPr>
        <w:spacing w:after="0" w:line="229" w:lineRule="exact"/>
        <w:rPr>
          <w:sz w:val="20"/>
          <w:szCs w:val="20"/>
          <w:color w:val="auto"/>
        </w:rPr>
      </w:pPr>
    </w:p>
    <w:p>
      <w:pPr>
        <w:jc w:val="both"/>
        <w:ind w:firstLine="628"/>
        <w:spacing w:after="0" w:line="277" w:lineRule="auto"/>
        <w:rPr>
          <w:sz w:val="20"/>
          <w:szCs w:val="20"/>
          <w:color w:val="auto"/>
        </w:rPr>
      </w:pPr>
      <w:r>
        <w:rPr>
          <w:rFonts w:ascii="Arial" w:cs="Arial" w:eastAsia="Arial" w:hAnsi="Arial"/>
          <w:sz w:val="16"/>
          <w:szCs w:val="16"/>
          <w:color w:val="auto"/>
        </w:rPr>
        <w:t xml:space="preserve">Under the tax sharing agreement entered into between us and TODCO at the time of the TODCO IPO, we are entitled to receive from TODCO payment for most of the tax benefits TODCO generated prior to the TODCO IPO that they utilize subsequent to the TODCO IPO. While TODCO was included in our consolidated statements of operations and balance sheet as a consolidated subsidiary until the fourth quarter of 2004, we followed the provisions of SFAS 109, </w:t>
      </w: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which allowed us to evaluate the recoverability of the deferred tax assets associated with the tax sharing agreement considering</w:t>
      </w:r>
      <w:r>
        <w:rPr>
          <w:rFonts w:ascii="Arial" w:cs="Arial" w:eastAsia="Arial" w:hAnsi="Arial"/>
          <w:sz w:val="16"/>
          <w:szCs w:val="16"/>
          <w:i w:val="1"/>
          <w:iCs w:val="1"/>
          <w:color w:val="auto"/>
        </w:rPr>
        <w:t xml:space="preserve"> </w:t>
      </w:r>
      <w:r>
        <w:rPr>
          <w:rFonts w:ascii="Arial" w:cs="Arial" w:eastAsia="Arial" w:hAnsi="Arial"/>
          <w:sz w:val="16"/>
          <w:szCs w:val="16"/>
          <w:color w:val="auto"/>
        </w:rPr>
        <w:t>TODCO’s deferred tax liabilities. Because we no longer own shares of TODCO, TODCO is no longer included as a consolidated subsidiary in our financial statements. Future payments we receive from TODCO’s utilization of the pre-TODCO IPO deferred tax assets will be recognized in other income as those amounts are realized based on the filing of TODCO’s tax returns. We received $8.5 million and $9.7 million in estimated payments from TODCO during the six months ended June 30, 2005 related to TODCO’s expected utilization of such tax benefits for the 2004 tax year and a portion of the 2005 tax year, respectively. These amounts were deferred in other current liabilities and other long-term liabilities, respectively, in our consolidated balance sheet. We will recognize these estimated payments as other income when TODCO finalizes and files its 2004 and 2005 tax returns. Estimated tax benefits in excess of $300 million remain to be utilized by TODCO under the tax sharing agreement, although the ultimate amount and timing of the utilization is highly contingent on a variety of factors including the filing of the final 2004 Transocean tax returns, potential revisions to the tax benefits upon examination by the U.S. Internal Revenue Service ("IRS"), which is currently reviewing our 2002 and 2003 tax years, and the amount of taxable income that TODCO realizes in future years.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TRANSOCEAN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63"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6"/>
          <w:szCs w:val="16"/>
          <w:color w:val="auto"/>
        </w:rPr>
        <w:t>As a result of the deconsolidation of TODCO from our other U.S. subsidiaries for U.S. federal income tax purposes in conjunction with the TODCO IPO (see Note 3), we established an initial valuation allowance in the first quarter of 2004 of $31.0 million ($0.9 per diluted share) against the estimated deferred tax assets of TODCO in excess of its deferred tax liabilities, taking into account prudent and feasible tax planning strategies as required by SFAS 109. We adjusted the initial valuation allowance during 2004 to reflect changes in our estimate of the ultimate amount of TODCO’s deferred tax assets. An allocation of tax benefits between TODCO and our other U.S. subsidiaries will occur in 2005 upon the filing of our 2004 U.S. consolidated federal income tax return. This allocation is subject to potential revision upon subsequent IRS audit of our tax return. This final allocation of tax benefits could impact our effective tax rate for 2005 or future years as well as the ultimate amount of payments by TODCO under the tax sharing agreement.</w:t>
      </w:r>
    </w:p>
    <w:p>
      <w:pPr>
        <w:spacing w:after="0" w:line="219" w:lineRule="exact"/>
        <w:rPr>
          <w:sz w:val="20"/>
          <w:szCs w:val="20"/>
          <w:color w:val="auto"/>
        </w:rPr>
      </w:pPr>
    </w:p>
    <w:p>
      <w:pPr>
        <w:jc w:val="both"/>
        <w:ind w:firstLine="628"/>
        <w:spacing w:after="0" w:line="297" w:lineRule="auto"/>
        <w:rPr>
          <w:sz w:val="20"/>
          <w:szCs w:val="20"/>
          <w:color w:val="auto"/>
        </w:rPr>
      </w:pPr>
      <w:r>
        <w:rPr>
          <w:rFonts w:ascii="Arial" w:cs="Arial" w:eastAsia="Arial" w:hAnsi="Arial"/>
          <w:sz w:val="16"/>
          <w:szCs w:val="16"/>
          <w:color w:val="auto"/>
        </w:rPr>
        <w:t>We operate through our various subsidiaries in a number of countries throughout the world. Consequently, we are subject to changes in tax laws, treaties and regulations in and between the countries in which we operate, including treaties that the U.S. has with other nations. A material change in these tax laws, treaties or regulations, including those in and involving the U.S., could result in a higher effective tax rate on our worldwide earnings.</w:t>
      </w:r>
    </w:p>
    <w:p>
      <w:pPr>
        <w:spacing w:after="0" w:line="206" w:lineRule="exact"/>
        <w:rPr>
          <w:sz w:val="20"/>
          <w:szCs w:val="20"/>
          <w:color w:val="auto"/>
        </w:rPr>
      </w:pPr>
    </w:p>
    <w:p>
      <w:pPr>
        <w:jc w:val="both"/>
        <w:ind w:firstLine="628"/>
        <w:spacing w:after="0" w:line="282" w:lineRule="auto"/>
        <w:rPr>
          <w:sz w:val="20"/>
          <w:szCs w:val="20"/>
          <w:color w:val="auto"/>
        </w:rPr>
      </w:pPr>
      <w:r>
        <w:rPr>
          <w:rFonts w:ascii="Arial" w:cs="Arial" w:eastAsia="Arial" w:hAnsi="Arial"/>
          <w:sz w:val="16"/>
          <w:szCs w:val="16"/>
          <w:color w:val="auto"/>
        </w:rPr>
        <w:t>Our income tax returns are subject to review and examination in the various jurisdictions in which we operate. In October 2004, we received from the IRS examination reports setting forth proposed changes to the U.S. federal income tax reported for the period 1999-2000. The proposed changes total approximately $195 million, exclusive of interest. While we have agreed to certain non-material adjustments, we believe our returns are materially correct as filed and intend to defend ourselves vigorously. The IRS is currently auditing our 2002 and 2003 tax years. No examination report has been received at this time. While we cannot predict or provide assurance as to the final outcome, we do not expect the liability, if any, resulting from the proposed changes to have a material adverse effect on our consolidated financial position and results of operations although it could have such an effect on our consolidated cash flows.</w:t>
      </w:r>
    </w:p>
    <w:p>
      <w:pPr>
        <w:spacing w:after="0" w:line="220"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In September 2004, the Norwegian tax authorities initiated inquiries related to a restructuring transaction undertaken in 2001 and 2002 and a dividend payment made during 2001. In February 2005, we filed a response to these inquiries. In March 2005, pursuant to court orders, the Norwegian tax authorities took action to obtain additional information regarding these transactions. Based on these inquiries, we believe the Norwegian authorities are contemplating a tax assessment on the dividend of approximately $106 million, plus penalty and interest. No assessment has been made, and we believe such an assessment would be without merit. While we cannot predict or provide assurance as to the final outcome, we do not expect the liability, if any, resulting from the inquiry to have a material adverse effect on our consolidated financial position, results of operations and cash flows.</w:t>
      </w:r>
    </w:p>
    <w:p>
      <w:pPr>
        <w:spacing w:after="0" w:line="232" w:lineRule="exact"/>
        <w:rPr>
          <w:sz w:val="20"/>
          <w:szCs w:val="20"/>
          <w:color w:val="auto"/>
        </w:rPr>
      </w:pPr>
    </w:p>
    <w:p>
      <w:pPr>
        <w:jc w:val="both"/>
        <w:ind w:firstLine="628"/>
        <w:spacing w:after="0" w:line="289" w:lineRule="auto"/>
        <w:rPr>
          <w:sz w:val="20"/>
          <w:szCs w:val="20"/>
          <w:color w:val="auto"/>
        </w:rPr>
      </w:pPr>
      <w:r>
        <w:rPr>
          <w:rFonts w:ascii="Arial" w:cs="Arial" w:eastAsia="Arial" w:hAnsi="Arial"/>
          <w:sz w:val="16"/>
          <w:szCs w:val="16"/>
          <w:color w:val="auto"/>
        </w:rPr>
        <w:t>In addition, other tax authorities have examined the amounts of income and expense subject to tax in their jurisdiction for prior periods. We are currently contesting various non-U.S. assessments that have been asserted and would expect to contest any future U.S. or non-U.S. assessments. While we cannot predict or provide assurance as to the final outcome, we do not expect the liability, if any, resulting from existing or future assessments to have a material adverse effect on our consolidated financial position and results of operations although it may have such an effect on our consolidated cash flows.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TRANSOCEAN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w:t>
      </w:r>
      <w:r>
        <w:rPr>
          <w:rFonts w:ascii="Arial" w:cs="Arial" w:eastAsia="Arial" w:hAnsi="Arial"/>
          <w:sz w:val="17"/>
          <w:szCs w:val="17"/>
          <w:color w:val="auto"/>
        </w:rPr>
        <w:t>―</w:t>
      </w:r>
      <w:r>
        <w:rPr>
          <w:rFonts w:ascii="Arial" w:cs="Arial" w:eastAsia="Arial" w:hAnsi="Arial"/>
          <w:sz w:val="17"/>
          <w:szCs w:val="17"/>
          <w:b w:val="1"/>
          <w:bCs w:val="1"/>
          <w:color w:val="auto"/>
        </w:rPr>
        <w:t>Debt</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Debt, net of unamortized discounts, premiums and fair value adjustments, is comprised of the following (in millions):</w:t>
      </w:r>
    </w:p>
    <w:p>
      <w:pPr>
        <w:spacing w:after="0" w:line="302" w:lineRule="exact"/>
        <w:rPr>
          <w:sz w:val="20"/>
          <w:szCs w:val="20"/>
          <w:color w:val="auto"/>
        </w:rPr>
      </w:pPr>
    </w:p>
    <w:tbl>
      <w:tblPr>
        <w:tblLayout w:type="fixed"/>
        <w:tblInd w:w="240" w:type="dxa"/>
        <w:tblCellMar>
          <w:top w:w="0" w:type="dxa"/>
          <w:left w:w="0" w:type="dxa"/>
          <w:bottom w:w="0" w:type="dxa"/>
          <w:right w:w="0" w:type="dxa"/>
        </w:tblCellMar>
      </w:tblPr>
      <w:tr>
        <w:trPr>
          <w:trHeight w:val="221"/>
        </w:trPr>
        <w:tc>
          <w:tcPr>
            <w:tcW w:w="46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293"/>
              <w:spacing w:after="0"/>
              <w:rPr>
                <w:sz w:val="20"/>
                <w:szCs w:val="20"/>
                <w:color w:val="auto"/>
              </w:rPr>
            </w:pPr>
            <w:r>
              <w:rPr>
                <w:rFonts w:ascii="Arial" w:cs="Arial" w:eastAsia="Arial" w:hAnsi="Arial"/>
                <w:sz w:val="17"/>
                <w:szCs w:val="17"/>
                <w:color w:val="auto"/>
              </w:rPr>
              <w:t>June 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Arial" w:cs="Arial" w:eastAsia="Arial" w:hAnsi="Arial"/>
                <w:sz w:val="17"/>
                <w:szCs w:val="17"/>
                <w:color w:val="auto"/>
              </w:rPr>
              <w:t>December 31,</w:t>
            </w:r>
          </w:p>
        </w:tc>
      </w:tr>
      <w:tr>
        <w:trPr>
          <w:trHeight w:val="262"/>
        </w:trPr>
        <w:tc>
          <w:tcPr>
            <w:tcW w:w="460" w:type="dxa"/>
            <w:vAlign w:val="bottom"/>
          </w:tcPr>
          <w:p>
            <w:pPr>
              <w:spacing w:after="0"/>
              <w:rPr>
                <w:sz w:val="22"/>
                <w:szCs w:val="22"/>
                <w:color w:val="auto"/>
              </w:rPr>
            </w:pPr>
          </w:p>
        </w:tc>
        <w:tc>
          <w:tcPr>
            <w:tcW w:w="7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2005</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rPr>
              <w:t>2004</w:t>
            </w:r>
          </w:p>
        </w:tc>
        <w:tc>
          <w:tcPr>
            <w:tcW w:w="100" w:type="dxa"/>
            <w:vAlign w:val="bottom"/>
          </w:tcPr>
          <w:p>
            <w:pPr>
              <w:spacing w:after="0"/>
              <w:rPr>
                <w:sz w:val="22"/>
                <w:szCs w:val="22"/>
                <w:color w:val="auto"/>
              </w:rPr>
            </w:pPr>
          </w:p>
        </w:tc>
      </w:tr>
      <w:tr>
        <w:trPr>
          <w:trHeight w:val="229"/>
        </w:trPr>
        <w:tc>
          <w:tcPr>
            <w:tcW w:w="46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460" w:type="dxa"/>
            <w:vAlign w:val="bottom"/>
            <w:shd w:val="clear" w:color="auto" w:fill="E2EEF6"/>
          </w:tcPr>
          <w:p>
            <w:pPr>
              <w:spacing w:after="0"/>
              <w:rPr>
                <w:sz w:val="20"/>
                <w:szCs w:val="20"/>
                <w:color w:val="auto"/>
              </w:rPr>
            </w:pPr>
            <w:r>
              <w:rPr>
                <w:rFonts w:ascii="Arial" w:cs="Arial" w:eastAsia="Arial" w:hAnsi="Arial"/>
                <w:sz w:val="17"/>
                <w:szCs w:val="17"/>
                <w:color w:val="auto"/>
                <w:w w:val="91"/>
              </w:rPr>
              <w:t>7.31%</w:t>
            </w:r>
          </w:p>
        </w:tc>
        <w:tc>
          <w:tcPr>
            <w:tcW w:w="7320" w:type="dxa"/>
            <w:vAlign w:val="bottom"/>
            <w:shd w:val="clear" w:color="auto" w:fill="E2EEF6"/>
          </w:tcPr>
          <w:p>
            <w:pPr>
              <w:ind w:left="20"/>
              <w:spacing w:after="0"/>
              <w:rPr>
                <w:sz w:val="20"/>
                <w:szCs w:val="20"/>
                <w:color w:val="auto"/>
              </w:rPr>
            </w:pPr>
            <w:r>
              <w:rPr>
                <w:rFonts w:ascii="Arial" w:cs="Arial" w:eastAsia="Arial" w:hAnsi="Arial"/>
                <w:sz w:val="17"/>
                <w:szCs w:val="17"/>
                <w:color w:val="auto"/>
              </w:rPr>
              <w:t>Nautilus Class A1 Amortizing Notes - final maturity May 2005</w:t>
            </w:r>
          </w:p>
        </w:tc>
        <w:tc>
          <w:tcPr>
            <w:tcW w:w="46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E2EEF6"/>
          </w:tcPr>
          <w:p>
            <w:pPr>
              <w:jc w:val="right"/>
              <w:ind w:right="40"/>
              <w:spacing w:after="0"/>
              <w:rPr>
                <w:sz w:val="20"/>
                <w:szCs w:val="20"/>
                <w:color w:val="auto"/>
              </w:rPr>
            </w:pPr>
            <w:r>
              <w:rPr>
                <w:rFonts w:ascii="Arial" w:cs="Arial" w:eastAsia="Arial" w:hAnsi="Arial"/>
                <w:sz w:val="17"/>
                <w:szCs w:val="17"/>
                <w:color w:val="auto"/>
              </w:rPr>
              <w:t>$</w:t>
            </w:r>
          </w:p>
        </w:tc>
        <w:tc>
          <w:tcPr>
            <w:tcW w:w="1200" w:type="dxa"/>
            <w:vAlign w:val="bottom"/>
            <w:shd w:val="clear" w:color="auto" w:fill="E2EEF6"/>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E2EEF6"/>
          </w:tcPr>
          <w:p>
            <w:pPr>
              <w:spacing w:after="0"/>
              <w:rPr>
                <w:sz w:val="20"/>
                <w:szCs w:val="20"/>
                <w:color w:val="auto"/>
              </w:rPr>
            </w:pPr>
          </w:p>
        </w:tc>
      </w:tr>
      <w:tr>
        <w:trPr>
          <w:trHeight w:val="235"/>
        </w:trPr>
        <w:tc>
          <w:tcPr>
            <w:tcW w:w="460" w:type="dxa"/>
            <w:vAlign w:val="bottom"/>
          </w:tcPr>
          <w:p>
            <w:pPr>
              <w:spacing w:after="0"/>
              <w:rPr>
                <w:sz w:val="20"/>
                <w:szCs w:val="20"/>
                <w:color w:val="auto"/>
              </w:rPr>
            </w:pPr>
            <w:r>
              <w:rPr>
                <w:rFonts w:ascii="Arial" w:cs="Arial" w:eastAsia="Arial" w:hAnsi="Arial"/>
                <w:sz w:val="17"/>
                <w:szCs w:val="17"/>
                <w:color w:val="auto"/>
                <w:w w:val="91"/>
              </w:rPr>
              <w:t>6.95%</w:t>
            </w:r>
          </w:p>
        </w:tc>
        <w:tc>
          <w:tcPr>
            <w:tcW w:w="7320" w:type="dxa"/>
            <w:vAlign w:val="bottom"/>
          </w:tcPr>
          <w:p>
            <w:pPr>
              <w:ind w:left="20"/>
              <w:spacing w:after="0"/>
              <w:rPr>
                <w:sz w:val="20"/>
                <w:szCs w:val="20"/>
                <w:color w:val="auto"/>
              </w:rPr>
            </w:pPr>
            <w:r>
              <w:rPr>
                <w:rFonts w:ascii="Arial" w:cs="Arial" w:eastAsia="Arial" w:hAnsi="Arial"/>
                <w:sz w:val="17"/>
                <w:szCs w:val="17"/>
                <w:color w:val="auto"/>
              </w:rPr>
              <w:t>Senior Notes, due April 2008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263.1</w:t>
            </w:r>
          </w:p>
        </w:tc>
        <w:tc>
          <w:tcPr>
            <w:tcW w:w="100" w:type="dxa"/>
            <w:vAlign w:val="bottom"/>
          </w:tcPr>
          <w:p>
            <w:pPr>
              <w:spacing w:after="0"/>
              <w:rPr>
                <w:sz w:val="20"/>
                <w:szCs w:val="20"/>
                <w:color w:val="auto"/>
              </w:rPr>
            </w:pPr>
          </w:p>
        </w:tc>
      </w:tr>
      <w:tr>
        <w:trPr>
          <w:trHeight w:val="236"/>
        </w:trPr>
        <w:tc>
          <w:tcPr>
            <w:tcW w:w="7780" w:type="dxa"/>
            <w:vAlign w:val="bottom"/>
            <w:gridSpan w:val="2"/>
            <w:shd w:val="clear" w:color="auto" w:fill="E2EEF6"/>
          </w:tcPr>
          <w:p>
            <w:pPr>
              <w:spacing w:after="0"/>
              <w:rPr>
                <w:sz w:val="20"/>
                <w:szCs w:val="20"/>
                <w:color w:val="auto"/>
              </w:rPr>
            </w:pPr>
            <w:r>
              <w:rPr>
                <w:rFonts w:ascii="Arial" w:cs="Arial" w:eastAsia="Arial" w:hAnsi="Arial"/>
                <w:sz w:val="17"/>
                <w:szCs w:val="17"/>
                <w:color w:val="auto"/>
              </w:rPr>
              <w:t>6.625% Notes, due April 2011 (a)</w:t>
            </w:r>
          </w:p>
        </w:tc>
        <w:tc>
          <w:tcPr>
            <w:tcW w:w="22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1100" w:type="dxa"/>
            <w:vAlign w:val="bottom"/>
            <w:shd w:val="clear" w:color="auto" w:fill="E2EEF6"/>
          </w:tcPr>
          <w:p>
            <w:pPr>
              <w:jc w:val="right"/>
              <w:spacing w:after="0"/>
              <w:rPr>
                <w:sz w:val="20"/>
                <w:szCs w:val="20"/>
                <w:color w:val="auto"/>
              </w:rPr>
            </w:pPr>
            <w:r>
              <w:rPr>
                <w:rFonts w:ascii="Arial" w:cs="Arial" w:eastAsia="Arial" w:hAnsi="Arial"/>
                <w:sz w:val="17"/>
                <w:szCs w:val="17"/>
                <w:color w:val="auto"/>
              </w:rPr>
              <w:t>779.8</w:t>
            </w:r>
          </w:p>
        </w:tc>
        <w:tc>
          <w:tcPr>
            <w:tcW w:w="2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200" w:type="dxa"/>
            <w:vAlign w:val="bottom"/>
            <w:shd w:val="clear" w:color="auto" w:fill="E2EEF6"/>
          </w:tcPr>
          <w:p>
            <w:pPr>
              <w:jc w:val="right"/>
              <w:spacing w:after="0"/>
              <w:rPr>
                <w:sz w:val="20"/>
                <w:szCs w:val="20"/>
                <w:color w:val="auto"/>
              </w:rPr>
            </w:pPr>
            <w:r>
              <w:rPr>
                <w:rFonts w:ascii="Arial" w:cs="Arial" w:eastAsia="Arial" w:hAnsi="Arial"/>
                <w:sz w:val="17"/>
                <w:szCs w:val="17"/>
                <w:color w:val="auto"/>
              </w:rPr>
              <w:t>785.7</w:t>
            </w:r>
          </w:p>
        </w:tc>
        <w:tc>
          <w:tcPr>
            <w:tcW w:w="100" w:type="dxa"/>
            <w:vAlign w:val="bottom"/>
            <w:shd w:val="clear" w:color="auto" w:fill="E2EEF6"/>
          </w:tcPr>
          <w:p>
            <w:pPr>
              <w:spacing w:after="0"/>
              <w:rPr>
                <w:sz w:val="20"/>
                <w:szCs w:val="20"/>
                <w:color w:val="auto"/>
              </w:rPr>
            </w:pPr>
          </w:p>
        </w:tc>
      </w:tr>
      <w:tr>
        <w:trPr>
          <w:trHeight w:val="235"/>
        </w:trPr>
        <w:tc>
          <w:tcPr>
            <w:tcW w:w="7780" w:type="dxa"/>
            <w:vAlign w:val="bottom"/>
            <w:gridSpan w:val="2"/>
          </w:tcPr>
          <w:p>
            <w:pPr>
              <w:spacing w:after="0"/>
              <w:rPr>
                <w:sz w:val="20"/>
                <w:szCs w:val="20"/>
                <w:color w:val="auto"/>
              </w:rPr>
            </w:pPr>
            <w:r>
              <w:rPr>
                <w:rFonts w:ascii="Arial" w:cs="Arial" w:eastAsia="Arial" w:hAnsi="Arial"/>
                <w:sz w:val="17"/>
                <w:szCs w:val="17"/>
                <w:color w:val="auto"/>
              </w:rPr>
              <w:t>7.375% Senior Notes, due April 2018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246.9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246.9</w:t>
            </w:r>
          </w:p>
        </w:tc>
        <w:tc>
          <w:tcPr>
            <w:tcW w:w="100" w:type="dxa"/>
            <w:vAlign w:val="bottom"/>
          </w:tcPr>
          <w:p>
            <w:pPr>
              <w:spacing w:after="0"/>
              <w:rPr>
                <w:sz w:val="20"/>
                <w:szCs w:val="20"/>
                <w:color w:val="auto"/>
              </w:rPr>
            </w:pPr>
          </w:p>
        </w:tc>
      </w:tr>
      <w:tr>
        <w:trPr>
          <w:trHeight w:val="236"/>
        </w:trPr>
        <w:tc>
          <w:tcPr>
            <w:tcW w:w="7780" w:type="dxa"/>
            <w:vAlign w:val="bottom"/>
            <w:gridSpan w:val="2"/>
            <w:shd w:val="clear" w:color="auto" w:fill="E2EEF6"/>
          </w:tcPr>
          <w:p>
            <w:pPr>
              <w:spacing w:after="0"/>
              <w:rPr>
                <w:sz w:val="20"/>
                <w:szCs w:val="20"/>
                <w:color w:val="auto"/>
              </w:rPr>
            </w:pPr>
            <w:r>
              <w:rPr>
                <w:rFonts w:ascii="Arial" w:cs="Arial" w:eastAsia="Arial" w:hAnsi="Arial"/>
                <w:sz w:val="17"/>
                <w:szCs w:val="17"/>
                <w:color w:val="auto"/>
                <w:w w:val="99"/>
              </w:rPr>
              <w:t>Zero Coupon Convertible Debentures, due May 2020 (put options exercisable May 2008 and May 2013)</w:t>
            </w:r>
          </w:p>
        </w:tc>
        <w:tc>
          <w:tcPr>
            <w:tcW w:w="22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1100" w:type="dxa"/>
            <w:vAlign w:val="bottom"/>
            <w:shd w:val="clear" w:color="auto" w:fill="E2EEF6"/>
          </w:tcPr>
          <w:p>
            <w:pPr>
              <w:jc w:val="right"/>
              <w:spacing w:after="0"/>
              <w:rPr>
                <w:sz w:val="20"/>
                <w:szCs w:val="20"/>
                <w:color w:val="auto"/>
              </w:rPr>
            </w:pPr>
            <w:r>
              <w:rPr>
                <w:rFonts w:ascii="Arial" w:cs="Arial" w:eastAsia="Arial" w:hAnsi="Arial"/>
                <w:sz w:val="17"/>
                <w:szCs w:val="17"/>
                <w:color w:val="auto"/>
              </w:rPr>
              <w:t>17.3</w:t>
            </w:r>
          </w:p>
        </w:tc>
        <w:tc>
          <w:tcPr>
            <w:tcW w:w="2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200" w:type="dxa"/>
            <w:vAlign w:val="bottom"/>
            <w:shd w:val="clear" w:color="auto" w:fill="E2EEF6"/>
          </w:tcPr>
          <w:p>
            <w:pPr>
              <w:jc w:val="right"/>
              <w:spacing w:after="0"/>
              <w:rPr>
                <w:sz w:val="20"/>
                <w:szCs w:val="20"/>
                <w:color w:val="auto"/>
              </w:rPr>
            </w:pPr>
            <w:r>
              <w:rPr>
                <w:rFonts w:ascii="Arial" w:cs="Arial" w:eastAsia="Arial" w:hAnsi="Arial"/>
                <w:sz w:val="17"/>
                <w:szCs w:val="17"/>
                <w:color w:val="auto"/>
              </w:rPr>
              <w:t>17.0</w:t>
            </w:r>
          </w:p>
        </w:tc>
        <w:tc>
          <w:tcPr>
            <w:tcW w:w="100" w:type="dxa"/>
            <w:vAlign w:val="bottom"/>
            <w:shd w:val="clear" w:color="auto" w:fill="E2EEF6"/>
          </w:tcPr>
          <w:p>
            <w:pPr>
              <w:spacing w:after="0"/>
              <w:rPr>
                <w:sz w:val="20"/>
                <w:szCs w:val="20"/>
                <w:color w:val="auto"/>
              </w:rPr>
            </w:pPr>
          </w:p>
        </w:tc>
      </w:tr>
      <w:tr>
        <w:trPr>
          <w:trHeight w:val="235"/>
        </w:trPr>
        <w:tc>
          <w:tcPr>
            <w:tcW w:w="7780" w:type="dxa"/>
            <w:vAlign w:val="bottom"/>
            <w:gridSpan w:val="2"/>
          </w:tcPr>
          <w:p>
            <w:pPr>
              <w:spacing w:after="0"/>
              <w:rPr>
                <w:sz w:val="20"/>
                <w:szCs w:val="20"/>
                <w:color w:val="auto"/>
              </w:rPr>
            </w:pPr>
            <w:r>
              <w:rPr>
                <w:rFonts w:ascii="Arial" w:cs="Arial" w:eastAsia="Arial" w:hAnsi="Arial"/>
                <w:sz w:val="17"/>
                <w:szCs w:val="17"/>
                <w:color w:val="auto"/>
                <w:w w:val="93"/>
              </w:rPr>
              <w:t>1.5% Convertible Debentures, due May 2021 (put options exercisable May 2006, May 2011 and May 2016) (b)</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400.0</w:t>
            </w:r>
          </w:p>
        </w:tc>
        <w:tc>
          <w:tcPr>
            <w:tcW w:w="100" w:type="dxa"/>
            <w:vAlign w:val="bottom"/>
          </w:tcPr>
          <w:p>
            <w:pPr>
              <w:spacing w:after="0"/>
              <w:rPr>
                <w:sz w:val="20"/>
                <w:szCs w:val="20"/>
                <w:color w:val="auto"/>
              </w:rPr>
            </w:pPr>
          </w:p>
        </w:tc>
      </w:tr>
      <w:tr>
        <w:trPr>
          <w:trHeight w:val="236"/>
        </w:trPr>
        <w:tc>
          <w:tcPr>
            <w:tcW w:w="7780" w:type="dxa"/>
            <w:vAlign w:val="bottom"/>
            <w:gridSpan w:val="2"/>
            <w:shd w:val="clear" w:color="auto" w:fill="E2EEF6"/>
          </w:tcPr>
          <w:p>
            <w:pPr>
              <w:spacing w:after="0"/>
              <w:rPr>
                <w:sz w:val="20"/>
                <w:szCs w:val="20"/>
                <w:color w:val="auto"/>
              </w:rPr>
            </w:pPr>
            <w:r>
              <w:rPr>
                <w:rFonts w:ascii="Arial" w:cs="Arial" w:eastAsia="Arial" w:hAnsi="Arial"/>
                <w:sz w:val="17"/>
                <w:szCs w:val="17"/>
                <w:color w:val="auto"/>
              </w:rPr>
              <w:t>8% Debentures, due April 2027</w:t>
            </w:r>
          </w:p>
        </w:tc>
        <w:tc>
          <w:tcPr>
            <w:tcW w:w="22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1100" w:type="dxa"/>
            <w:vAlign w:val="bottom"/>
            <w:shd w:val="clear" w:color="auto" w:fill="E2EEF6"/>
          </w:tcPr>
          <w:p>
            <w:pPr>
              <w:jc w:val="right"/>
              <w:spacing w:after="0"/>
              <w:rPr>
                <w:sz w:val="20"/>
                <w:szCs w:val="20"/>
                <w:color w:val="auto"/>
              </w:rPr>
            </w:pPr>
            <w:r>
              <w:rPr>
                <w:rFonts w:ascii="Arial" w:cs="Arial" w:eastAsia="Arial" w:hAnsi="Arial"/>
                <w:sz w:val="17"/>
                <w:szCs w:val="17"/>
                <w:color w:val="auto"/>
              </w:rPr>
              <w:t>56.8</w:t>
            </w:r>
          </w:p>
        </w:tc>
        <w:tc>
          <w:tcPr>
            <w:tcW w:w="2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200" w:type="dxa"/>
            <w:vAlign w:val="bottom"/>
            <w:shd w:val="clear" w:color="auto" w:fill="E2EEF6"/>
          </w:tcPr>
          <w:p>
            <w:pPr>
              <w:jc w:val="right"/>
              <w:spacing w:after="0"/>
              <w:rPr>
                <w:sz w:val="20"/>
                <w:szCs w:val="20"/>
                <w:color w:val="auto"/>
              </w:rPr>
            </w:pPr>
            <w:r>
              <w:rPr>
                <w:rFonts w:ascii="Arial" w:cs="Arial" w:eastAsia="Arial" w:hAnsi="Arial"/>
                <w:sz w:val="17"/>
                <w:szCs w:val="17"/>
                <w:color w:val="auto"/>
              </w:rPr>
              <w:t>56.8</w:t>
            </w:r>
          </w:p>
        </w:tc>
        <w:tc>
          <w:tcPr>
            <w:tcW w:w="100" w:type="dxa"/>
            <w:vAlign w:val="bottom"/>
            <w:shd w:val="clear" w:color="auto" w:fill="E2EEF6"/>
          </w:tcPr>
          <w:p>
            <w:pPr>
              <w:spacing w:after="0"/>
              <w:rPr>
                <w:sz w:val="20"/>
                <w:szCs w:val="20"/>
                <w:color w:val="auto"/>
              </w:rPr>
            </w:pPr>
          </w:p>
        </w:tc>
      </w:tr>
      <w:tr>
        <w:trPr>
          <w:trHeight w:val="235"/>
        </w:trPr>
        <w:tc>
          <w:tcPr>
            <w:tcW w:w="460" w:type="dxa"/>
            <w:vAlign w:val="bottom"/>
          </w:tcPr>
          <w:p>
            <w:pPr>
              <w:spacing w:after="0"/>
              <w:rPr>
                <w:sz w:val="20"/>
                <w:szCs w:val="20"/>
                <w:color w:val="auto"/>
              </w:rPr>
            </w:pPr>
            <w:r>
              <w:rPr>
                <w:rFonts w:ascii="Arial" w:cs="Arial" w:eastAsia="Arial" w:hAnsi="Arial"/>
                <w:sz w:val="17"/>
                <w:szCs w:val="17"/>
                <w:color w:val="auto"/>
                <w:w w:val="91"/>
              </w:rPr>
              <w:t>7.45%</w:t>
            </w:r>
          </w:p>
        </w:tc>
        <w:tc>
          <w:tcPr>
            <w:tcW w:w="7320" w:type="dxa"/>
            <w:vAlign w:val="bottom"/>
          </w:tcPr>
          <w:p>
            <w:pPr>
              <w:ind w:left="20"/>
              <w:spacing w:after="0"/>
              <w:rPr>
                <w:sz w:val="20"/>
                <w:szCs w:val="20"/>
                <w:color w:val="auto"/>
              </w:rPr>
            </w:pPr>
            <w:r>
              <w:rPr>
                <w:rFonts w:ascii="Arial" w:cs="Arial" w:eastAsia="Arial" w:hAnsi="Arial"/>
                <w:sz w:val="17"/>
                <w:szCs w:val="17"/>
                <w:color w:val="auto"/>
              </w:rPr>
              <w:t>Notes, due April 2027 (put options exercisable April 2007)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95.1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95.0</w:t>
            </w:r>
          </w:p>
        </w:tc>
        <w:tc>
          <w:tcPr>
            <w:tcW w:w="100" w:type="dxa"/>
            <w:vAlign w:val="bottom"/>
          </w:tcPr>
          <w:p>
            <w:pPr>
              <w:spacing w:after="0"/>
              <w:rPr>
                <w:sz w:val="20"/>
                <w:szCs w:val="20"/>
                <w:color w:val="auto"/>
              </w:rPr>
            </w:pPr>
          </w:p>
        </w:tc>
      </w:tr>
      <w:tr>
        <w:trPr>
          <w:trHeight w:val="236"/>
        </w:trPr>
        <w:tc>
          <w:tcPr>
            <w:tcW w:w="7780" w:type="dxa"/>
            <w:vAlign w:val="bottom"/>
            <w:tcBorders>
              <w:bottom w:val="single" w:sz="8" w:color="E2EEF6"/>
            </w:tcBorders>
            <w:gridSpan w:val="2"/>
            <w:shd w:val="clear" w:color="auto" w:fill="E2EEF6"/>
          </w:tcPr>
          <w:p>
            <w:pPr>
              <w:spacing w:after="0"/>
              <w:rPr>
                <w:sz w:val="20"/>
                <w:szCs w:val="20"/>
                <w:color w:val="auto"/>
              </w:rPr>
            </w:pPr>
            <w:r>
              <w:rPr>
                <w:rFonts w:ascii="Arial" w:cs="Arial" w:eastAsia="Arial" w:hAnsi="Arial"/>
                <w:sz w:val="17"/>
                <w:szCs w:val="17"/>
                <w:color w:val="auto"/>
              </w:rPr>
              <w:t>7.5% Notes, due April 2031</w:t>
            </w:r>
          </w:p>
        </w:tc>
        <w:tc>
          <w:tcPr>
            <w:tcW w:w="220" w:type="dxa"/>
            <w:vAlign w:val="bottom"/>
            <w:tcBorders>
              <w:bottom w:val="single" w:sz="8" w:color="E2EEF6"/>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11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7"/>
                <w:szCs w:val="17"/>
                <w:color w:val="auto"/>
              </w:rPr>
              <w:t>597.6</w:t>
            </w:r>
          </w:p>
        </w:tc>
        <w:tc>
          <w:tcPr>
            <w:tcW w:w="200" w:type="dxa"/>
            <w:vAlign w:val="bottom"/>
            <w:tcBorders>
              <w:bottom w:val="single" w:sz="8" w:color="E2EEF6"/>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2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7"/>
                <w:szCs w:val="17"/>
                <w:color w:val="auto"/>
              </w:rPr>
              <w:t>597.6</w:t>
            </w:r>
          </w:p>
        </w:tc>
        <w:tc>
          <w:tcPr>
            <w:tcW w:w="100" w:type="dxa"/>
            <w:vAlign w:val="bottom"/>
            <w:tcBorders>
              <w:bottom w:val="single" w:sz="8" w:color="E2EEF6"/>
            </w:tcBorders>
            <w:shd w:val="clear" w:color="auto" w:fill="E2EEF6"/>
          </w:tcPr>
          <w:p>
            <w:pPr>
              <w:spacing w:after="0"/>
              <w:rPr>
                <w:sz w:val="20"/>
                <w:szCs w:val="20"/>
                <w:color w:val="auto"/>
              </w:rPr>
            </w:pPr>
          </w:p>
        </w:tc>
      </w:tr>
      <w:tr>
        <w:trPr>
          <w:trHeight w:val="229"/>
        </w:trPr>
        <w:tc>
          <w:tcPr>
            <w:tcW w:w="7780" w:type="dxa"/>
            <w:vAlign w:val="bottom"/>
            <w:gridSpan w:val="2"/>
          </w:tcPr>
          <w:p>
            <w:pPr>
              <w:spacing w:after="0"/>
              <w:rPr>
                <w:sz w:val="20"/>
                <w:szCs w:val="20"/>
                <w:color w:val="auto"/>
              </w:rPr>
            </w:pPr>
            <w:r>
              <w:rPr>
                <w:rFonts w:ascii="Arial" w:cs="Arial" w:eastAsia="Arial" w:hAnsi="Arial"/>
                <w:sz w:val="17"/>
                <w:szCs w:val="17"/>
                <w:color w:val="auto"/>
              </w:rPr>
              <w:t>Total Debt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2,193.5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2,481.5</w:t>
            </w:r>
          </w:p>
        </w:tc>
        <w:tc>
          <w:tcPr>
            <w:tcW w:w="100" w:type="dxa"/>
            <w:vAlign w:val="bottom"/>
          </w:tcPr>
          <w:p>
            <w:pPr>
              <w:spacing w:after="0"/>
              <w:rPr>
                <w:sz w:val="19"/>
                <w:szCs w:val="19"/>
                <w:color w:val="auto"/>
              </w:rPr>
            </w:pPr>
          </w:p>
        </w:tc>
      </w:tr>
      <w:tr>
        <w:trPr>
          <w:trHeight w:val="242"/>
        </w:trPr>
        <w:tc>
          <w:tcPr>
            <w:tcW w:w="7780" w:type="dxa"/>
            <w:vAlign w:val="bottom"/>
            <w:tcBorders>
              <w:bottom w:val="single" w:sz="8" w:color="E2EEF6"/>
            </w:tcBorders>
            <w:gridSpan w:val="2"/>
            <w:shd w:val="clear" w:color="auto" w:fill="E2EEF6"/>
          </w:tcPr>
          <w:p>
            <w:pPr>
              <w:spacing w:after="0"/>
              <w:rPr>
                <w:sz w:val="20"/>
                <w:szCs w:val="20"/>
                <w:color w:val="auto"/>
              </w:rPr>
            </w:pPr>
            <w:r>
              <w:rPr>
                <w:rFonts w:ascii="Arial" w:cs="Arial" w:eastAsia="Arial" w:hAnsi="Arial"/>
                <w:sz w:val="17"/>
                <w:szCs w:val="17"/>
                <w:color w:val="auto"/>
              </w:rPr>
              <w:t>Less Debt Due Within One Year</w:t>
            </w:r>
          </w:p>
        </w:tc>
        <w:tc>
          <w:tcPr>
            <w:tcW w:w="220" w:type="dxa"/>
            <w:vAlign w:val="bottom"/>
            <w:tcBorders>
              <w:bottom w:val="single" w:sz="8" w:color="E2EEF6"/>
            </w:tcBorders>
            <w:shd w:val="clear" w:color="auto" w:fill="E2EEF6"/>
          </w:tcPr>
          <w:p>
            <w:pPr>
              <w:spacing w:after="0"/>
              <w:rPr>
                <w:sz w:val="21"/>
                <w:szCs w:val="21"/>
                <w:color w:val="auto"/>
              </w:rPr>
            </w:pPr>
          </w:p>
        </w:tc>
        <w:tc>
          <w:tcPr>
            <w:tcW w:w="240" w:type="dxa"/>
            <w:vAlign w:val="bottom"/>
            <w:tcBorders>
              <w:bottom w:val="single" w:sz="8" w:color="E2EEF6"/>
            </w:tcBorders>
            <w:shd w:val="clear" w:color="auto" w:fill="E2EEF6"/>
          </w:tcPr>
          <w:p>
            <w:pPr>
              <w:spacing w:after="0"/>
              <w:rPr>
                <w:sz w:val="21"/>
                <w:szCs w:val="21"/>
                <w:color w:val="auto"/>
              </w:rPr>
            </w:pPr>
          </w:p>
        </w:tc>
        <w:tc>
          <w:tcPr>
            <w:tcW w:w="110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7"/>
                <w:szCs w:val="17"/>
                <w:color w:val="auto"/>
              </w:rPr>
              <w:t>400.0</w:t>
            </w:r>
          </w:p>
        </w:tc>
        <w:tc>
          <w:tcPr>
            <w:tcW w:w="200" w:type="dxa"/>
            <w:vAlign w:val="bottom"/>
            <w:tcBorders>
              <w:bottom w:val="single" w:sz="8" w:color="E2EEF6"/>
            </w:tcBorders>
            <w:shd w:val="clear" w:color="auto" w:fill="E2EEF6"/>
          </w:tcPr>
          <w:p>
            <w:pPr>
              <w:spacing w:after="0"/>
              <w:rPr>
                <w:sz w:val="21"/>
                <w:szCs w:val="21"/>
                <w:color w:val="auto"/>
              </w:rPr>
            </w:pPr>
          </w:p>
        </w:tc>
        <w:tc>
          <w:tcPr>
            <w:tcW w:w="120" w:type="dxa"/>
            <w:vAlign w:val="bottom"/>
            <w:tcBorders>
              <w:bottom w:val="single" w:sz="8" w:color="E2EEF6"/>
            </w:tcBorders>
            <w:shd w:val="clear" w:color="auto" w:fill="E2EEF6"/>
          </w:tcPr>
          <w:p>
            <w:pPr>
              <w:spacing w:after="0"/>
              <w:rPr>
                <w:sz w:val="21"/>
                <w:szCs w:val="21"/>
                <w:color w:val="auto"/>
              </w:rPr>
            </w:pPr>
          </w:p>
        </w:tc>
        <w:tc>
          <w:tcPr>
            <w:tcW w:w="120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Borders>
              <w:bottom w:val="single" w:sz="8" w:color="E2EEF6"/>
            </w:tcBorders>
            <w:shd w:val="clear" w:color="auto" w:fill="E2EEF6"/>
          </w:tcPr>
          <w:p>
            <w:pPr>
              <w:spacing w:after="0"/>
              <w:rPr>
                <w:sz w:val="21"/>
                <w:szCs w:val="21"/>
                <w:color w:val="auto"/>
              </w:rPr>
            </w:pPr>
          </w:p>
        </w:tc>
      </w:tr>
      <w:tr>
        <w:trPr>
          <w:trHeight w:val="20"/>
        </w:trPr>
        <w:tc>
          <w:tcPr>
            <w:tcW w:w="460" w:type="dxa"/>
            <w:vAlign w:val="bottom"/>
            <w:shd w:val="clear" w:color="auto" w:fill="E2EEF6"/>
          </w:tcPr>
          <w:p>
            <w:pPr>
              <w:spacing w:after="0" w:line="20" w:lineRule="exact"/>
              <w:rPr>
                <w:sz w:val="1"/>
                <w:szCs w:val="1"/>
                <w:color w:val="auto"/>
              </w:rPr>
            </w:pPr>
          </w:p>
        </w:tc>
        <w:tc>
          <w:tcPr>
            <w:tcW w:w="7320" w:type="dxa"/>
            <w:vAlign w:val="bottom"/>
            <w:shd w:val="clear" w:color="auto" w:fill="E2EEF6"/>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E2EEF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r>
      <w:tr>
        <w:trPr>
          <w:trHeight w:val="228"/>
        </w:trPr>
        <w:tc>
          <w:tcPr>
            <w:tcW w:w="7780" w:type="dxa"/>
            <w:vAlign w:val="bottom"/>
            <w:gridSpan w:val="2"/>
          </w:tcPr>
          <w:p>
            <w:pPr>
              <w:ind w:left="160"/>
              <w:spacing w:after="0"/>
              <w:rPr>
                <w:sz w:val="20"/>
                <w:szCs w:val="20"/>
                <w:color w:val="auto"/>
              </w:rPr>
            </w:pPr>
            <w:r>
              <w:rPr>
                <w:rFonts w:ascii="Arial" w:cs="Arial" w:eastAsia="Arial" w:hAnsi="Arial"/>
                <w:sz w:val="17"/>
                <w:szCs w:val="17"/>
                <w:color w:val="auto"/>
              </w:rPr>
              <w:t>Total Long-Term Debt</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1,793.5</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2,462.1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5235575</wp:posOffset>
            </wp:positionH>
            <wp:positionV relativeFrom="paragraph">
              <wp:posOffset>0</wp:posOffset>
            </wp:positionV>
            <wp:extent cx="1810385"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10385" cy="2476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w:t>
      </w:r>
    </w:p>
    <w:p>
      <w:pPr>
        <w:spacing w:after="0" w:line="26" w:lineRule="exact"/>
        <w:rPr>
          <w:sz w:val="20"/>
          <w:szCs w:val="20"/>
          <w:color w:val="auto"/>
        </w:rPr>
      </w:pPr>
    </w:p>
    <w:p>
      <w:pPr>
        <w:ind w:left="640" w:hanging="635"/>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See Note 13.</w:t>
      </w:r>
    </w:p>
    <w:p>
      <w:pPr>
        <w:spacing w:after="0" w:line="13" w:lineRule="exact"/>
        <w:rPr>
          <w:rFonts w:ascii="Arial" w:cs="Arial" w:eastAsia="Arial" w:hAnsi="Arial"/>
          <w:sz w:val="17"/>
          <w:szCs w:val="17"/>
          <w:color w:val="auto"/>
        </w:rPr>
      </w:pPr>
    </w:p>
    <w:p>
      <w:pPr>
        <w:ind w:left="640" w:right="500" w:hanging="635"/>
        <w:spacing w:after="0" w:line="273"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1.5% Convertible Debentures are classified as debt due within one year since the holders can exercise their right to require us to repurchase the debentures in May 2006.</w:t>
      </w:r>
    </w:p>
    <w:p>
      <w:pPr>
        <w:spacing w:after="0" w:line="223"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The scheduled maturity of our debt assumes the bondholders exercise their options to require us to repurchase the 1.5% Convertible Debentures, 7.45% Notes and Zero Coupon Convertible Debentures in May 2006, April 2007 and May 2008, respectively. All amounts are at face value except for the Zero Coupon Convertible Debentures, which are included at the price we would be required to pay should the bondholders exercise their right to require us to repurchase the debentures in May 2008. The scheduled maturities are as follows (in millions):</w:t>
      </w:r>
    </w:p>
    <w:p>
      <w:pPr>
        <w:spacing w:after="0" w:line="255" w:lineRule="exact"/>
        <w:rPr>
          <w:sz w:val="20"/>
          <w:szCs w:val="20"/>
          <w:color w:val="auto"/>
        </w:rPr>
      </w:pPr>
    </w:p>
    <w:tbl>
      <w:tblPr>
        <w:tblLayout w:type="fixed"/>
        <w:tblInd w:w="2300" w:type="dxa"/>
        <w:tblCellMar>
          <w:top w:w="0" w:type="dxa"/>
          <w:left w:w="0" w:type="dxa"/>
          <w:bottom w:w="0" w:type="dxa"/>
          <w:right w:w="0" w:type="dxa"/>
        </w:tblCellMar>
      </w:tblPr>
      <w:tr>
        <w:trPr>
          <w:trHeight w:val="209"/>
        </w:trPr>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7"/>
                <w:szCs w:val="17"/>
                <w:color w:val="auto"/>
                <w:w w:val="94"/>
              </w:rPr>
              <w:t>Twelve Months</w:t>
            </w:r>
          </w:p>
        </w:tc>
      </w:tr>
      <w:tr>
        <w:trPr>
          <w:trHeight w:val="209"/>
        </w:trPr>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Ending</w:t>
            </w:r>
          </w:p>
        </w:tc>
      </w:tr>
      <w:tr>
        <w:trPr>
          <w:trHeight w:val="222"/>
        </w:trPr>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June 30,</w:t>
            </w:r>
          </w:p>
        </w:tc>
      </w:tr>
      <w:tr>
        <w:trPr>
          <w:trHeight w:val="229"/>
        </w:trPr>
        <w:tc>
          <w:tcPr>
            <w:tcW w:w="5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5"/>
        </w:trPr>
        <w:tc>
          <w:tcPr>
            <w:tcW w:w="5340" w:type="dxa"/>
            <w:vAlign w:val="bottom"/>
            <w:shd w:val="clear" w:color="auto" w:fill="E2EEF6"/>
          </w:tcPr>
          <w:p>
            <w:pPr>
              <w:spacing w:after="0"/>
              <w:rPr>
                <w:sz w:val="20"/>
                <w:szCs w:val="20"/>
                <w:color w:val="auto"/>
              </w:rPr>
            </w:pPr>
            <w:r>
              <w:rPr>
                <w:rFonts w:ascii="Arial" w:cs="Arial" w:eastAsia="Arial" w:hAnsi="Arial"/>
                <w:sz w:val="17"/>
                <w:szCs w:val="17"/>
                <w:color w:val="auto"/>
              </w:rPr>
              <w:t>2006</w:t>
            </w:r>
          </w:p>
        </w:tc>
        <w:tc>
          <w:tcPr>
            <w:tcW w:w="10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2EEF6"/>
          </w:tcPr>
          <w:p>
            <w:pPr>
              <w:jc w:val="right"/>
              <w:ind w:right="120"/>
              <w:spacing w:after="0"/>
              <w:rPr>
                <w:sz w:val="20"/>
                <w:szCs w:val="20"/>
                <w:color w:val="auto"/>
              </w:rPr>
            </w:pPr>
            <w:r>
              <w:rPr>
                <w:rFonts w:ascii="Arial" w:cs="Arial" w:eastAsia="Arial" w:hAnsi="Arial"/>
                <w:sz w:val="17"/>
                <w:szCs w:val="17"/>
                <w:color w:val="auto"/>
              </w:rPr>
              <w:t>400.0</w:t>
            </w:r>
          </w:p>
        </w:tc>
      </w:tr>
      <w:tr>
        <w:trPr>
          <w:trHeight w:val="235"/>
        </w:trPr>
        <w:tc>
          <w:tcPr>
            <w:tcW w:w="5340" w:type="dxa"/>
            <w:vAlign w:val="bottom"/>
          </w:tcPr>
          <w:p>
            <w:pPr>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r>
      <w:tr>
        <w:trPr>
          <w:trHeight w:val="236"/>
        </w:trPr>
        <w:tc>
          <w:tcPr>
            <w:tcW w:w="5340" w:type="dxa"/>
            <w:vAlign w:val="bottom"/>
            <w:shd w:val="clear" w:color="auto" w:fill="E2EEF6"/>
          </w:tcPr>
          <w:p>
            <w:pPr>
              <w:spacing w:after="0"/>
              <w:rPr>
                <w:sz w:val="20"/>
                <w:szCs w:val="20"/>
                <w:color w:val="auto"/>
              </w:rPr>
            </w:pPr>
            <w:r>
              <w:rPr>
                <w:rFonts w:ascii="Arial" w:cs="Arial" w:eastAsia="Arial" w:hAnsi="Arial"/>
                <w:sz w:val="17"/>
                <w:szCs w:val="17"/>
                <w:color w:val="auto"/>
              </w:rPr>
              <w:t>2008</w:t>
            </w:r>
          </w:p>
        </w:tc>
        <w:tc>
          <w:tcPr>
            <w:tcW w:w="100" w:type="dxa"/>
            <w:vAlign w:val="bottom"/>
            <w:shd w:val="clear" w:color="auto" w:fill="E2EEF6"/>
          </w:tcPr>
          <w:p>
            <w:pPr>
              <w:spacing w:after="0"/>
              <w:rPr>
                <w:sz w:val="20"/>
                <w:szCs w:val="20"/>
                <w:color w:val="auto"/>
              </w:rPr>
            </w:pPr>
          </w:p>
        </w:tc>
        <w:tc>
          <w:tcPr>
            <w:tcW w:w="1400" w:type="dxa"/>
            <w:vAlign w:val="bottom"/>
            <w:gridSpan w:val="2"/>
            <w:shd w:val="clear" w:color="auto" w:fill="E2EEF6"/>
          </w:tcPr>
          <w:p>
            <w:pPr>
              <w:jc w:val="right"/>
              <w:ind w:right="120"/>
              <w:spacing w:after="0"/>
              <w:rPr>
                <w:sz w:val="20"/>
                <w:szCs w:val="20"/>
                <w:color w:val="auto"/>
              </w:rPr>
            </w:pPr>
            <w:r>
              <w:rPr>
                <w:rFonts w:ascii="Arial" w:cs="Arial" w:eastAsia="Arial" w:hAnsi="Arial"/>
                <w:sz w:val="17"/>
                <w:szCs w:val="17"/>
                <w:color w:val="auto"/>
              </w:rPr>
              <w:t>19.0</w:t>
            </w:r>
          </w:p>
        </w:tc>
      </w:tr>
      <w:tr>
        <w:trPr>
          <w:trHeight w:val="235"/>
        </w:trPr>
        <w:tc>
          <w:tcPr>
            <w:tcW w:w="5340" w:type="dxa"/>
            <w:vAlign w:val="bottom"/>
          </w:tcPr>
          <w:p>
            <w:pPr>
              <w:spacing w:after="0"/>
              <w:rPr>
                <w:sz w:val="20"/>
                <w:szCs w:val="20"/>
                <w:color w:val="auto"/>
              </w:rPr>
            </w:pPr>
            <w:r>
              <w:rPr>
                <w:rFonts w:ascii="Arial" w:cs="Arial" w:eastAsia="Arial" w:hAnsi="Arial"/>
                <w:sz w:val="17"/>
                <w:szCs w:val="17"/>
                <w:color w:val="auto"/>
              </w:rPr>
              <w:t>2009</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r>
      <w:tr>
        <w:trPr>
          <w:trHeight w:val="236"/>
        </w:trPr>
        <w:tc>
          <w:tcPr>
            <w:tcW w:w="5340" w:type="dxa"/>
            <w:vAlign w:val="bottom"/>
            <w:shd w:val="clear" w:color="auto" w:fill="E2EEF6"/>
          </w:tcPr>
          <w:p>
            <w:pPr>
              <w:spacing w:after="0"/>
              <w:rPr>
                <w:sz w:val="20"/>
                <w:szCs w:val="20"/>
                <w:color w:val="auto"/>
              </w:rPr>
            </w:pPr>
            <w:r>
              <w:rPr>
                <w:rFonts w:ascii="Arial" w:cs="Arial" w:eastAsia="Arial" w:hAnsi="Arial"/>
                <w:sz w:val="17"/>
                <w:szCs w:val="17"/>
                <w:color w:val="auto"/>
              </w:rPr>
              <w:t>2010</w:t>
            </w:r>
          </w:p>
        </w:tc>
        <w:tc>
          <w:tcPr>
            <w:tcW w:w="100" w:type="dxa"/>
            <w:vAlign w:val="bottom"/>
            <w:shd w:val="clear" w:color="auto" w:fill="E2EEF6"/>
          </w:tcPr>
          <w:p>
            <w:pPr>
              <w:spacing w:after="0"/>
              <w:rPr>
                <w:sz w:val="20"/>
                <w:szCs w:val="20"/>
                <w:color w:val="auto"/>
              </w:rPr>
            </w:pPr>
          </w:p>
        </w:tc>
        <w:tc>
          <w:tcPr>
            <w:tcW w:w="1280" w:type="dxa"/>
            <w:vAlign w:val="bottom"/>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E2EEF6"/>
          </w:tcPr>
          <w:p>
            <w:pPr>
              <w:spacing w:after="0"/>
              <w:rPr>
                <w:sz w:val="20"/>
                <w:szCs w:val="20"/>
                <w:color w:val="auto"/>
              </w:rPr>
            </w:pPr>
          </w:p>
        </w:tc>
      </w:tr>
      <w:tr>
        <w:trPr>
          <w:trHeight w:val="261"/>
        </w:trPr>
        <w:tc>
          <w:tcPr>
            <w:tcW w:w="5340" w:type="dxa"/>
            <w:vAlign w:val="bottom"/>
          </w:tcPr>
          <w:p>
            <w:pPr>
              <w:spacing w:after="0"/>
              <w:rPr>
                <w:sz w:val="20"/>
                <w:szCs w:val="20"/>
                <w:color w:val="auto"/>
              </w:rPr>
            </w:pPr>
            <w:r>
              <w:rPr>
                <w:rFonts w:ascii="Arial" w:cs="Arial" w:eastAsia="Arial" w:hAnsi="Arial"/>
                <w:sz w:val="17"/>
                <w:szCs w:val="17"/>
                <w:color w:val="auto"/>
              </w:rPr>
              <w:t>Thereafter</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1,603.8</w:t>
            </w:r>
          </w:p>
        </w:tc>
        <w:tc>
          <w:tcPr>
            <w:tcW w:w="120" w:type="dxa"/>
            <w:vAlign w:val="bottom"/>
          </w:tcPr>
          <w:p>
            <w:pPr>
              <w:spacing w:after="0"/>
              <w:rPr>
                <w:sz w:val="22"/>
                <w:szCs w:val="22"/>
                <w:color w:val="auto"/>
              </w:rPr>
            </w:pPr>
          </w:p>
        </w:tc>
      </w:tr>
      <w:tr>
        <w:trPr>
          <w:trHeight w:val="269"/>
        </w:trPr>
        <w:tc>
          <w:tcPr>
            <w:tcW w:w="5340" w:type="dxa"/>
            <w:vAlign w:val="bottom"/>
            <w:tcBorders>
              <w:bottom w:val="single" w:sz="8" w:color="E2EEF6"/>
            </w:tcBorders>
            <w:shd w:val="clear" w:color="auto" w:fill="E2EEF6"/>
          </w:tcPr>
          <w:p>
            <w:pPr>
              <w:ind w:left="160"/>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7"/>
                <w:szCs w:val="17"/>
                <w:color w:val="auto"/>
              </w:rPr>
              <w:t>2,122.8</w:t>
            </w:r>
          </w:p>
        </w:tc>
        <w:tc>
          <w:tcPr>
            <w:tcW w:w="120" w:type="dxa"/>
            <w:vAlign w:val="bottom"/>
            <w:tcBorders>
              <w:bottom w:val="single" w:sz="8" w:color="E2EEF6"/>
            </w:tcBorders>
            <w:shd w:val="clear" w:color="auto" w:fill="E2EEF6"/>
          </w:tcPr>
          <w:p>
            <w:pPr>
              <w:spacing w:after="0"/>
              <w:rPr>
                <w:sz w:val="23"/>
                <w:szCs w:val="23"/>
                <w:color w:val="auto"/>
              </w:rPr>
            </w:pPr>
          </w:p>
        </w:tc>
      </w:tr>
    </w:tbl>
    <w:p>
      <w:pPr>
        <w:spacing w:after="0" w:line="249"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Revolving Credit Agreement</w:t>
      </w:r>
      <w:r>
        <w:rPr>
          <w:rFonts w:ascii="Arial" w:cs="Arial" w:eastAsia="Arial" w:hAnsi="Arial"/>
          <w:sz w:val="17"/>
          <w:szCs w:val="17"/>
          <w:color w:val="auto"/>
        </w:rPr>
        <w:t>—We are party to an $800.0 million five-year revolving credit agreement dated December 16, 2003. See Note 13.</w:t>
      </w:r>
    </w:p>
    <w:p>
      <w:pPr>
        <w:spacing w:after="0" w:line="275" w:lineRule="exact"/>
        <w:rPr>
          <w:sz w:val="20"/>
          <w:szCs w:val="20"/>
          <w:color w:val="auto"/>
        </w:rPr>
      </w:pPr>
    </w:p>
    <w:p>
      <w:pPr>
        <w:ind w:firstLine="628"/>
        <w:spacing w:after="0" w:line="288" w:lineRule="auto"/>
        <w:rPr>
          <w:sz w:val="20"/>
          <w:szCs w:val="20"/>
          <w:color w:val="auto"/>
        </w:rPr>
      </w:pPr>
      <w:r>
        <w:rPr>
          <w:rFonts w:ascii="Arial" w:cs="Arial" w:eastAsia="Arial" w:hAnsi="Arial"/>
          <w:sz w:val="17"/>
          <w:szCs w:val="17"/>
          <w:i w:val="1"/>
          <w:iCs w:val="1"/>
          <w:color w:val="auto"/>
        </w:rPr>
        <w:t>Debt Redemptions and Repayments</w:t>
      </w:r>
      <w:r>
        <w:rPr>
          <w:rFonts w:ascii="Arial" w:cs="Arial" w:eastAsia="Arial" w:hAnsi="Arial"/>
          <w:sz w:val="17"/>
          <w:szCs w:val="17"/>
          <w:color w:val="auto"/>
        </w:rPr>
        <w:t>—In May 2005, we repaid the remaining principal amount outstanding for the 7.31% Nautilus Class A1 amortizing</w:t>
      </w:r>
      <w:r>
        <w:rPr>
          <w:rFonts w:ascii="Arial" w:cs="Arial" w:eastAsia="Arial" w:hAnsi="Arial"/>
          <w:sz w:val="17"/>
          <w:szCs w:val="17"/>
          <w:i w:val="1"/>
          <w:iCs w:val="1"/>
          <w:color w:val="auto"/>
        </w:rPr>
        <w:t xml:space="preserve"> </w:t>
      </w:r>
      <w:r>
        <w:rPr>
          <w:rFonts w:ascii="Arial" w:cs="Arial" w:eastAsia="Arial" w:hAnsi="Arial"/>
          <w:sz w:val="17"/>
          <w:szCs w:val="17"/>
          <w:color w:val="auto"/>
        </w:rPr>
        <w:t>note, plus accrued and unpaid interest, in accordance with its scheduled maturity. We funded the repayment from existing cash balances.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TRANSOCEAN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63"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color w:val="auto"/>
        </w:rPr>
        <w:t>In March 2005, we redeemed our $247.8 million aggregate principal amount outstanding 6.95% Senior Notes due April 2008 at the make-whole premium price provided in the indenture. We redeemed these notes at 108.259 percent of face value or $268.2 million, plus accrued and unpaid interest. In the first quarter of 2005, we recognized a loss on the redemption of debt of $6.7 million ($0.02 per diluted share), which had no tax effect and reflected adjustments for fair value of the debt at the date of the R&amp;B Falcon merger and the unamortized fair value adjustment on a previously terminated interest rate swap. We funded the redemption with existing cash balances.</w:t>
      </w:r>
    </w:p>
    <w:p>
      <w:pPr>
        <w:spacing w:after="0" w:line="233"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color w:val="auto"/>
        </w:rPr>
        <w:t>In March 2004, we redeemed our $289.8 million aggregate principal amount outstanding 9.5% Senior Notes due December 2008 at the make-whole premium price provided in the indenture. We redeemed these notes at 127.796 percent of face value or $370.3 million, plus accrued and unpaid interest. In the first quarter of 2004, we recognized a loss on the redemption of debt of $28.1 million ($0.09 per diluted share), which had no tax effect and reflected adjustments for fair value of the debt at the date of the R&amp;B Falcon merger and the unamortized fair value adjustment on a previously terminated interest rate swap. We funded the redemption with existing cash balances, which included proceeds from the TODCO IPO.</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w:t>
      </w:r>
      <w:r>
        <w:rPr>
          <w:rFonts w:ascii="Arial" w:cs="Arial" w:eastAsia="Arial" w:hAnsi="Arial"/>
          <w:sz w:val="17"/>
          <w:szCs w:val="17"/>
          <w:color w:val="auto"/>
        </w:rPr>
        <w:t>—</w:t>
      </w:r>
      <w:r>
        <w:rPr>
          <w:rFonts w:ascii="Arial" w:cs="Arial" w:eastAsia="Arial" w:hAnsi="Arial"/>
          <w:sz w:val="17"/>
          <w:szCs w:val="17"/>
          <w:b w:val="1"/>
          <w:bCs w:val="1"/>
          <w:color w:val="auto"/>
        </w:rPr>
        <w:t>Interest Rate Swaps</w:t>
      </w:r>
    </w:p>
    <w:p>
      <w:pPr>
        <w:spacing w:after="0" w:line="281" w:lineRule="exact"/>
        <w:rPr>
          <w:sz w:val="20"/>
          <w:szCs w:val="20"/>
          <w:color w:val="auto"/>
        </w:rPr>
      </w:pPr>
    </w:p>
    <w:p>
      <w:pPr>
        <w:jc w:val="both"/>
        <w:ind w:firstLine="628"/>
        <w:spacing w:after="0" w:line="262" w:lineRule="auto"/>
        <w:rPr>
          <w:sz w:val="20"/>
          <w:szCs w:val="20"/>
          <w:color w:val="auto"/>
        </w:rPr>
      </w:pPr>
      <w:r>
        <w:rPr>
          <w:rFonts w:ascii="Arial" w:cs="Arial" w:eastAsia="Arial" w:hAnsi="Arial"/>
          <w:sz w:val="17"/>
          <w:szCs w:val="17"/>
          <w:color w:val="auto"/>
        </w:rPr>
        <w:t>In 2003, we terminated all our outstanding interest rate swaps, which were designated as fair value hedges, and recognized $173.5 million as a fair value adjustment to the underlying long-term debt in our consolidated balance sheet. We amortize this amount as a reduction to interest expense over the remaining life of the underlying debt. During the three and six months ended June 30, 2005, such reduction amounted to $3.1 million ($0.01 per diluted share) and $7.0 million ($0.02 per diluted share), respectively. During the three and six months ended June 30, 2004, such reduction amounted to $5.7 million ($0.02 per diluted share) and $12.4 million ($0.04 per diluted share), respectively. As a result of the redemption of our 6.95% Senior Notes in March 2005 and 9.5% Senior Notes in March 2004, we recognized $13.2 million and $22.0 million, respectively, of the unamortized fair value adjustment as a reduction to our loss on redemption of debt (see Notes 6 and 13). There were no tax effects related to these reductions.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 June 30, 2005 and December 31, 2004, we had no outstanding interest rate swaps.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w:t>
      </w:r>
      <w:r>
        <w:rPr>
          <w:rFonts w:ascii="Arial" w:cs="Arial" w:eastAsia="Arial" w:hAnsi="Arial"/>
          <w:sz w:val="17"/>
          <w:szCs w:val="17"/>
          <w:color w:val="auto"/>
        </w:rPr>
        <w:t>―</w:t>
      </w:r>
      <w:r>
        <w:rPr>
          <w:rFonts w:ascii="Arial" w:cs="Arial" w:eastAsia="Arial" w:hAnsi="Arial"/>
          <w:sz w:val="17"/>
          <w:szCs w:val="17"/>
          <w:b w:val="1"/>
          <w:bCs w:val="1"/>
          <w:color w:val="auto"/>
        </w:rPr>
        <w:t>Segments</w:t>
      </w:r>
    </w:p>
    <w:p>
      <w:pPr>
        <w:spacing w:after="0" w:line="281"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6"/>
          <w:szCs w:val="16"/>
          <w:color w:val="auto"/>
        </w:rPr>
        <w:t>Through December 16, 2004, our operations were aggregated into two reportable segments: (i) Transocean Drilling and (ii) TODCO. The Transocean Drilling segment consists of floaters, jackups and other rigs used in support of offshore drilling activities and offshore support services. The TODCO segment consisted of our interest in TODCO, which conducts jackup, drilling barge, land rig, submersible and other operations located in the U.S. Gulf of Mexico and inland waters, Mexico, Trinidad and Venezuela. The organization and aggregation of our business into the two segments were based on differences in economic characteristics, customer base, asset class, contract structure and management structure. In addition, the TODCO segment fleet was highly dependent upon the U.S. natural gas industry while the Transocean Drilling segment’s operations are more dependent upon the worldwide oil industry. As a result of the deconsolidation of TODCO (see Note 1), we now operate in one industry segment, the Transocean Drilling segment.</w:t>
      </w:r>
    </w:p>
    <w:p>
      <w:pPr>
        <w:spacing w:after="0" w:line="219" w:lineRule="exact"/>
        <w:rPr>
          <w:sz w:val="20"/>
          <w:szCs w:val="20"/>
          <w:color w:val="auto"/>
        </w:rPr>
      </w:pPr>
    </w:p>
    <w:p>
      <w:pPr>
        <w:jc w:val="both"/>
        <w:ind w:firstLine="628"/>
        <w:spacing w:after="0" w:line="289" w:lineRule="auto"/>
        <w:rPr>
          <w:sz w:val="20"/>
          <w:szCs w:val="20"/>
          <w:color w:val="auto"/>
        </w:rPr>
      </w:pPr>
      <w:r>
        <w:rPr>
          <w:rFonts w:ascii="Arial" w:cs="Arial" w:eastAsia="Arial" w:hAnsi="Arial"/>
          <w:sz w:val="16"/>
          <w:szCs w:val="16"/>
          <w:color w:val="auto"/>
        </w:rPr>
        <w:t>Our Transocean Drilling segment fleet operates in what is a single, global market for the provision of contract drilling services. The location of our rigs and the allocation of resources to build or upgrade rigs are determined by the activities and needs of our customers. Accounting policies of the segments are the same as those described in Note 2 within “Item 8. Financial Statements and Supplementary Data” included in our Annual Report on Form 10-K for the year ended December 31, 2004. We accounted for intersegment revenue and expenses as if the revenue or expenses were to third parties at current market prices.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TRANSOCEAN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Operating revenues and income before income taxes and minority interest by segment were as follows (in millions):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6"/>
          </w:tcPr>
          <w:p>
            <w:pPr>
              <w:jc w:val="right"/>
              <w:ind w:right="680"/>
              <w:spacing w:after="0"/>
              <w:rPr>
                <w:sz w:val="20"/>
                <w:szCs w:val="20"/>
                <w:color w:val="auto"/>
              </w:rPr>
            </w:pPr>
            <w:r>
              <w:rPr>
                <w:rFonts w:ascii="Arial" w:cs="Arial" w:eastAsia="Arial" w:hAnsi="Arial"/>
                <w:sz w:val="17"/>
                <w:szCs w:val="17"/>
                <w:color w:val="auto"/>
                <w:w w:val="98"/>
              </w:rPr>
              <w:t>Three Months Ended June 30,</w:t>
            </w:r>
          </w:p>
        </w:tc>
        <w:tc>
          <w:tcPr>
            <w:tcW w:w="300" w:type="dxa"/>
            <w:vAlign w:val="bottom"/>
          </w:tcPr>
          <w:p>
            <w:pPr>
              <w:spacing w:after="0"/>
              <w:rPr>
                <w:sz w:val="19"/>
                <w:szCs w:val="19"/>
                <w:color w:val="auto"/>
              </w:rPr>
            </w:pPr>
          </w:p>
        </w:tc>
        <w:tc>
          <w:tcPr>
            <w:tcW w:w="2740" w:type="dxa"/>
            <w:vAlign w:val="bottom"/>
            <w:gridSpan w:val="6"/>
          </w:tcPr>
          <w:p>
            <w:pPr>
              <w:jc w:val="right"/>
              <w:ind w:right="620"/>
              <w:spacing w:after="0"/>
              <w:rPr>
                <w:sz w:val="20"/>
                <w:szCs w:val="20"/>
                <w:color w:val="auto"/>
              </w:rPr>
            </w:pPr>
            <w:r>
              <w:rPr>
                <w:rFonts w:ascii="Arial" w:cs="Arial" w:eastAsia="Arial" w:hAnsi="Arial"/>
                <w:sz w:val="17"/>
                <w:szCs w:val="17"/>
                <w:color w:val="auto"/>
              </w:rPr>
              <w:t>Six Months Ended June 30,</w:t>
            </w:r>
          </w:p>
        </w:tc>
      </w:tr>
      <w:tr>
        <w:trPr>
          <w:trHeight w:val="255"/>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7"/>
                <w:szCs w:val="17"/>
                <w:color w:val="auto"/>
              </w:rPr>
              <w:t>2005</w:t>
            </w:r>
          </w:p>
        </w:tc>
        <w:tc>
          <w:tcPr>
            <w:tcW w:w="1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7"/>
                <w:szCs w:val="17"/>
                <w:color w:val="auto"/>
              </w:rPr>
              <w:t>2004</w:t>
            </w:r>
          </w:p>
        </w:tc>
        <w:tc>
          <w:tcPr>
            <w:tcW w:w="2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7"/>
                <w:szCs w:val="17"/>
                <w:color w:val="auto"/>
              </w:rPr>
              <w:t>2005</w:t>
            </w:r>
          </w:p>
        </w:tc>
        <w:tc>
          <w:tcPr>
            <w:tcW w:w="1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7"/>
                <w:szCs w:val="17"/>
                <w:color w:val="auto"/>
              </w:rPr>
              <w:t>2004</w:t>
            </w:r>
          </w:p>
        </w:tc>
        <w:tc>
          <w:tcPr>
            <w:tcW w:w="100" w:type="dxa"/>
            <w:vAlign w:val="bottom"/>
          </w:tcPr>
          <w:p>
            <w:pPr>
              <w:spacing w:after="0"/>
              <w:rPr>
                <w:sz w:val="22"/>
                <w:szCs w:val="22"/>
                <w:color w:val="auto"/>
              </w:rPr>
            </w:pPr>
          </w:p>
        </w:tc>
      </w:tr>
      <w:tr>
        <w:trPr>
          <w:trHeight w:val="464"/>
        </w:trPr>
        <w:tc>
          <w:tcPr>
            <w:tcW w:w="5160" w:type="dxa"/>
            <w:vAlign w:val="bottom"/>
            <w:gridSpan w:val="2"/>
          </w:tcPr>
          <w:p>
            <w:pPr>
              <w:spacing w:after="0"/>
              <w:rPr>
                <w:sz w:val="20"/>
                <w:szCs w:val="20"/>
                <w:color w:val="auto"/>
              </w:rPr>
            </w:pPr>
            <w:r>
              <w:rPr>
                <w:rFonts w:ascii="Arial" w:cs="Arial" w:eastAsia="Arial" w:hAnsi="Arial"/>
                <w:sz w:val="17"/>
                <w:szCs w:val="17"/>
                <w:color w:val="auto"/>
              </w:rPr>
              <w:t>Operating Revenues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2"/>
        </w:trPr>
        <w:tc>
          <w:tcPr>
            <w:tcW w:w="20" w:type="dxa"/>
            <w:vAlign w:val="bottom"/>
          </w:tcPr>
          <w:p>
            <w:pPr>
              <w:spacing w:after="0"/>
              <w:rPr>
                <w:sz w:val="22"/>
                <w:szCs w:val="22"/>
                <w:color w:val="auto"/>
              </w:rPr>
            </w:pPr>
          </w:p>
        </w:tc>
        <w:tc>
          <w:tcPr>
            <w:tcW w:w="5140" w:type="dxa"/>
            <w:vAlign w:val="bottom"/>
            <w:shd w:val="clear" w:color="auto" w:fill="E2EEF6"/>
          </w:tcPr>
          <w:p>
            <w:pPr>
              <w:ind w:left="140"/>
              <w:spacing w:after="0"/>
              <w:rPr>
                <w:sz w:val="20"/>
                <w:szCs w:val="20"/>
                <w:color w:val="auto"/>
              </w:rPr>
            </w:pPr>
            <w:r>
              <w:rPr>
                <w:rFonts w:ascii="Arial" w:cs="Arial" w:eastAsia="Arial" w:hAnsi="Arial"/>
                <w:sz w:val="17"/>
                <w:szCs w:val="17"/>
                <w:color w:val="auto"/>
              </w:rPr>
              <w:t>Transocean Drilling</w:t>
            </w:r>
          </w:p>
        </w:tc>
        <w:tc>
          <w:tcPr>
            <w:tcW w:w="260" w:type="dxa"/>
            <w:vAlign w:val="bottom"/>
            <w:shd w:val="clear" w:color="auto" w:fill="E2EEF6"/>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2EEF6"/>
          </w:tcPr>
          <w:p>
            <w:pPr>
              <w:jc w:val="right"/>
              <w:spacing w:after="0"/>
              <w:rPr>
                <w:sz w:val="20"/>
                <w:szCs w:val="20"/>
                <w:color w:val="auto"/>
              </w:rPr>
            </w:pPr>
            <w:r>
              <w:rPr>
                <w:rFonts w:ascii="Arial" w:cs="Arial" w:eastAsia="Arial" w:hAnsi="Arial"/>
                <w:sz w:val="17"/>
                <w:szCs w:val="17"/>
                <w:color w:val="auto"/>
              </w:rPr>
              <w:t>727.4</w:t>
            </w:r>
          </w:p>
        </w:tc>
        <w:tc>
          <w:tcPr>
            <w:tcW w:w="160" w:type="dxa"/>
            <w:vAlign w:val="bottom"/>
            <w:shd w:val="clear" w:color="auto" w:fill="E2EEF6"/>
          </w:tcPr>
          <w:p>
            <w:pPr>
              <w:spacing w:after="0"/>
              <w:rPr>
                <w:sz w:val="22"/>
                <w:szCs w:val="22"/>
                <w:color w:val="auto"/>
              </w:rPr>
            </w:pPr>
          </w:p>
        </w:tc>
        <w:tc>
          <w:tcPr>
            <w:tcW w:w="380" w:type="dxa"/>
            <w:vAlign w:val="bottom"/>
            <w:gridSpan w:val="2"/>
            <w:shd w:val="clear" w:color="auto" w:fill="E2EEF6"/>
          </w:tcPr>
          <w:p>
            <w:pPr>
              <w:jc w:val="right"/>
              <w:ind w:right="144"/>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552.5</w:t>
            </w:r>
          </w:p>
        </w:tc>
        <w:tc>
          <w:tcPr>
            <w:tcW w:w="300" w:type="dxa"/>
            <w:vAlign w:val="bottom"/>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1,357.9</w:t>
            </w:r>
          </w:p>
        </w:tc>
        <w:tc>
          <w:tcPr>
            <w:tcW w:w="140" w:type="dxa"/>
            <w:vAlign w:val="bottom"/>
            <w:shd w:val="clear" w:color="auto" w:fill="E2EEF6"/>
          </w:tcPr>
          <w:p>
            <w:pPr>
              <w:spacing w:after="0"/>
              <w:rPr>
                <w:sz w:val="22"/>
                <w:szCs w:val="22"/>
                <w:color w:val="auto"/>
              </w:rPr>
            </w:pPr>
          </w:p>
        </w:tc>
        <w:tc>
          <w:tcPr>
            <w:tcW w:w="38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1,130.7</w:t>
            </w:r>
          </w:p>
        </w:tc>
      </w:tr>
      <w:tr>
        <w:trPr>
          <w:trHeight w:val="288"/>
        </w:trPr>
        <w:tc>
          <w:tcPr>
            <w:tcW w:w="20" w:type="dxa"/>
            <w:vAlign w:val="bottom"/>
          </w:tcPr>
          <w:p>
            <w:pPr>
              <w:spacing w:after="0"/>
              <w:rPr>
                <w:sz w:val="24"/>
                <w:szCs w:val="24"/>
                <w:color w:val="auto"/>
              </w:rPr>
            </w:pPr>
          </w:p>
        </w:tc>
        <w:tc>
          <w:tcPr>
            <w:tcW w:w="5140" w:type="dxa"/>
            <w:vAlign w:val="bottom"/>
          </w:tcPr>
          <w:p>
            <w:pPr>
              <w:ind w:left="140"/>
              <w:spacing w:after="0"/>
              <w:rPr>
                <w:sz w:val="20"/>
                <w:szCs w:val="20"/>
                <w:color w:val="auto"/>
              </w:rPr>
            </w:pPr>
            <w:r>
              <w:rPr>
                <w:rFonts w:ascii="Arial" w:cs="Arial" w:eastAsia="Arial" w:hAnsi="Arial"/>
                <w:sz w:val="17"/>
                <w:szCs w:val="17"/>
                <w:color w:val="auto"/>
              </w:rPr>
              <w:t>TODCO</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80.7</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154.5</w:t>
            </w:r>
          </w:p>
        </w:tc>
        <w:tc>
          <w:tcPr>
            <w:tcW w:w="10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5140" w:type="dxa"/>
            <w:vAlign w:val="bottom"/>
            <w:shd w:val="clear" w:color="auto" w:fill="E2EEF6"/>
          </w:tcPr>
          <w:p>
            <w:pPr>
              <w:ind w:left="300"/>
              <w:spacing w:after="0"/>
              <w:rPr>
                <w:sz w:val="20"/>
                <w:szCs w:val="20"/>
                <w:color w:val="auto"/>
              </w:rPr>
            </w:pPr>
            <w:r>
              <w:rPr>
                <w:rFonts w:ascii="Arial" w:cs="Arial" w:eastAsia="Arial" w:hAnsi="Arial"/>
                <w:sz w:val="17"/>
                <w:szCs w:val="17"/>
                <w:color w:val="auto"/>
              </w:rPr>
              <w:t>Total Operating Revenues</w:t>
            </w:r>
          </w:p>
        </w:tc>
        <w:tc>
          <w:tcPr>
            <w:tcW w:w="260" w:type="dxa"/>
            <w:vAlign w:val="bottom"/>
            <w:shd w:val="clear" w:color="auto" w:fill="E2EEF6"/>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2EEF6"/>
          </w:tcPr>
          <w:p>
            <w:pPr>
              <w:jc w:val="right"/>
              <w:spacing w:after="0"/>
              <w:rPr>
                <w:sz w:val="20"/>
                <w:szCs w:val="20"/>
                <w:color w:val="auto"/>
              </w:rPr>
            </w:pPr>
            <w:r>
              <w:rPr>
                <w:rFonts w:ascii="Arial" w:cs="Arial" w:eastAsia="Arial" w:hAnsi="Arial"/>
                <w:sz w:val="17"/>
                <w:szCs w:val="17"/>
                <w:color w:val="auto"/>
              </w:rPr>
              <w:t>727.4</w:t>
            </w:r>
          </w:p>
        </w:tc>
        <w:tc>
          <w:tcPr>
            <w:tcW w:w="160" w:type="dxa"/>
            <w:vAlign w:val="bottom"/>
            <w:shd w:val="clear" w:color="auto" w:fill="E2EEF6"/>
          </w:tcPr>
          <w:p>
            <w:pPr>
              <w:spacing w:after="0"/>
              <w:rPr>
                <w:sz w:val="19"/>
                <w:szCs w:val="19"/>
                <w:color w:val="auto"/>
              </w:rPr>
            </w:pPr>
          </w:p>
        </w:tc>
        <w:tc>
          <w:tcPr>
            <w:tcW w:w="380" w:type="dxa"/>
            <w:vAlign w:val="bottom"/>
            <w:gridSpan w:val="2"/>
            <w:shd w:val="clear" w:color="auto" w:fill="E2EEF6"/>
          </w:tcPr>
          <w:p>
            <w:pPr>
              <w:jc w:val="right"/>
              <w:ind w:right="144"/>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633.2</w:t>
            </w:r>
          </w:p>
        </w:tc>
        <w:tc>
          <w:tcPr>
            <w:tcW w:w="300" w:type="dxa"/>
            <w:vAlign w:val="bottom"/>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1,357.9</w:t>
            </w:r>
          </w:p>
        </w:tc>
        <w:tc>
          <w:tcPr>
            <w:tcW w:w="140" w:type="dxa"/>
            <w:vAlign w:val="bottom"/>
            <w:shd w:val="clear" w:color="auto" w:fill="E2EEF6"/>
          </w:tcPr>
          <w:p>
            <w:pPr>
              <w:spacing w:after="0"/>
              <w:rPr>
                <w:sz w:val="19"/>
                <w:szCs w:val="19"/>
                <w:color w:val="auto"/>
              </w:rPr>
            </w:pPr>
          </w:p>
        </w:tc>
        <w:tc>
          <w:tcPr>
            <w:tcW w:w="38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1,285.2</w:t>
            </w:r>
          </w:p>
        </w:tc>
      </w:tr>
      <w:tr>
        <w:trPr>
          <w:trHeight w:val="229"/>
        </w:trPr>
        <w:tc>
          <w:tcPr>
            <w:tcW w:w="20" w:type="dxa"/>
            <w:vAlign w:val="bottom"/>
          </w:tcPr>
          <w:p>
            <w:pPr>
              <w:spacing w:after="0"/>
              <w:rPr>
                <w:sz w:val="19"/>
                <w:szCs w:val="19"/>
                <w:color w:val="auto"/>
              </w:rPr>
            </w:pPr>
          </w:p>
        </w:tc>
        <w:tc>
          <w:tcPr>
            <w:tcW w:w="5140" w:type="dxa"/>
            <w:vAlign w:val="bottom"/>
            <w:tcBorders>
              <w:top w:val="single" w:sz="8" w:color="E2EEF6"/>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Borders>
              <w:top w:val="single" w:sz="8" w:color="E2EEF6"/>
            </w:tcBorders>
          </w:tcPr>
          <w:p>
            <w:pPr>
              <w:spacing w:after="0"/>
              <w:rPr>
                <w:sz w:val="19"/>
                <w:szCs w:val="19"/>
                <w:color w:val="auto"/>
              </w:rPr>
            </w:pPr>
          </w:p>
        </w:tc>
        <w:tc>
          <w:tcPr>
            <w:tcW w:w="80" w:type="dxa"/>
            <w:vAlign w:val="bottom"/>
            <w:tcBorders>
              <w:top w:val="single" w:sz="8" w:color="E2EEF6"/>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Borders>
              <w:top w:val="single" w:sz="8" w:color="E2EEF6"/>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40" w:type="dxa"/>
            <w:vAlign w:val="bottom"/>
            <w:tcBorders>
              <w:top w:val="single" w:sz="8" w:color="E2EEF6"/>
            </w:tcBorders>
          </w:tcPr>
          <w:p>
            <w:pPr>
              <w:spacing w:after="0"/>
              <w:rPr>
                <w:sz w:val="19"/>
                <w:szCs w:val="19"/>
                <w:color w:val="auto"/>
              </w:rPr>
            </w:pPr>
          </w:p>
        </w:tc>
        <w:tc>
          <w:tcPr>
            <w:tcW w:w="80" w:type="dxa"/>
            <w:vAlign w:val="bottom"/>
            <w:tcBorders>
              <w:top w:val="single" w:sz="8" w:color="E2EEF6"/>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E2EEF6"/>
            </w:tcBorders>
          </w:tcPr>
          <w:p>
            <w:pPr>
              <w:spacing w:after="0"/>
              <w:rPr>
                <w:sz w:val="19"/>
                <w:szCs w:val="19"/>
                <w:color w:val="auto"/>
              </w:rPr>
            </w:pPr>
          </w:p>
        </w:tc>
      </w:tr>
      <w:tr>
        <w:trPr>
          <w:trHeight w:val="235"/>
        </w:trPr>
        <w:tc>
          <w:tcPr>
            <w:tcW w:w="20" w:type="dxa"/>
            <w:vAlign w:val="bottom"/>
          </w:tcPr>
          <w:p>
            <w:pPr>
              <w:spacing w:after="0"/>
              <w:rPr>
                <w:sz w:val="20"/>
                <w:szCs w:val="20"/>
                <w:color w:val="auto"/>
              </w:rPr>
            </w:pPr>
          </w:p>
        </w:tc>
        <w:tc>
          <w:tcPr>
            <w:tcW w:w="5140" w:type="dxa"/>
            <w:vAlign w:val="bottom"/>
            <w:shd w:val="clear" w:color="auto" w:fill="E2EEF6"/>
          </w:tcPr>
          <w:p>
            <w:pPr>
              <w:spacing w:after="0"/>
              <w:rPr>
                <w:sz w:val="20"/>
                <w:szCs w:val="20"/>
                <w:color w:val="auto"/>
              </w:rPr>
            </w:pPr>
            <w:r>
              <w:rPr>
                <w:rFonts w:ascii="Arial" w:cs="Arial" w:eastAsia="Arial" w:hAnsi="Arial"/>
                <w:sz w:val="17"/>
                <w:szCs w:val="17"/>
                <w:color w:val="auto"/>
                <w:w w:val="97"/>
              </w:rPr>
              <w:t>Operating Income (Loss) Before General and Administrative Expense</w:t>
            </w:r>
          </w:p>
        </w:tc>
        <w:tc>
          <w:tcPr>
            <w:tcW w:w="260" w:type="dxa"/>
            <w:vAlign w:val="bottom"/>
            <w:shd w:val="clear" w:color="auto" w:fill="E2EEF6"/>
          </w:tcPr>
          <w:p>
            <w:pPr>
              <w:spacing w:after="0"/>
              <w:rPr>
                <w:sz w:val="20"/>
                <w:szCs w:val="20"/>
                <w:color w:val="auto"/>
              </w:rPr>
            </w:pPr>
          </w:p>
        </w:tc>
        <w:tc>
          <w:tcPr>
            <w:tcW w:w="112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8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5"/>
        </w:trPr>
        <w:tc>
          <w:tcPr>
            <w:tcW w:w="20" w:type="dxa"/>
            <w:vAlign w:val="bottom"/>
          </w:tcPr>
          <w:p>
            <w:pPr>
              <w:spacing w:after="0"/>
              <w:rPr>
                <w:sz w:val="20"/>
                <w:szCs w:val="20"/>
                <w:color w:val="auto"/>
              </w:rPr>
            </w:pPr>
          </w:p>
        </w:tc>
        <w:tc>
          <w:tcPr>
            <w:tcW w:w="5140" w:type="dxa"/>
            <w:vAlign w:val="bottom"/>
          </w:tcPr>
          <w:p>
            <w:pPr>
              <w:ind w:left="140"/>
              <w:spacing w:after="0"/>
              <w:rPr>
                <w:sz w:val="20"/>
                <w:szCs w:val="20"/>
                <w:color w:val="auto"/>
              </w:rPr>
            </w:pPr>
            <w:r>
              <w:rPr>
                <w:rFonts w:ascii="Arial" w:cs="Arial" w:eastAsia="Arial" w:hAnsi="Arial"/>
                <w:sz w:val="17"/>
                <w:szCs w:val="17"/>
                <w:color w:val="auto"/>
              </w:rPr>
              <w:t>Transocean Drilling</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202.8</w:t>
            </w:r>
          </w:p>
        </w:tc>
        <w:tc>
          <w:tcPr>
            <w:tcW w:w="160" w:type="dxa"/>
            <w:vAlign w:val="bottom"/>
          </w:tcPr>
          <w:p>
            <w:pPr>
              <w:spacing w:after="0"/>
              <w:rPr>
                <w:sz w:val="20"/>
                <w:szCs w:val="20"/>
                <w:color w:val="auto"/>
              </w:rPr>
            </w:pPr>
          </w:p>
        </w:tc>
        <w:tc>
          <w:tcPr>
            <w:tcW w:w="380" w:type="dxa"/>
            <w:vAlign w:val="bottom"/>
            <w:gridSpan w:val="2"/>
          </w:tcPr>
          <w:p>
            <w:pPr>
              <w:jc w:val="right"/>
              <w:ind w:right="144"/>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127.2</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364.2</w:t>
            </w:r>
          </w:p>
        </w:tc>
        <w:tc>
          <w:tcPr>
            <w:tcW w:w="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266.0</w:t>
            </w:r>
          </w:p>
        </w:tc>
      </w:tr>
      <w:tr>
        <w:trPr>
          <w:trHeight w:val="288"/>
        </w:trPr>
        <w:tc>
          <w:tcPr>
            <w:tcW w:w="20" w:type="dxa"/>
            <w:vAlign w:val="bottom"/>
          </w:tcPr>
          <w:p>
            <w:pPr>
              <w:spacing w:after="0"/>
              <w:rPr>
                <w:sz w:val="24"/>
                <w:szCs w:val="24"/>
                <w:color w:val="auto"/>
              </w:rPr>
            </w:pPr>
          </w:p>
        </w:tc>
        <w:tc>
          <w:tcPr>
            <w:tcW w:w="5140" w:type="dxa"/>
            <w:vAlign w:val="bottom"/>
            <w:shd w:val="clear" w:color="auto" w:fill="E2EEF6"/>
          </w:tcPr>
          <w:p>
            <w:pPr>
              <w:ind w:left="140"/>
              <w:spacing w:after="0"/>
              <w:rPr>
                <w:sz w:val="20"/>
                <w:szCs w:val="20"/>
                <w:color w:val="auto"/>
              </w:rPr>
            </w:pPr>
            <w:r>
              <w:rPr>
                <w:rFonts w:ascii="Arial" w:cs="Arial" w:eastAsia="Arial" w:hAnsi="Arial"/>
                <w:sz w:val="17"/>
                <w:szCs w:val="17"/>
                <w:color w:val="auto"/>
              </w:rPr>
              <w:t>TODCO (a)</w:t>
            </w:r>
          </w:p>
        </w:tc>
        <w:tc>
          <w:tcPr>
            <w:tcW w:w="260" w:type="dxa"/>
            <w:vAlign w:val="bottom"/>
            <w:shd w:val="clear" w:color="auto" w:fill="E2EEF6"/>
          </w:tcPr>
          <w:p>
            <w:pPr>
              <w:spacing w:after="0"/>
              <w:rPr>
                <w:sz w:val="24"/>
                <w:szCs w:val="24"/>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E2EEF6"/>
          </w:tcPr>
          <w:p>
            <w:pPr>
              <w:spacing w:after="0"/>
              <w:rPr>
                <w:sz w:val="24"/>
                <w:szCs w:val="24"/>
                <w:color w:val="auto"/>
              </w:rPr>
            </w:pPr>
          </w:p>
        </w:tc>
        <w:tc>
          <w:tcPr>
            <w:tcW w:w="80" w:type="dxa"/>
            <w:vAlign w:val="bottom"/>
            <w:shd w:val="clear" w:color="auto" w:fill="E2EEF6"/>
          </w:tcPr>
          <w:p>
            <w:pPr>
              <w:spacing w:after="0"/>
              <w:rPr>
                <w:sz w:val="24"/>
                <w:szCs w:val="24"/>
                <w:color w:val="auto"/>
              </w:rPr>
            </w:pPr>
          </w:p>
        </w:tc>
        <w:tc>
          <w:tcPr>
            <w:tcW w:w="300" w:type="dxa"/>
            <w:vAlign w:val="bottom"/>
            <w:shd w:val="clear" w:color="auto" w:fill="E2EEF6"/>
          </w:tcPr>
          <w:p>
            <w:pPr>
              <w:spacing w:after="0"/>
              <w:rPr>
                <w:sz w:val="24"/>
                <w:szCs w:val="24"/>
                <w:color w:val="auto"/>
              </w:rPr>
            </w:pPr>
          </w:p>
        </w:tc>
        <w:tc>
          <w:tcPr>
            <w:tcW w:w="130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(9.4)</w:t>
            </w:r>
          </w:p>
        </w:tc>
        <w:tc>
          <w:tcPr>
            <w:tcW w:w="300" w:type="dxa"/>
            <w:vAlign w:val="bottom"/>
            <w:shd w:val="clear" w:color="auto" w:fill="E2EEF6"/>
          </w:tcPr>
          <w:p>
            <w:pPr>
              <w:spacing w:after="0"/>
              <w:rPr>
                <w:sz w:val="24"/>
                <w:szCs w:val="24"/>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E2EEF6"/>
          </w:tcPr>
          <w:p>
            <w:pPr>
              <w:spacing w:after="0"/>
              <w:rPr>
                <w:sz w:val="24"/>
                <w:szCs w:val="24"/>
                <w:color w:val="auto"/>
              </w:rPr>
            </w:pPr>
          </w:p>
        </w:tc>
        <w:tc>
          <w:tcPr>
            <w:tcW w:w="80" w:type="dxa"/>
            <w:vAlign w:val="bottom"/>
            <w:shd w:val="clear" w:color="auto" w:fill="E2EEF6"/>
          </w:tcPr>
          <w:p>
            <w:pPr>
              <w:spacing w:after="0"/>
              <w:rPr>
                <w:sz w:val="24"/>
                <w:szCs w:val="24"/>
                <w:color w:val="auto"/>
              </w:rPr>
            </w:pPr>
          </w:p>
        </w:tc>
        <w:tc>
          <w:tcPr>
            <w:tcW w:w="300" w:type="dxa"/>
            <w:vAlign w:val="bottom"/>
            <w:shd w:val="clear" w:color="auto" w:fill="E2EEF6"/>
          </w:tcPr>
          <w:p>
            <w:pPr>
              <w:spacing w:after="0"/>
              <w:rPr>
                <w:sz w:val="24"/>
                <w:szCs w:val="24"/>
                <w:color w:val="auto"/>
              </w:rPr>
            </w:pPr>
          </w:p>
        </w:tc>
        <w:tc>
          <w:tcPr>
            <w:tcW w:w="1160" w:type="dxa"/>
            <w:vAlign w:val="bottom"/>
            <w:gridSpan w:val="2"/>
            <w:shd w:val="clear" w:color="auto" w:fill="E2EEF6"/>
          </w:tcPr>
          <w:p>
            <w:pPr>
              <w:jc w:val="right"/>
              <w:ind w:right="40"/>
              <w:spacing w:after="0"/>
              <w:rPr>
                <w:sz w:val="20"/>
                <w:szCs w:val="20"/>
                <w:color w:val="auto"/>
              </w:rPr>
            </w:pPr>
            <w:r>
              <w:rPr>
                <w:rFonts w:ascii="Arial" w:cs="Arial" w:eastAsia="Arial" w:hAnsi="Arial"/>
                <w:sz w:val="17"/>
                <w:szCs w:val="17"/>
                <w:color w:val="auto"/>
              </w:rPr>
              <w:t>(36.3)</w:t>
            </w:r>
          </w:p>
        </w:tc>
      </w:tr>
      <w:tr>
        <w:trPr>
          <w:trHeight w:val="229"/>
        </w:trPr>
        <w:tc>
          <w:tcPr>
            <w:tcW w:w="20" w:type="dxa"/>
            <w:vAlign w:val="bottom"/>
          </w:tcPr>
          <w:p>
            <w:pPr>
              <w:spacing w:after="0"/>
              <w:rPr>
                <w:sz w:val="19"/>
                <w:szCs w:val="19"/>
                <w:color w:val="auto"/>
              </w:rPr>
            </w:pPr>
          </w:p>
        </w:tc>
        <w:tc>
          <w:tcPr>
            <w:tcW w:w="5140" w:type="dxa"/>
            <w:vAlign w:val="bottom"/>
            <w:tcBorders>
              <w:top w:val="single" w:sz="8" w:color="E2EEF6"/>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202.8</w:t>
            </w:r>
          </w:p>
        </w:tc>
        <w:tc>
          <w:tcPr>
            <w:tcW w:w="160" w:type="dxa"/>
            <w:vAlign w:val="bottom"/>
            <w:tcBorders>
              <w:top w:val="single" w:sz="8" w:color="E2EEF6"/>
            </w:tcBorders>
          </w:tcPr>
          <w:p>
            <w:pPr>
              <w:spacing w:after="0"/>
              <w:rPr>
                <w:sz w:val="19"/>
                <w:szCs w:val="19"/>
                <w:color w:val="auto"/>
              </w:rPr>
            </w:pPr>
          </w:p>
        </w:tc>
        <w:tc>
          <w:tcPr>
            <w:tcW w:w="80" w:type="dxa"/>
            <w:vAlign w:val="bottom"/>
            <w:tcBorders>
              <w:top w:val="single" w:sz="8" w:color="E2EEF6"/>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117.8</w:t>
            </w:r>
          </w:p>
        </w:tc>
        <w:tc>
          <w:tcPr>
            <w:tcW w:w="220" w:type="dxa"/>
            <w:vAlign w:val="bottom"/>
            <w:tcBorders>
              <w:top w:val="single" w:sz="8" w:color="E2EEF6"/>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364.2</w:t>
            </w:r>
          </w:p>
        </w:tc>
        <w:tc>
          <w:tcPr>
            <w:tcW w:w="140" w:type="dxa"/>
            <w:vAlign w:val="bottom"/>
            <w:tcBorders>
              <w:top w:val="single" w:sz="8" w:color="E2EEF6"/>
            </w:tcBorders>
          </w:tcPr>
          <w:p>
            <w:pPr>
              <w:spacing w:after="0"/>
              <w:rPr>
                <w:sz w:val="19"/>
                <w:szCs w:val="19"/>
                <w:color w:val="auto"/>
              </w:rPr>
            </w:pPr>
          </w:p>
        </w:tc>
        <w:tc>
          <w:tcPr>
            <w:tcW w:w="80" w:type="dxa"/>
            <w:vAlign w:val="bottom"/>
            <w:tcBorders>
              <w:top w:val="single" w:sz="8" w:color="E2EEF6"/>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229.7</w:t>
            </w:r>
          </w:p>
        </w:tc>
        <w:tc>
          <w:tcPr>
            <w:tcW w:w="100" w:type="dxa"/>
            <w:vAlign w:val="bottom"/>
            <w:tcBorders>
              <w:top w:val="single" w:sz="8" w:color="E2EEF6"/>
            </w:tcBorders>
          </w:tcPr>
          <w:p>
            <w:pPr>
              <w:spacing w:after="0"/>
              <w:rPr>
                <w:sz w:val="19"/>
                <w:szCs w:val="19"/>
                <w:color w:val="auto"/>
              </w:rPr>
            </w:pPr>
          </w:p>
        </w:tc>
      </w:tr>
      <w:tr>
        <w:trPr>
          <w:trHeight w:val="262"/>
        </w:trPr>
        <w:tc>
          <w:tcPr>
            <w:tcW w:w="20" w:type="dxa"/>
            <w:vAlign w:val="bottom"/>
          </w:tcPr>
          <w:p>
            <w:pPr>
              <w:spacing w:after="0"/>
              <w:rPr>
                <w:sz w:val="22"/>
                <w:szCs w:val="22"/>
                <w:color w:val="auto"/>
              </w:rPr>
            </w:pPr>
          </w:p>
        </w:tc>
        <w:tc>
          <w:tcPr>
            <w:tcW w:w="5140" w:type="dxa"/>
            <w:vAlign w:val="bottom"/>
            <w:shd w:val="clear" w:color="auto" w:fill="E2EEF6"/>
          </w:tcPr>
          <w:p>
            <w:pPr>
              <w:spacing w:after="0"/>
              <w:rPr>
                <w:sz w:val="20"/>
                <w:szCs w:val="20"/>
                <w:color w:val="auto"/>
              </w:rPr>
            </w:pPr>
            <w:r>
              <w:rPr>
                <w:rFonts w:ascii="Arial" w:cs="Arial" w:eastAsia="Arial" w:hAnsi="Arial"/>
                <w:sz w:val="17"/>
                <w:szCs w:val="17"/>
                <w:color w:val="auto"/>
              </w:rPr>
              <w:t>Unallocated general and administrative expense</w:t>
            </w:r>
          </w:p>
        </w:tc>
        <w:tc>
          <w:tcPr>
            <w:tcW w:w="260" w:type="dxa"/>
            <w:vAlign w:val="bottom"/>
            <w:shd w:val="clear" w:color="auto" w:fill="E2EEF6"/>
          </w:tcPr>
          <w:p>
            <w:pPr>
              <w:spacing w:after="0"/>
              <w:rPr>
                <w:sz w:val="22"/>
                <w:szCs w:val="22"/>
                <w:color w:val="auto"/>
              </w:rPr>
            </w:pP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(18.0)</w:t>
            </w:r>
          </w:p>
        </w:tc>
        <w:tc>
          <w:tcPr>
            <w:tcW w:w="80" w:type="dxa"/>
            <w:vAlign w:val="bottom"/>
            <w:shd w:val="clear" w:color="auto" w:fill="E2EEF6"/>
          </w:tcPr>
          <w:p>
            <w:pPr>
              <w:spacing w:after="0"/>
              <w:rPr>
                <w:sz w:val="22"/>
                <w:szCs w:val="22"/>
                <w:color w:val="auto"/>
              </w:rPr>
            </w:pPr>
          </w:p>
        </w:tc>
        <w:tc>
          <w:tcPr>
            <w:tcW w:w="300" w:type="dxa"/>
            <w:vAlign w:val="bottom"/>
            <w:shd w:val="clear" w:color="auto" w:fill="E2EEF6"/>
          </w:tcPr>
          <w:p>
            <w:pPr>
              <w:spacing w:after="0"/>
              <w:rPr>
                <w:sz w:val="22"/>
                <w:szCs w:val="22"/>
                <w:color w:val="auto"/>
              </w:rPr>
            </w:pPr>
          </w:p>
        </w:tc>
        <w:tc>
          <w:tcPr>
            <w:tcW w:w="130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(14.0)</w:t>
            </w:r>
          </w:p>
        </w:tc>
        <w:tc>
          <w:tcPr>
            <w:tcW w:w="300" w:type="dxa"/>
            <w:vAlign w:val="bottom"/>
            <w:shd w:val="clear" w:color="auto" w:fill="E2EEF6"/>
          </w:tcPr>
          <w:p>
            <w:pPr>
              <w:spacing w:after="0"/>
              <w:rPr>
                <w:sz w:val="22"/>
                <w:szCs w:val="22"/>
                <w:color w:val="auto"/>
              </w:rPr>
            </w:pPr>
          </w:p>
        </w:tc>
        <w:tc>
          <w:tcPr>
            <w:tcW w:w="1200" w:type="dxa"/>
            <w:vAlign w:val="bottom"/>
            <w:gridSpan w:val="2"/>
            <w:shd w:val="clear" w:color="auto" w:fill="E2EEF6"/>
          </w:tcPr>
          <w:p>
            <w:pPr>
              <w:jc w:val="right"/>
              <w:ind w:right="80"/>
              <w:spacing w:after="0"/>
              <w:rPr>
                <w:sz w:val="20"/>
                <w:szCs w:val="20"/>
                <w:color w:val="auto"/>
              </w:rPr>
            </w:pPr>
            <w:r>
              <w:rPr>
                <w:rFonts w:ascii="Arial" w:cs="Arial" w:eastAsia="Arial" w:hAnsi="Arial"/>
                <w:sz w:val="17"/>
                <w:szCs w:val="17"/>
                <w:color w:val="auto"/>
              </w:rPr>
              <w:t>(36.1)</w:t>
            </w:r>
          </w:p>
        </w:tc>
        <w:tc>
          <w:tcPr>
            <w:tcW w:w="80" w:type="dxa"/>
            <w:vAlign w:val="bottom"/>
            <w:shd w:val="clear" w:color="auto" w:fill="E2EEF6"/>
          </w:tcPr>
          <w:p>
            <w:pPr>
              <w:spacing w:after="0"/>
              <w:rPr>
                <w:sz w:val="22"/>
                <w:szCs w:val="22"/>
                <w:color w:val="auto"/>
              </w:rPr>
            </w:pPr>
          </w:p>
        </w:tc>
        <w:tc>
          <w:tcPr>
            <w:tcW w:w="300" w:type="dxa"/>
            <w:vAlign w:val="bottom"/>
            <w:shd w:val="clear" w:color="auto" w:fill="E2EEF6"/>
          </w:tcPr>
          <w:p>
            <w:pPr>
              <w:spacing w:after="0"/>
              <w:rPr>
                <w:sz w:val="22"/>
                <w:szCs w:val="22"/>
                <w:color w:val="auto"/>
              </w:rPr>
            </w:pPr>
          </w:p>
        </w:tc>
        <w:tc>
          <w:tcPr>
            <w:tcW w:w="1160" w:type="dxa"/>
            <w:vAlign w:val="bottom"/>
            <w:gridSpan w:val="2"/>
            <w:shd w:val="clear" w:color="auto" w:fill="E2EEF6"/>
          </w:tcPr>
          <w:p>
            <w:pPr>
              <w:jc w:val="right"/>
              <w:ind w:right="40"/>
              <w:spacing w:after="0"/>
              <w:rPr>
                <w:sz w:val="20"/>
                <w:szCs w:val="20"/>
                <w:color w:val="auto"/>
              </w:rPr>
            </w:pPr>
            <w:r>
              <w:rPr>
                <w:rFonts w:ascii="Arial" w:cs="Arial" w:eastAsia="Arial" w:hAnsi="Arial"/>
                <w:sz w:val="17"/>
                <w:szCs w:val="17"/>
                <w:color w:val="auto"/>
              </w:rPr>
              <w:t>(29.1)</w:t>
            </w:r>
          </w:p>
        </w:tc>
      </w:tr>
      <w:tr>
        <w:trPr>
          <w:trHeight w:val="288"/>
        </w:trPr>
        <w:tc>
          <w:tcPr>
            <w:tcW w:w="5160" w:type="dxa"/>
            <w:vAlign w:val="bottom"/>
            <w:gridSpan w:val="2"/>
          </w:tcPr>
          <w:p>
            <w:pPr>
              <w:spacing w:after="0"/>
              <w:rPr>
                <w:sz w:val="20"/>
                <w:szCs w:val="20"/>
                <w:color w:val="auto"/>
              </w:rPr>
            </w:pPr>
            <w:r>
              <w:rPr>
                <w:rFonts w:ascii="Arial" w:cs="Arial" w:eastAsia="Arial" w:hAnsi="Arial"/>
                <w:sz w:val="17"/>
                <w:szCs w:val="17"/>
                <w:color w:val="auto"/>
              </w:rPr>
              <w:t>Unallocated other income (expense), net</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140.4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(38.1)</w:t>
            </w:r>
          </w:p>
        </w:tc>
        <w:tc>
          <w:tcPr>
            <w:tcW w:w="30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106.6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(68.4)</w:t>
            </w: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5140" w:type="dxa"/>
            <w:vAlign w:val="bottom"/>
            <w:shd w:val="clear" w:color="auto" w:fill="E2EEF6"/>
          </w:tcPr>
          <w:p>
            <w:pPr>
              <w:ind w:left="140"/>
              <w:spacing w:after="0"/>
              <w:rPr>
                <w:sz w:val="20"/>
                <w:szCs w:val="20"/>
                <w:color w:val="auto"/>
              </w:rPr>
            </w:pPr>
            <w:r>
              <w:rPr>
                <w:rFonts w:ascii="Arial" w:cs="Arial" w:eastAsia="Arial" w:hAnsi="Arial"/>
                <w:sz w:val="17"/>
                <w:szCs w:val="17"/>
                <w:color w:val="auto"/>
              </w:rPr>
              <w:t>Income Before Income Taxes and Minority Interest</w:t>
            </w:r>
          </w:p>
        </w:tc>
        <w:tc>
          <w:tcPr>
            <w:tcW w:w="260" w:type="dxa"/>
            <w:vAlign w:val="bottom"/>
            <w:shd w:val="clear" w:color="auto" w:fill="E2EEF6"/>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2EEF6"/>
          </w:tcPr>
          <w:p>
            <w:pPr>
              <w:jc w:val="right"/>
              <w:spacing w:after="0"/>
              <w:rPr>
                <w:sz w:val="20"/>
                <w:szCs w:val="20"/>
                <w:color w:val="auto"/>
              </w:rPr>
            </w:pPr>
            <w:r>
              <w:rPr>
                <w:rFonts w:ascii="Arial" w:cs="Arial" w:eastAsia="Arial" w:hAnsi="Arial"/>
                <w:sz w:val="17"/>
                <w:szCs w:val="17"/>
                <w:color w:val="auto"/>
              </w:rPr>
              <w:t>325.2</w:t>
            </w:r>
          </w:p>
        </w:tc>
        <w:tc>
          <w:tcPr>
            <w:tcW w:w="160" w:type="dxa"/>
            <w:vAlign w:val="bottom"/>
            <w:shd w:val="clear" w:color="auto" w:fill="E2EEF6"/>
          </w:tcPr>
          <w:p>
            <w:pPr>
              <w:spacing w:after="0"/>
              <w:rPr>
                <w:sz w:val="23"/>
                <w:szCs w:val="23"/>
                <w:color w:val="auto"/>
              </w:rPr>
            </w:pPr>
          </w:p>
        </w:tc>
        <w:tc>
          <w:tcPr>
            <w:tcW w:w="80" w:type="dxa"/>
            <w:vAlign w:val="bottom"/>
            <w:shd w:val="clear" w:color="auto" w:fill="E2EEF6"/>
          </w:tcPr>
          <w:p>
            <w:pPr>
              <w:spacing w:after="0"/>
              <w:rPr>
                <w:sz w:val="23"/>
                <w:szCs w:val="23"/>
                <w:color w:val="auto"/>
              </w:rPr>
            </w:pPr>
          </w:p>
        </w:tc>
        <w:tc>
          <w:tcPr>
            <w:tcW w:w="300" w:type="dxa"/>
            <w:vAlign w:val="bottom"/>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2EEF6"/>
          </w:tcPr>
          <w:p>
            <w:pPr>
              <w:jc w:val="right"/>
              <w:spacing w:after="0"/>
              <w:rPr>
                <w:sz w:val="20"/>
                <w:szCs w:val="20"/>
                <w:color w:val="auto"/>
              </w:rPr>
            </w:pPr>
            <w:r>
              <w:rPr>
                <w:rFonts w:ascii="Arial" w:cs="Arial" w:eastAsia="Arial" w:hAnsi="Arial"/>
                <w:sz w:val="17"/>
                <w:szCs w:val="17"/>
                <w:color w:val="auto"/>
              </w:rPr>
              <w:t>65.7</w:t>
            </w:r>
          </w:p>
        </w:tc>
        <w:tc>
          <w:tcPr>
            <w:tcW w:w="220" w:type="dxa"/>
            <w:vAlign w:val="bottom"/>
            <w:shd w:val="clear" w:color="auto" w:fill="E2EEF6"/>
          </w:tcPr>
          <w:p>
            <w:pPr>
              <w:spacing w:after="0"/>
              <w:rPr>
                <w:sz w:val="23"/>
                <w:szCs w:val="23"/>
                <w:color w:val="auto"/>
              </w:rPr>
            </w:pPr>
          </w:p>
        </w:tc>
        <w:tc>
          <w:tcPr>
            <w:tcW w:w="300" w:type="dxa"/>
            <w:vAlign w:val="bottom"/>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434.7</w:t>
            </w:r>
          </w:p>
        </w:tc>
        <w:tc>
          <w:tcPr>
            <w:tcW w:w="140" w:type="dxa"/>
            <w:vAlign w:val="bottom"/>
            <w:shd w:val="clear" w:color="auto" w:fill="E2EEF6"/>
          </w:tcPr>
          <w:p>
            <w:pPr>
              <w:spacing w:after="0"/>
              <w:rPr>
                <w:sz w:val="23"/>
                <w:szCs w:val="23"/>
                <w:color w:val="auto"/>
              </w:rPr>
            </w:pPr>
          </w:p>
        </w:tc>
        <w:tc>
          <w:tcPr>
            <w:tcW w:w="38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132.2</w:t>
            </w:r>
          </w:p>
        </w:tc>
      </w:tr>
      <w:tr>
        <w:trPr>
          <w:trHeight w:val="190"/>
        </w:trPr>
        <w:tc>
          <w:tcPr>
            <w:tcW w:w="20" w:type="dxa"/>
            <w:vAlign w:val="bottom"/>
          </w:tcPr>
          <w:p>
            <w:pPr>
              <w:spacing w:after="0"/>
              <w:rPr>
                <w:sz w:val="16"/>
                <w:szCs w:val="16"/>
                <w:color w:val="auto"/>
              </w:rPr>
            </w:pPr>
          </w:p>
        </w:tc>
        <w:tc>
          <w:tcPr>
            <w:tcW w:w="5140" w:type="dxa"/>
            <w:vAlign w:val="bottom"/>
            <w:tcBorders>
              <w:top w:val="single" w:sz="8" w:color="E2EEF6"/>
            </w:tcBorders>
          </w:tcPr>
          <w:p>
            <w:pPr>
              <w:ind w:left="300"/>
              <w:spacing w:after="0" w:line="190" w:lineRule="exact"/>
              <w:rPr>
                <w:sz w:val="20"/>
                <w:szCs w:val="20"/>
                <w:color w:val="auto"/>
              </w:rPr>
            </w:pPr>
            <w:r>
              <w:rPr>
                <w:rFonts w:ascii="Arial" w:cs="Arial" w:eastAsia="Arial" w:hAnsi="Arial"/>
                <w:sz w:val="17"/>
                <w:szCs w:val="17"/>
                <w:color w:val="auto"/>
              </w:rPr>
              <w:t>______________</w:t>
            </w: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60" w:type="dxa"/>
            <w:vAlign w:val="bottom"/>
            <w:tcBorders>
              <w:top w:val="single" w:sz="8" w:color="E2EEF6"/>
            </w:tcBorders>
          </w:tcPr>
          <w:p>
            <w:pPr>
              <w:spacing w:after="0"/>
              <w:rPr>
                <w:sz w:val="16"/>
                <w:szCs w:val="16"/>
                <w:color w:val="auto"/>
              </w:rPr>
            </w:pPr>
          </w:p>
        </w:tc>
        <w:tc>
          <w:tcPr>
            <w:tcW w:w="80" w:type="dxa"/>
            <w:vAlign w:val="bottom"/>
            <w:tcBorders>
              <w:top w:val="single" w:sz="8" w:color="E2EEF6"/>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E2EEF6"/>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0" w:type="dxa"/>
            <w:vAlign w:val="bottom"/>
            <w:tcBorders>
              <w:top w:val="single" w:sz="8" w:color="E2EEF6"/>
            </w:tcBorders>
          </w:tcPr>
          <w:p>
            <w:pPr>
              <w:spacing w:after="0"/>
              <w:rPr>
                <w:sz w:val="16"/>
                <w:szCs w:val="16"/>
                <w:color w:val="auto"/>
              </w:rPr>
            </w:pPr>
          </w:p>
        </w:tc>
        <w:tc>
          <w:tcPr>
            <w:tcW w:w="80" w:type="dxa"/>
            <w:vAlign w:val="bottom"/>
            <w:tcBorders>
              <w:top w:val="single" w:sz="8" w:color="E2EEF6"/>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E2EEF6"/>
            </w:tcBorders>
          </w:tcPr>
          <w:p>
            <w:pPr>
              <w:spacing w:after="0"/>
              <w:rPr>
                <w:sz w:val="16"/>
                <w:szCs w:val="16"/>
                <w:color w:val="auto"/>
              </w:rPr>
            </w:pPr>
          </w:p>
        </w:tc>
      </w:tr>
    </w:tbl>
    <w:p>
      <w:pPr>
        <w:ind w:left="640" w:hanging="321"/>
        <w:spacing w:after="0" w:line="271"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three and six months ended June 30, 2004 includes $7.1 million and $19.4 million, respectively, of operating and maintenance expense that TODCO classified as general and administrative expense.</w:t>
      </w:r>
    </w:p>
    <w:p>
      <w:pPr>
        <w:spacing w:after="0" w:line="22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Depreciation expense by segment was as follows (in millions):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60" w:type="dxa"/>
            <w:vAlign w:val="bottom"/>
          </w:tcPr>
          <w:p>
            <w:pPr>
              <w:spacing w:after="0"/>
              <w:rPr>
                <w:sz w:val="19"/>
                <w:szCs w:val="19"/>
                <w:color w:val="auto"/>
              </w:rPr>
            </w:pPr>
          </w:p>
        </w:tc>
        <w:tc>
          <w:tcPr>
            <w:tcW w:w="2580" w:type="dxa"/>
            <w:vAlign w:val="bottom"/>
            <w:gridSpan w:val="4"/>
          </w:tcPr>
          <w:p>
            <w:pPr>
              <w:jc w:val="right"/>
              <w:spacing w:after="0"/>
              <w:rPr>
                <w:sz w:val="20"/>
                <w:szCs w:val="20"/>
                <w:color w:val="auto"/>
              </w:rPr>
            </w:pPr>
            <w:r>
              <w:rPr>
                <w:rFonts w:ascii="Arial" w:cs="Arial" w:eastAsia="Arial" w:hAnsi="Arial"/>
                <w:sz w:val="17"/>
                <w:szCs w:val="17"/>
                <w:color w:val="auto"/>
              </w:rPr>
              <w:t>Three Months Ended June 30,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40" w:type="dxa"/>
            <w:vAlign w:val="bottom"/>
            <w:gridSpan w:val="6"/>
          </w:tcPr>
          <w:p>
            <w:pPr>
              <w:ind w:left="200"/>
              <w:spacing w:after="0"/>
              <w:rPr>
                <w:sz w:val="20"/>
                <w:szCs w:val="20"/>
                <w:color w:val="auto"/>
              </w:rPr>
            </w:pPr>
            <w:r>
              <w:rPr>
                <w:rFonts w:ascii="Arial" w:cs="Arial" w:eastAsia="Arial" w:hAnsi="Arial"/>
                <w:sz w:val="17"/>
                <w:szCs w:val="17"/>
                <w:color w:val="auto"/>
              </w:rPr>
              <w:t>Six Months Ended June 30,</w:t>
            </w:r>
          </w:p>
        </w:tc>
      </w:tr>
      <w:tr>
        <w:trPr>
          <w:trHeight w:val="255"/>
        </w:trPr>
        <w:tc>
          <w:tcPr>
            <w:tcW w:w="5160" w:type="dxa"/>
            <w:vAlign w:val="bottom"/>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2005</w:t>
            </w:r>
          </w:p>
        </w:tc>
        <w:tc>
          <w:tcPr>
            <w:tcW w:w="4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gridSpan w:val="2"/>
          </w:tcPr>
          <w:p>
            <w:pPr>
              <w:jc w:val="right"/>
              <w:ind w:right="24"/>
              <w:spacing w:after="0"/>
              <w:rPr>
                <w:sz w:val="20"/>
                <w:szCs w:val="20"/>
                <w:color w:val="auto"/>
              </w:rPr>
            </w:pPr>
            <w:r>
              <w:rPr>
                <w:rFonts w:ascii="Arial" w:cs="Arial" w:eastAsia="Arial" w:hAnsi="Arial"/>
                <w:sz w:val="17"/>
                <w:szCs w:val="17"/>
                <w:color w:val="auto"/>
              </w:rPr>
              <w:t>2004</w:t>
            </w:r>
          </w:p>
        </w:tc>
        <w:tc>
          <w:tcPr>
            <w:tcW w:w="4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ind w:left="200"/>
              <w:spacing w:after="0"/>
              <w:rPr>
                <w:sz w:val="20"/>
                <w:szCs w:val="20"/>
                <w:color w:val="auto"/>
              </w:rPr>
            </w:pPr>
            <w:r>
              <w:rPr>
                <w:rFonts w:ascii="Arial" w:cs="Arial" w:eastAsia="Arial" w:hAnsi="Arial"/>
                <w:sz w:val="17"/>
                <w:szCs w:val="17"/>
                <w:color w:val="auto"/>
              </w:rPr>
              <w:t>2005</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413"/>
              <w:spacing w:after="0"/>
              <w:rPr>
                <w:sz w:val="20"/>
                <w:szCs w:val="20"/>
                <w:color w:val="auto"/>
              </w:rPr>
            </w:pPr>
            <w:r>
              <w:rPr>
                <w:rFonts w:ascii="Arial" w:cs="Arial" w:eastAsia="Arial" w:hAnsi="Arial"/>
                <w:sz w:val="17"/>
                <w:szCs w:val="17"/>
                <w:color w:val="auto"/>
              </w:rPr>
              <w:t>2004</w:t>
            </w:r>
          </w:p>
        </w:tc>
        <w:tc>
          <w:tcPr>
            <w:tcW w:w="100" w:type="dxa"/>
            <w:vAlign w:val="bottom"/>
          </w:tcPr>
          <w:p>
            <w:pPr>
              <w:spacing w:after="0"/>
              <w:rPr>
                <w:sz w:val="22"/>
                <w:szCs w:val="22"/>
                <w:color w:val="auto"/>
              </w:rPr>
            </w:pPr>
          </w:p>
        </w:tc>
      </w:tr>
      <w:tr>
        <w:trPr>
          <w:trHeight w:val="229"/>
        </w:trPr>
        <w:tc>
          <w:tcPr>
            <w:tcW w:w="51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62"/>
        </w:trPr>
        <w:tc>
          <w:tcPr>
            <w:tcW w:w="5160" w:type="dxa"/>
            <w:vAlign w:val="bottom"/>
            <w:shd w:val="clear" w:color="auto" w:fill="E2EEF6"/>
          </w:tcPr>
          <w:p>
            <w:pPr>
              <w:spacing w:after="0"/>
              <w:rPr>
                <w:sz w:val="20"/>
                <w:szCs w:val="20"/>
                <w:color w:val="auto"/>
              </w:rPr>
            </w:pPr>
            <w:r>
              <w:rPr>
                <w:rFonts w:ascii="Arial" w:cs="Arial" w:eastAsia="Arial" w:hAnsi="Arial"/>
                <w:sz w:val="17"/>
                <w:szCs w:val="17"/>
                <w:color w:val="auto"/>
              </w:rPr>
              <w:t>Transocean Drilling</w:t>
            </w:r>
          </w:p>
        </w:tc>
        <w:tc>
          <w:tcPr>
            <w:tcW w:w="920" w:type="dxa"/>
            <w:vAlign w:val="bottom"/>
            <w:shd w:val="clear" w:color="auto" w:fill="E2EEF6"/>
          </w:tcPr>
          <w:p>
            <w:pPr>
              <w:jc w:val="right"/>
              <w:ind w:right="758"/>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101.2</w:t>
            </w:r>
          </w:p>
        </w:tc>
        <w:tc>
          <w:tcPr>
            <w:tcW w:w="1200" w:type="dxa"/>
            <w:vAlign w:val="bottom"/>
            <w:gridSpan w:val="2"/>
            <w:shd w:val="clear" w:color="auto" w:fill="E2EEF6"/>
          </w:tcPr>
          <w:p>
            <w:pPr>
              <w:jc w:val="right"/>
              <w:ind w:right="804"/>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w w:val="93"/>
              </w:rPr>
              <w:t>109.1</w:t>
            </w:r>
          </w:p>
        </w:tc>
        <w:tc>
          <w:tcPr>
            <w:tcW w:w="300" w:type="dxa"/>
            <w:vAlign w:val="bottom"/>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201.9</w:t>
            </w:r>
          </w:p>
        </w:tc>
        <w:tc>
          <w:tcPr>
            <w:tcW w:w="42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216.4</w:t>
            </w:r>
          </w:p>
        </w:tc>
      </w:tr>
      <w:tr>
        <w:trPr>
          <w:trHeight w:val="288"/>
        </w:trPr>
        <w:tc>
          <w:tcPr>
            <w:tcW w:w="5160" w:type="dxa"/>
            <w:vAlign w:val="bottom"/>
          </w:tcPr>
          <w:p>
            <w:pPr>
              <w:spacing w:after="0"/>
              <w:rPr>
                <w:sz w:val="20"/>
                <w:szCs w:val="20"/>
                <w:color w:val="auto"/>
              </w:rPr>
            </w:pPr>
            <w:r>
              <w:rPr>
                <w:rFonts w:ascii="Arial" w:cs="Arial" w:eastAsia="Arial" w:hAnsi="Arial"/>
                <w:sz w:val="17"/>
                <w:szCs w:val="17"/>
                <w:color w:val="auto"/>
              </w:rPr>
              <w:t>TODCO</w:t>
            </w: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w:t>
            </w:r>
          </w:p>
        </w:tc>
        <w:tc>
          <w:tcPr>
            <w:tcW w:w="100" w:type="dxa"/>
            <w:vAlign w:val="bottom"/>
          </w:tcPr>
          <w:p>
            <w:pPr>
              <w:spacing w:after="0"/>
              <w:rPr>
                <w:sz w:val="24"/>
                <w:szCs w:val="24"/>
                <w:color w:val="auto"/>
              </w:rPr>
            </w:pPr>
          </w:p>
        </w:tc>
      </w:tr>
      <w:tr>
        <w:trPr>
          <w:trHeight w:val="249"/>
        </w:trPr>
        <w:tc>
          <w:tcPr>
            <w:tcW w:w="5160" w:type="dxa"/>
            <w:vAlign w:val="bottom"/>
            <w:shd w:val="clear" w:color="auto" w:fill="E2EEF6"/>
          </w:tcPr>
          <w:p>
            <w:pPr>
              <w:ind w:left="320"/>
              <w:spacing w:after="0"/>
              <w:rPr>
                <w:sz w:val="20"/>
                <w:szCs w:val="20"/>
                <w:color w:val="auto"/>
              </w:rPr>
            </w:pPr>
            <w:r>
              <w:rPr>
                <w:rFonts w:ascii="Arial" w:cs="Arial" w:eastAsia="Arial" w:hAnsi="Arial"/>
                <w:sz w:val="17"/>
                <w:szCs w:val="17"/>
                <w:color w:val="auto"/>
              </w:rPr>
              <w:t>Total Depreciation Expense</w:t>
            </w:r>
          </w:p>
        </w:tc>
        <w:tc>
          <w:tcPr>
            <w:tcW w:w="920" w:type="dxa"/>
            <w:vAlign w:val="bottom"/>
            <w:shd w:val="clear" w:color="auto" w:fill="E2EEF6"/>
          </w:tcPr>
          <w:p>
            <w:pPr>
              <w:jc w:val="right"/>
              <w:ind w:right="758"/>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101.2</w:t>
            </w:r>
          </w:p>
        </w:tc>
        <w:tc>
          <w:tcPr>
            <w:tcW w:w="240" w:type="dxa"/>
            <w:vAlign w:val="bottom"/>
            <w:shd w:val="clear" w:color="auto" w:fill="E2EEF6"/>
          </w:tcPr>
          <w:p>
            <w:pPr>
              <w:spacing w:after="0"/>
              <w:rPr>
                <w:sz w:val="21"/>
                <w:szCs w:val="21"/>
                <w:color w:val="auto"/>
              </w:rPr>
            </w:pPr>
          </w:p>
        </w:tc>
        <w:tc>
          <w:tcPr>
            <w:tcW w:w="960" w:type="dxa"/>
            <w:vAlign w:val="bottom"/>
            <w:shd w:val="clear" w:color="auto" w:fill="E2EEF6"/>
          </w:tcPr>
          <w:p>
            <w:pPr>
              <w:jc w:val="right"/>
              <w:ind w:right="804"/>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E2EEF6"/>
          </w:tcPr>
          <w:p>
            <w:pPr>
              <w:jc w:val="right"/>
              <w:spacing w:after="0"/>
              <w:rPr>
                <w:sz w:val="20"/>
                <w:szCs w:val="20"/>
                <w:color w:val="auto"/>
              </w:rPr>
            </w:pPr>
            <w:r>
              <w:rPr>
                <w:rFonts w:ascii="Arial" w:cs="Arial" w:eastAsia="Arial" w:hAnsi="Arial"/>
                <w:sz w:val="17"/>
                <w:szCs w:val="17"/>
                <w:color w:val="auto"/>
                <w:w w:val="93"/>
              </w:rPr>
              <w:t>133.0</w:t>
            </w:r>
          </w:p>
        </w:tc>
        <w:tc>
          <w:tcPr>
            <w:tcW w:w="220" w:type="dxa"/>
            <w:vAlign w:val="bottom"/>
            <w:shd w:val="clear" w:color="auto" w:fill="E2EEF6"/>
          </w:tcPr>
          <w:p>
            <w:pPr>
              <w:spacing w:after="0"/>
              <w:rPr>
                <w:sz w:val="21"/>
                <w:szCs w:val="21"/>
                <w:color w:val="auto"/>
              </w:rPr>
            </w:pPr>
          </w:p>
        </w:tc>
        <w:tc>
          <w:tcPr>
            <w:tcW w:w="300" w:type="dxa"/>
            <w:vAlign w:val="bottom"/>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201.9</w:t>
            </w:r>
          </w:p>
        </w:tc>
        <w:tc>
          <w:tcPr>
            <w:tcW w:w="100" w:type="dxa"/>
            <w:vAlign w:val="bottom"/>
            <w:shd w:val="clear" w:color="auto" w:fill="E2EEF6"/>
          </w:tcPr>
          <w:p>
            <w:pPr>
              <w:spacing w:after="0"/>
              <w:rPr>
                <w:sz w:val="21"/>
                <w:szCs w:val="21"/>
                <w:color w:val="auto"/>
              </w:rPr>
            </w:pPr>
          </w:p>
        </w:tc>
        <w:tc>
          <w:tcPr>
            <w:tcW w:w="42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264.5</w:t>
            </w:r>
          </w:p>
        </w:tc>
      </w:tr>
      <w:tr>
        <w:trPr>
          <w:trHeight w:val="20"/>
        </w:trPr>
        <w:tc>
          <w:tcPr>
            <w:tcW w:w="5160" w:type="dxa"/>
            <w:vAlign w:val="bottom"/>
            <w:tcBorders>
              <w:top w:val="single" w:sz="8" w:color="E2EEF6"/>
            </w:tcBorders>
            <w:shd w:val="clear" w:color="auto" w:fill="E2EEF6"/>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2EEF6"/>
            </w:tcBorders>
            <w:shd w:val="clear" w:color="auto" w:fill="E2EEF6"/>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c>
          <w:tcPr>
            <w:tcW w:w="120" w:type="dxa"/>
            <w:vAlign w:val="bottom"/>
            <w:tcBorders>
              <w:top w:val="single" w:sz="8" w:color="E2EEF6"/>
            </w:tcBorders>
            <w:shd w:val="clear" w:color="auto" w:fill="E2EEF6"/>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r>
    </w:tbl>
    <w:p>
      <w:pPr>
        <w:spacing w:after="0" w:line="24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Total capital expenditures by segment were as follows (in millions):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60" w:type="dxa"/>
            <w:vAlign w:val="bottom"/>
          </w:tcPr>
          <w:p>
            <w:pPr>
              <w:spacing w:after="0"/>
              <w:rPr>
                <w:sz w:val="19"/>
                <w:szCs w:val="19"/>
                <w:color w:val="auto"/>
              </w:rPr>
            </w:pPr>
          </w:p>
        </w:tc>
        <w:tc>
          <w:tcPr>
            <w:tcW w:w="2620" w:type="dxa"/>
            <w:vAlign w:val="bottom"/>
            <w:gridSpan w:val="5"/>
          </w:tcPr>
          <w:p>
            <w:pPr>
              <w:jc w:val="right"/>
              <w:ind w:right="80"/>
              <w:spacing w:after="0"/>
              <w:rPr>
                <w:sz w:val="20"/>
                <w:szCs w:val="20"/>
                <w:color w:val="auto"/>
              </w:rPr>
            </w:pPr>
            <w:r>
              <w:rPr>
                <w:rFonts w:ascii="Arial" w:cs="Arial" w:eastAsia="Arial" w:hAnsi="Arial"/>
                <w:sz w:val="17"/>
                <w:szCs w:val="17"/>
                <w:color w:val="auto"/>
              </w:rPr>
              <w:t>Three Months Ended June 30,</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40" w:type="dxa"/>
            <w:vAlign w:val="bottom"/>
            <w:gridSpan w:val="6"/>
          </w:tcPr>
          <w:p>
            <w:pPr>
              <w:ind w:left="200"/>
              <w:spacing w:after="0"/>
              <w:rPr>
                <w:sz w:val="20"/>
                <w:szCs w:val="20"/>
                <w:color w:val="auto"/>
              </w:rPr>
            </w:pPr>
            <w:r>
              <w:rPr>
                <w:rFonts w:ascii="Arial" w:cs="Arial" w:eastAsia="Arial" w:hAnsi="Arial"/>
                <w:sz w:val="17"/>
                <w:szCs w:val="17"/>
                <w:color w:val="auto"/>
              </w:rPr>
              <w:t>Six Months Ended June 30,</w:t>
            </w:r>
          </w:p>
        </w:tc>
      </w:tr>
      <w:tr>
        <w:trPr>
          <w:trHeight w:val="255"/>
        </w:trPr>
        <w:tc>
          <w:tcPr>
            <w:tcW w:w="5160" w:type="dxa"/>
            <w:vAlign w:val="bottom"/>
          </w:tcPr>
          <w:p>
            <w:pPr>
              <w:spacing w:after="0"/>
              <w:rPr>
                <w:sz w:val="22"/>
                <w:szCs w:val="22"/>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7"/>
                <w:szCs w:val="17"/>
                <w:color w:val="auto"/>
              </w:rPr>
              <w:t>2005</w:t>
            </w:r>
          </w:p>
        </w:tc>
        <w:tc>
          <w:tcPr>
            <w:tcW w:w="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2004</w:t>
            </w:r>
          </w:p>
        </w:tc>
        <w:tc>
          <w:tcPr>
            <w:tcW w:w="3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ind w:left="200"/>
              <w:spacing w:after="0"/>
              <w:rPr>
                <w:sz w:val="20"/>
                <w:szCs w:val="20"/>
                <w:color w:val="auto"/>
              </w:rPr>
            </w:pPr>
            <w:r>
              <w:rPr>
                <w:rFonts w:ascii="Arial" w:cs="Arial" w:eastAsia="Arial" w:hAnsi="Arial"/>
                <w:sz w:val="17"/>
                <w:szCs w:val="17"/>
                <w:color w:val="auto"/>
              </w:rPr>
              <w:t>2005</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413"/>
              <w:spacing w:after="0"/>
              <w:rPr>
                <w:sz w:val="20"/>
                <w:szCs w:val="20"/>
                <w:color w:val="auto"/>
              </w:rPr>
            </w:pPr>
            <w:r>
              <w:rPr>
                <w:rFonts w:ascii="Arial" w:cs="Arial" w:eastAsia="Arial" w:hAnsi="Arial"/>
                <w:sz w:val="17"/>
                <w:szCs w:val="17"/>
                <w:color w:val="auto"/>
              </w:rPr>
              <w:t>2004</w:t>
            </w:r>
          </w:p>
        </w:tc>
        <w:tc>
          <w:tcPr>
            <w:tcW w:w="100" w:type="dxa"/>
            <w:vAlign w:val="bottom"/>
          </w:tcPr>
          <w:p>
            <w:pPr>
              <w:spacing w:after="0"/>
              <w:rPr>
                <w:sz w:val="22"/>
                <w:szCs w:val="22"/>
                <w:color w:val="auto"/>
              </w:rPr>
            </w:pPr>
          </w:p>
        </w:tc>
      </w:tr>
      <w:tr>
        <w:trPr>
          <w:trHeight w:val="229"/>
        </w:trPr>
        <w:tc>
          <w:tcPr>
            <w:tcW w:w="51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62"/>
        </w:trPr>
        <w:tc>
          <w:tcPr>
            <w:tcW w:w="5160" w:type="dxa"/>
            <w:vAlign w:val="bottom"/>
            <w:shd w:val="clear" w:color="auto" w:fill="E2EEF6"/>
          </w:tcPr>
          <w:p>
            <w:pPr>
              <w:spacing w:after="0"/>
              <w:rPr>
                <w:sz w:val="20"/>
                <w:szCs w:val="20"/>
                <w:color w:val="auto"/>
              </w:rPr>
            </w:pPr>
            <w:r>
              <w:rPr>
                <w:rFonts w:ascii="Arial" w:cs="Arial" w:eastAsia="Arial" w:hAnsi="Arial"/>
                <w:sz w:val="17"/>
                <w:szCs w:val="17"/>
                <w:color w:val="auto"/>
              </w:rPr>
              <w:t>Transocean Drilling</w:t>
            </w:r>
          </w:p>
        </w:tc>
        <w:tc>
          <w:tcPr>
            <w:tcW w:w="980" w:type="dxa"/>
            <w:vAlign w:val="bottom"/>
            <w:shd w:val="clear" w:color="auto" w:fill="E2EEF6"/>
          </w:tcPr>
          <w:p>
            <w:pPr>
              <w:jc w:val="right"/>
              <w:ind w:right="821"/>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E2EEF6"/>
          </w:tcPr>
          <w:p>
            <w:pPr>
              <w:jc w:val="right"/>
              <w:ind w:right="120"/>
              <w:spacing w:after="0"/>
              <w:rPr>
                <w:sz w:val="20"/>
                <w:szCs w:val="20"/>
                <w:color w:val="auto"/>
              </w:rPr>
            </w:pPr>
            <w:r>
              <w:rPr>
                <w:rFonts w:ascii="Arial" w:cs="Arial" w:eastAsia="Arial" w:hAnsi="Arial"/>
                <w:sz w:val="17"/>
                <w:szCs w:val="17"/>
                <w:color w:val="auto"/>
              </w:rPr>
              <w:t>78.4</w:t>
            </w:r>
          </w:p>
        </w:tc>
        <w:tc>
          <w:tcPr>
            <w:tcW w:w="1120" w:type="dxa"/>
            <w:vAlign w:val="bottom"/>
            <w:gridSpan w:val="2"/>
            <w:shd w:val="clear" w:color="auto" w:fill="E2EEF6"/>
          </w:tcPr>
          <w:p>
            <w:pPr>
              <w:jc w:val="right"/>
              <w:ind w:right="9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35.5</w:t>
            </w:r>
          </w:p>
        </w:tc>
        <w:tc>
          <w:tcPr>
            <w:tcW w:w="300" w:type="dxa"/>
            <w:vAlign w:val="bottom"/>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109.6</w:t>
            </w:r>
          </w:p>
        </w:tc>
        <w:tc>
          <w:tcPr>
            <w:tcW w:w="42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51.0</w:t>
            </w:r>
          </w:p>
        </w:tc>
      </w:tr>
      <w:tr>
        <w:trPr>
          <w:trHeight w:val="288"/>
        </w:trPr>
        <w:tc>
          <w:tcPr>
            <w:tcW w:w="5160" w:type="dxa"/>
            <w:vAlign w:val="bottom"/>
          </w:tcPr>
          <w:p>
            <w:pPr>
              <w:spacing w:after="0"/>
              <w:rPr>
                <w:sz w:val="20"/>
                <w:szCs w:val="20"/>
                <w:color w:val="auto"/>
              </w:rPr>
            </w:pPr>
            <w:r>
              <w:rPr>
                <w:rFonts w:ascii="Arial" w:cs="Arial" w:eastAsia="Arial" w:hAnsi="Arial"/>
                <w:sz w:val="17"/>
                <w:szCs w:val="17"/>
                <w:color w:val="auto"/>
              </w:rPr>
              <w:t>TODCO</w:t>
            </w:r>
          </w:p>
        </w:tc>
        <w:tc>
          <w:tcPr>
            <w:tcW w:w="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24"/>
                <w:szCs w:val="24"/>
                <w:color w:val="auto"/>
              </w:rPr>
            </w:pPr>
          </w:p>
        </w:tc>
      </w:tr>
      <w:tr>
        <w:trPr>
          <w:trHeight w:val="269"/>
        </w:trPr>
        <w:tc>
          <w:tcPr>
            <w:tcW w:w="5160" w:type="dxa"/>
            <w:vAlign w:val="bottom"/>
            <w:shd w:val="clear" w:color="auto" w:fill="E2EEF6"/>
          </w:tcPr>
          <w:p>
            <w:pPr>
              <w:ind w:left="320"/>
              <w:spacing w:after="0"/>
              <w:rPr>
                <w:sz w:val="20"/>
                <w:szCs w:val="20"/>
                <w:color w:val="auto"/>
              </w:rPr>
            </w:pPr>
            <w:r>
              <w:rPr>
                <w:rFonts w:ascii="Arial" w:cs="Arial" w:eastAsia="Arial" w:hAnsi="Arial"/>
                <w:sz w:val="17"/>
                <w:szCs w:val="17"/>
                <w:color w:val="auto"/>
              </w:rPr>
              <w:t>Total Capital Expenditures</w:t>
            </w:r>
          </w:p>
        </w:tc>
        <w:tc>
          <w:tcPr>
            <w:tcW w:w="980" w:type="dxa"/>
            <w:vAlign w:val="bottom"/>
            <w:shd w:val="clear" w:color="auto" w:fill="E2EEF6"/>
          </w:tcPr>
          <w:p>
            <w:pPr>
              <w:jc w:val="right"/>
              <w:ind w:right="821"/>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E2EEF6"/>
          </w:tcPr>
          <w:p>
            <w:pPr>
              <w:jc w:val="right"/>
              <w:ind w:right="120"/>
              <w:spacing w:after="0"/>
              <w:rPr>
                <w:sz w:val="20"/>
                <w:szCs w:val="20"/>
                <w:color w:val="auto"/>
              </w:rPr>
            </w:pPr>
            <w:r>
              <w:rPr>
                <w:rFonts w:ascii="Arial" w:cs="Arial" w:eastAsia="Arial" w:hAnsi="Arial"/>
                <w:sz w:val="17"/>
                <w:szCs w:val="17"/>
                <w:color w:val="auto"/>
              </w:rPr>
              <w:t>78.4</w:t>
            </w:r>
          </w:p>
        </w:tc>
        <w:tc>
          <w:tcPr>
            <w:tcW w:w="1120" w:type="dxa"/>
            <w:vAlign w:val="bottom"/>
            <w:gridSpan w:val="2"/>
            <w:shd w:val="clear" w:color="auto" w:fill="E2EEF6"/>
          </w:tcPr>
          <w:p>
            <w:pPr>
              <w:jc w:val="right"/>
              <w:ind w:right="9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37.3</w:t>
            </w:r>
          </w:p>
        </w:tc>
        <w:tc>
          <w:tcPr>
            <w:tcW w:w="300" w:type="dxa"/>
            <w:vAlign w:val="bottom"/>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109.6</w:t>
            </w:r>
          </w:p>
        </w:tc>
        <w:tc>
          <w:tcPr>
            <w:tcW w:w="42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54.7</w:t>
            </w:r>
          </w:p>
        </w:tc>
      </w:tr>
      <w:tr>
        <w:trPr>
          <w:trHeight w:val="375"/>
        </w:trPr>
        <w:tc>
          <w:tcPr>
            <w:tcW w:w="5160" w:type="dxa"/>
            <w:vAlign w:val="bottom"/>
            <w:tcBorders>
              <w:top w:val="single" w:sz="8" w:color="E2EEF6"/>
            </w:tcBorders>
          </w:tcPr>
          <w:p>
            <w:pPr>
              <w:spacing w:after="0"/>
              <w:rPr>
                <w:sz w:val="24"/>
                <w:szCs w:val="24"/>
                <w:color w:val="auto"/>
              </w:rPr>
            </w:pPr>
          </w:p>
        </w:tc>
        <w:tc>
          <w:tcPr>
            <w:tcW w:w="980" w:type="dxa"/>
            <w:vAlign w:val="bottom"/>
            <w:tcBorders>
              <w:top w:val="single" w:sz="8" w:color="auto"/>
            </w:tcBorders>
          </w:tcPr>
          <w:p>
            <w:pPr>
              <w:jc w:val="right"/>
              <w:ind w:right="281"/>
              <w:spacing w:after="0"/>
              <w:rPr>
                <w:sz w:val="20"/>
                <w:szCs w:val="20"/>
                <w:color w:val="auto"/>
              </w:rPr>
            </w:pPr>
            <w:r>
              <w:rPr>
                <w:rFonts w:ascii="Arial" w:cs="Arial" w:eastAsia="Arial" w:hAnsi="Arial"/>
                <w:sz w:val="14"/>
                <w:szCs w:val="14"/>
                <w:color w:val="auto"/>
              </w:rPr>
              <w:t>13</w:t>
            </w: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E2EEF6"/>
            </w:tcBorders>
          </w:tcPr>
          <w:p>
            <w:pPr>
              <w:spacing w:after="0"/>
              <w:rPr>
                <w:sz w:val="24"/>
                <w:szCs w:val="24"/>
                <w:color w:val="auto"/>
              </w:rPr>
            </w:pPr>
          </w:p>
        </w:tc>
        <w:tc>
          <w:tcPr>
            <w:tcW w:w="120" w:type="dxa"/>
            <w:vAlign w:val="bottom"/>
            <w:tcBorders>
              <w:top w:val="single" w:sz="8" w:color="E2EEF6"/>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Borders>
              <w:top w:val="single" w:sz="8" w:color="E2EEF6"/>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c>
          <w:tcPr>
            <w:tcW w:w="120" w:type="dxa"/>
            <w:vAlign w:val="bottom"/>
            <w:tcBorders>
              <w:top w:val="single" w:sz="8" w:color="E2EEF6"/>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r>
      <w:tr>
        <w:trPr>
          <w:trHeight w:val="98"/>
        </w:trPr>
        <w:tc>
          <w:tcPr>
            <w:tcW w:w="5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TRANSOCEAN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w:t>
      </w:r>
      <w:r>
        <w:rPr>
          <w:rFonts w:ascii="Arial" w:cs="Arial" w:eastAsia="Arial" w:hAnsi="Arial"/>
          <w:sz w:val="17"/>
          <w:szCs w:val="17"/>
          <w:color w:val="auto"/>
        </w:rPr>
        <w:t>―</w:t>
      </w:r>
      <w:r>
        <w:rPr>
          <w:rFonts w:ascii="Arial" w:cs="Arial" w:eastAsia="Arial" w:hAnsi="Arial"/>
          <w:sz w:val="17"/>
          <w:szCs w:val="17"/>
          <w:b w:val="1"/>
          <w:bCs w:val="1"/>
          <w:color w:val="auto"/>
        </w:rPr>
        <w:t>Earnings Per Share</w:t>
      </w:r>
    </w:p>
    <w:p>
      <w:pPr>
        <w:spacing w:after="0" w:line="281"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The reconciliation of the numerator and denominator used for the computation of basic and diluted earnings per share is as follows (in millions, except per share data):</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580" w:type="dxa"/>
            <w:vAlign w:val="bottom"/>
            <w:gridSpan w:val="4"/>
          </w:tcPr>
          <w:p>
            <w:pPr>
              <w:jc w:val="right"/>
              <w:ind w:right="40"/>
              <w:spacing w:after="0"/>
              <w:rPr>
                <w:sz w:val="20"/>
                <w:szCs w:val="20"/>
                <w:color w:val="auto"/>
              </w:rPr>
            </w:pPr>
            <w:r>
              <w:rPr>
                <w:rFonts w:ascii="Arial" w:cs="Arial" w:eastAsia="Arial" w:hAnsi="Arial"/>
                <w:sz w:val="17"/>
                <w:szCs w:val="17"/>
                <w:color w:val="auto"/>
              </w:rPr>
              <w:t>Three Months Ended June 30,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40" w:type="dxa"/>
            <w:vAlign w:val="bottom"/>
            <w:gridSpan w:val="6"/>
          </w:tcPr>
          <w:p>
            <w:pPr>
              <w:ind w:left="200"/>
              <w:spacing w:after="0"/>
              <w:rPr>
                <w:sz w:val="20"/>
                <w:szCs w:val="20"/>
                <w:color w:val="auto"/>
              </w:rPr>
            </w:pPr>
            <w:r>
              <w:rPr>
                <w:rFonts w:ascii="Arial" w:cs="Arial" w:eastAsia="Arial" w:hAnsi="Arial"/>
                <w:sz w:val="17"/>
                <w:szCs w:val="17"/>
                <w:color w:val="auto"/>
              </w:rPr>
              <w:t>Six Months Ended June 30,</w:t>
            </w:r>
          </w:p>
        </w:tc>
      </w:tr>
      <w:tr>
        <w:trPr>
          <w:trHeight w:val="255"/>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2005</w:t>
            </w:r>
          </w:p>
        </w:tc>
        <w:tc>
          <w:tcPr>
            <w:tcW w:w="4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2004</w:t>
            </w:r>
          </w:p>
        </w:tc>
        <w:tc>
          <w:tcPr>
            <w:tcW w:w="4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ind w:left="200"/>
              <w:spacing w:after="0"/>
              <w:rPr>
                <w:sz w:val="20"/>
                <w:szCs w:val="20"/>
                <w:color w:val="auto"/>
              </w:rPr>
            </w:pPr>
            <w:r>
              <w:rPr>
                <w:rFonts w:ascii="Arial" w:cs="Arial" w:eastAsia="Arial" w:hAnsi="Arial"/>
                <w:sz w:val="17"/>
                <w:szCs w:val="17"/>
                <w:color w:val="auto"/>
              </w:rPr>
              <w:t>2005</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413"/>
              <w:spacing w:after="0"/>
              <w:rPr>
                <w:sz w:val="20"/>
                <w:szCs w:val="20"/>
                <w:color w:val="auto"/>
              </w:rPr>
            </w:pPr>
            <w:r>
              <w:rPr>
                <w:rFonts w:ascii="Arial" w:cs="Arial" w:eastAsia="Arial" w:hAnsi="Arial"/>
                <w:sz w:val="17"/>
                <w:szCs w:val="17"/>
                <w:color w:val="auto"/>
              </w:rPr>
              <w:t>2004</w:t>
            </w:r>
          </w:p>
        </w:tc>
        <w:tc>
          <w:tcPr>
            <w:tcW w:w="100" w:type="dxa"/>
            <w:vAlign w:val="bottom"/>
          </w:tcPr>
          <w:p>
            <w:pPr>
              <w:spacing w:after="0"/>
              <w:rPr>
                <w:sz w:val="22"/>
                <w:szCs w:val="22"/>
                <w:color w:val="auto"/>
              </w:rPr>
            </w:pPr>
          </w:p>
        </w:tc>
      </w:tr>
      <w:tr>
        <w:trPr>
          <w:trHeight w:val="464"/>
        </w:trPr>
        <w:tc>
          <w:tcPr>
            <w:tcW w:w="5160" w:type="dxa"/>
            <w:vAlign w:val="bottom"/>
            <w:gridSpan w:val="2"/>
          </w:tcPr>
          <w:p>
            <w:pPr>
              <w:spacing w:after="0"/>
              <w:rPr>
                <w:sz w:val="20"/>
                <w:szCs w:val="20"/>
                <w:color w:val="auto"/>
              </w:rPr>
            </w:pPr>
            <w:r>
              <w:rPr>
                <w:rFonts w:ascii="Arial" w:cs="Arial" w:eastAsia="Arial" w:hAnsi="Arial"/>
                <w:sz w:val="17"/>
                <w:szCs w:val="17"/>
                <w:b w:val="1"/>
                <w:bCs w:val="1"/>
                <w:color w:val="auto"/>
              </w:rPr>
              <w:t>Numerator for Basic Earnings per Share</w:t>
            </w:r>
          </w:p>
        </w:tc>
        <w:tc>
          <w:tcPr>
            <w:tcW w:w="9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75"/>
        </w:trPr>
        <w:tc>
          <w:tcPr>
            <w:tcW w:w="20" w:type="dxa"/>
            <w:vAlign w:val="bottom"/>
          </w:tcPr>
          <w:p>
            <w:pPr>
              <w:spacing w:after="0"/>
              <w:rPr>
                <w:sz w:val="23"/>
                <w:szCs w:val="23"/>
                <w:color w:val="auto"/>
              </w:rPr>
            </w:pPr>
          </w:p>
        </w:tc>
        <w:tc>
          <w:tcPr>
            <w:tcW w:w="5140" w:type="dxa"/>
            <w:vAlign w:val="bottom"/>
            <w:shd w:val="clear" w:color="auto" w:fill="E2EEF6"/>
          </w:tcPr>
          <w:p>
            <w:pPr>
              <w:spacing w:after="0"/>
              <w:rPr>
                <w:sz w:val="20"/>
                <w:szCs w:val="20"/>
                <w:color w:val="auto"/>
              </w:rPr>
            </w:pPr>
            <w:r>
              <w:rPr>
                <w:rFonts w:ascii="Arial" w:cs="Arial" w:eastAsia="Arial" w:hAnsi="Arial"/>
                <w:sz w:val="17"/>
                <w:szCs w:val="17"/>
                <w:color w:val="auto"/>
              </w:rPr>
              <w:t>Net Income for basic earnings per share</w:t>
            </w:r>
          </w:p>
        </w:tc>
        <w:tc>
          <w:tcPr>
            <w:tcW w:w="920" w:type="dxa"/>
            <w:vAlign w:val="bottom"/>
            <w:shd w:val="clear" w:color="auto" w:fill="E2EEF6"/>
          </w:tcPr>
          <w:p>
            <w:pPr>
              <w:jc w:val="right"/>
              <w:ind w:right="761"/>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301.8</w:t>
            </w:r>
          </w:p>
        </w:tc>
        <w:tc>
          <w:tcPr>
            <w:tcW w:w="1200" w:type="dxa"/>
            <w:vAlign w:val="bottom"/>
            <w:gridSpan w:val="2"/>
            <w:shd w:val="clear" w:color="auto" w:fill="E2EEF6"/>
          </w:tcPr>
          <w:p>
            <w:pPr>
              <w:jc w:val="right"/>
              <w:ind w:right="88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48.0</w:t>
            </w:r>
          </w:p>
        </w:tc>
        <w:tc>
          <w:tcPr>
            <w:tcW w:w="300" w:type="dxa"/>
            <w:vAlign w:val="bottom"/>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393.6</w:t>
            </w:r>
          </w:p>
        </w:tc>
        <w:tc>
          <w:tcPr>
            <w:tcW w:w="42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70.7</w:t>
            </w:r>
          </w:p>
        </w:tc>
      </w:tr>
      <w:tr>
        <w:trPr>
          <w:trHeight w:val="215"/>
        </w:trPr>
        <w:tc>
          <w:tcPr>
            <w:tcW w:w="20" w:type="dxa"/>
            <w:vAlign w:val="bottom"/>
          </w:tcPr>
          <w:p>
            <w:pPr>
              <w:spacing w:after="0"/>
              <w:rPr>
                <w:sz w:val="18"/>
                <w:szCs w:val="18"/>
                <w:color w:val="auto"/>
              </w:rPr>
            </w:pPr>
          </w:p>
        </w:tc>
        <w:tc>
          <w:tcPr>
            <w:tcW w:w="5140" w:type="dxa"/>
            <w:vAlign w:val="bottom"/>
            <w:tcBorders>
              <w:top w:val="single" w:sz="8" w:color="E2EEF6"/>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Borders>
              <w:top w:val="single" w:sz="8" w:color="E2EEF6"/>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E2EEF6"/>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E2EEF6"/>
            </w:tcBorders>
          </w:tcPr>
          <w:p>
            <w:pPr>
              <w:spacing w:after="0"/>
              <w:rPr>
                <w:sz w:val="18"/>
                <w:szCs w:val="18"/>
                <w:color w:val="auto"/>
              </w:rPr>
            </w:pPr>
          </w:p>
        </w:tc>
        <w:tc>
          <w:tcPr>
            <w:tcW w:w="120" w:type="dxa"/>
            <w:vAlign w:val="bottom"/>
            <w:tcBorders>
              <w:top w:val="single" w:sz="8" w:color="E2EEF6"/>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E2EEF6"/>
            </w:tcBorders>
          </w:tcPr>
          <w:p>
            <w:pPr>
              <w:spacing w:after="0"/>
              <w:rPr>
                <w:sz w:val="18"/>
                <w:szCs w:val="18"/>
                <w:color w:val="auto"/>
              </w:rPr>
            </w:pPr>
          </w:p>
        </w:tc>
      </w:tr>
      <w:tr>
        <w:trPr>
          <w:trHeight w:val="235"/>
        </w:trPr>
        <w:tc>
          <w:tcPr>
            <w:tcW w:w="20" w:type="dxa"/>
            <w:vAlign w:val="bottom"/>
          </w:tcPr>
          <w:p>
            <w:pPr>
              <w:spacing w:after="0"/>
              <w:rPr>
                <w:sz w:val="20"/>
                <w:szCs w:val="20"/>
                <w:color w:val="auto"/>
              </w:rPr>
            </w:pPr>
          </w:p>
        </w:tc>
        <w:tc>
          <w:tcPr>
            <w:tcW w:w="5140" w:type="dxa"/>
            <w:vAlign w:val="bottom"/>
            <w:shd w:val="clear" w:color="auto" w:fill="E2EEF6"/>
          </w:tcPr>
          <w:p>
            <w:pPr>
              <w:spacing w:after="0"/>
              <w:rPr>
                <w:sz w:val="20"/>
                <w:szCs w:val="20"/>
                <w:color w:val="auto"/>
              </w:rPr>
            </w:pPr>
            <w:r>
              <w:rPr>
                <w:rFonts w:ascii="Arial" w:cs="Arial" w:eastAsia="Arial" w:hAnsi="Arial"/>
                <w:sz w:val="17"/>
                <w:szCs w:val="17"/>
                <w:b w:val="1"/>
                <w:bCs w:val="1"/>
                <w:color w:val="auto"/>
              </w:rPr>
              <w:t>Numerator for Diluted Earnings per Share</w:t>
            </w:r>
          </w:p>
        </w:tc>
        <w:tc>
          <w:tcPr>
            <w:tcW w:w="920" w:type="dxa"/>
            <w:vAlign w:val="bottom"/>
            <w:shd w:val="clear" w:color="auto" w:fill="E2EEF6"/>
          </w:tcPr>
          <w:p>
            <w:pPr>
              <w:spacing w:after="0"/>
              <w:rPr>
                <w:sz w:val="20"/>
                <w:szCs w:val="20"/>
                <w:color w:val="auto"/>
              </w:rPr>
            </w:pPr>
          </w:p>
        </w:tc>
        <w:tc>
          <w:tcPr>
            <w:tcW w:w="46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960" w:type="dxa"/>
            <w:vAlign w:val="bottom"/>
            <w:shd w:val="clear" w:color="auto" w:fill="E2EEF6"/>
          </w:tcPr>
          <w:p>
            <w:pPr>
              <w:spacing w:after="0"/>
              <w:rPr>
                <w:sz w:val="20"/>
                <w:szCs w:val="20"/>
                <w:color w:val="auto"/>
              </w:rPr>
            </w:pPr>
          </w:p>
        </w:tc>
        <w:tc>
          <w:tcPr>
            <w:tcW w:w="4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5"/>
        </w:trPr>
        <w:tc>
          <w:tcPr>
            <w:tcW w:w="516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920" w:type="dxa"/>
            <w:vAlign w:val="bottom"/>
          </w:tcPr>
          <w:p>
            <w:pPr>
              <w:jc w:val="right"/>
              <w:ind w:right="761"/>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301.8</w:t>
            </w:r>
          </w:p>
        </w:tc>
        <w:tc>
          <w:tcPr>
            <w:tcW w:w="1200" w:type="dxa"/>
            <w:vAlign w:val="bottom"/>
            <w:gridSpan w:val="2"/>
          </w:tcPr>
          <w:p>
            <w:pPr>
              <w:jc w:val="right"/>
              <w:ind w:right="88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48.0</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393.6</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70.7</w:t>
            </w:r>
          </w:p>
        </w:tc>
      </w:tr>
      <w:tr>
        <w:trPr>
          <w:trHeight w:val="236"/>
        </w:trPr>
        <w:tc>
          <w:tcPr>
            <w:tcW w:w="20" w:type="dxa"/>
            <w:vAlign w:val="bottom"/>
          </w:tcPr>
          <w:p>
            <w:pPr>
              <w:spacing w:after="0"/>
              <w:rPr>
                <w:sz w:val="20"/>
                <w:szCs w:val="20"/>
                <w:color w:val="auto"/>
              </w:rPr>
            </w:pPr>
          </w:p>
        </w:tc>
        <w:tc>
          <w:tcPr>
            <w:tcW w:w="51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7"/>
                <w:szCs w:val="17"/>
                <w:color w:val="auto"/>
              </w:rPr>
              <w:t>Add back interest expense on the 1.5% convertible debentures</w:t>
            </w:r>
          </w:p>
        </w:tc>
        <w:tc>
          <w:tcPr>
            <w:tcW w:w="920" w:type="dxa"/>
            <w:vAlign w:val="bottom"/>
            <w:tcBorders>
              <w:bottom w:val="single" w:sz="8" w:color="auto"/>
            </w:tcBorders>
            <w:shd w:val="clear" w:color="auto" w:fill="E2EEF6"/>
          </w:tcPr>
          <w:p>
            <w:pPr>
              <w:spacing w:after="0"/>
              <w:rPr>
                <w:sz w:val="20"/>
                <w:szCs w:val="20"/>
                <w:color w:val="auto"/>
              </w:rPr>
            </w:pPr>
          </w:p>
        </w:tc>
        <w:tc>
          <w:tcPr>
            <w:tcW w:w="4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7"/>
                <w:szCs w:val="17"/>
                <w:color w:val="auto"/>
              </w:rPr>
              <w:t>1.6</w:t>
            </w:r>
          </w:p>
        </w:tc>
        <w:tc>
          <w:tcPr>
            <w:tcW w:w="240" w:type="dxa"/>
            <w:vAlign w:val="bottom"/>
            <w:tcBorders>
              <w:bottom w:val="single" w:sz="8" w:color="E2EEF6"/>
            </w:tcBorders>
            <w:shd w:val="clear" w:color="auto" w:fill="E2EEF6"/>
          </w:tcPr>
          <w:p>
            <w:pPr>
              <w:spacing w:after="0"/>
              <w:rPr>
                <w:sz w:val="20"/>
                <w:szCs w:val="20"/>
                <w:color w:val="auto"/>
              </w:rPr>
            </w:pPr>
          </w:p>
        </w:tc>
        <w:tc>
          <w:tcPr>
            <w:tcW w:w="960" w:type="dxa"/>
            <w:vAlign w:val="bottom"/>
            <w:tcBorders>
              <w:bottom w:val="single" w:sz="8" w:color="auto"/>
            </w:tcBorders>
            <w:shd w:val="clear" w:color="auto" w:fill="E2EEF6"/>
          </w:tcPr>
          <w:p>
            <w:pPr>
              <w:spacing w:after="0"/>
              <w:rPr>
                <w:sz w:val="20"/>
                <w:szCs w:val="20"/>
                <w:color w:val="auto"/>
              </w:rPr>
            </w:pPr>
          </w:p>
        </w:tc>
        <w:tc>
          <w:tcPr>
            <w:tcW w:w="4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E2EEF6"/>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0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E2EEF6"/>
            </w:tcBorders>
            <w:shd w:val="clear" w:color="auto" w:fill="E2EEF6"/>
          </w:tcPr>
          <w:p>
            <w:pPr>
              <w:spacing w:after="0"/>
              <w:rPr>
                <w:sz w:val="20"/>
                <w:szCs w:val="20"/>
                <w:color w:val="auto"/>
              </w:rPr>
            </w:pPr>
          </w:p>
        </w:tc>
        <w:tc>
          <w:tcPr>
            <w:tcW w:w="120" w:type="dxa"/>
            <w:vAlign w:val="bottom"/>
            <w:tcBorders>
              <w:bottom w:val="single" w:sz="8" w:color="E2EEF6"/>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0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E2EEF6"/>
            </w:tcBorders>
            <w:shd w:val="clear" w:color="auto" w:fill="E2EEF6"/>
          </w:tcPr>
          <w:p>
            <w:pPr>
              <w:spacing w:after="0"/>
              <w:rPr>
                <w:sz w:val="20"/>
                <w:szCs w:val="20"/>
                <w:color w:val="auto"/>
              </w:rPr>
            </w:pPr>
          </w:p>
        </w:tc>
      </w:tr>
      <w:tr>
        <w:trPr>
          <w:trHeight w:val="229"/>
        </w:trPr>
        <w:tc>
          <w:tcPr>
            <w:tcW w:w="5160" w:type="dxa"/>
            <w:vAlign w:val="bottom"/>
            <w:gridSpan w:val="2"/>
          </w:tcPr>
          <w:p>
            <w:pPr>
              <w:spacing w:after="0"/>
              <w:rPr>
                <w:sz w:val="20"/>
                <w:szCs w:val="20"/>
                <w:color w:val="auto"/>
              </w:rPr>
            </w:pPr>
            <w:r>
              <w:rPr>
                <w:rFonts w:ascii="Arial" w:cs="Arial" w:eastAsia="Arial" w:hAnsi="Arial"/>
                <w:sz w:val="17"/>
                <w:szCs w:val="17"/>
                <w:color w:val="auto"/>
              </w:rPr>
              <w:t>Net Income for diluted earnings per share</w:t>
            </w:r>
          </w:p>
        </w:tc>
        <w:tc>
          <w:tcPr>
            <w:tcW w:w="920" w:type="dxa"/>
            <w:vAlign w:val="bottom"/>
          </w:tcPr>
          <w:p>
            <w:pPr>
              <w:jc w:val="right"/>
              <w:ind w:right="761"/>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303.4</w:t>
            </w:r>
          </w:p>
        </w:tc>
        <w:tc>
          <w:tcPr>
            <w:tcW w:w="1200" w:type="dxa"/>
            <w:vAlign w:val="bottom"/>
            <w:gridSpan w:val="2"/>
          </w:tcPr>
          <w:p>
            <w:pPr>
              <w:jc w:val="right"/>
              <w:ind w:right="88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48.0</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396.8</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70.7</w:t>
            </w: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shd w:val="clear" w:color="auto" w:fill="E2EEF6"/>
          </w:tcPr>
          <w:p>
            <w:pPr>
              <w:spacing w:after="0"/>
              <w:rPr>
                <w:sz w:val="18"/>
                <w:szCs w:val="18"/>
                <w:color w:val="auto"/>
              </w:rPr>
            </w:pPr>
          </w:p>
        </w:tc>
        <w:tc>
          <w:tcPr>
            <w:tcW w:w="920" w:type="dxa"/>
            <w:vAlign w:val="bottom"/>
            <w:shd w:val="clear" w:color="auto" w:fill="E2EEF6"/>
          </w:tcPr>
          <w:p>
            <w:pPr>
              <w:spacing w:after="0"/>
              <w:rPr>
                <w:sz w:val="18"/>
                <w:szCs w:val="18"/>
                <w:color w:val="auto"/>
              </w:rPr>
            </w:pPr>
          </w:p>
        </w:tc>
        <w:tc>
          <w:tcPr>
            <w:tcW w:w="460" w:type="dxa"/>
            <w:vAlign w:val="bottom"/>
            <w:shd w:val="clear" w:color="auto" w:fill="E2EEF6"/>
          </w:tcPr>
          <w:p>
            <w:pPr>
              <w:spacing w:after="0"/>
              <w:rPr>
                <w:sz w:val="18"/>
                <w:szCs w:val="18"/>
                <w:color w:val="auto"/>
              </w:rPr>
            </w:pPr>
          </w:p>
        </w:tc>
        <w:tc>
          <w:tcPr>
            <w:tcW w:w="240" w:type="dxa"/>
            <w:vAlign w:val="bottom"/>
            <w:shd w:val="clear" w:color="auto" w:fill="E2EEF6"/>
          </w:tcPr>
          <w:p>
            <w:pPr>
              <w:spacing w:after="0"/>
              <w:rPr>
                <w:sz w:val="18"/>
                <w:szCs w:val="18"/>
                <w:color w:val="auto"/>
              </w:rPr>
            </w:pPr>
          </w:p>
        </w:tc>
        <w:tc>
          <w:tcPr>
            <w:tcW w:w="960" w:type="dxa"/>
            <w:vAlign w:val="bottom"/>
            <w:shd w:val="clear" w:color="auto" w:fill="E2EEF6"/>
          </w:tcPr>
          <w:p>
            <w:pPr>
              <w:spacing w:after="0"/>
              <w:rPr>
                <w:sz w:val="18"/>
                <w:szCs w:val="18"/>
                <w:color w:val="auto"/>
              </w:rPr>
            </w:pPr>
          </w:p>
        </w:tc>
        <w:tc>
          <w:tcPr>
            <w:tcW w:w="420" w:type="dxa"/>
            <w:vAlign w:val="bottom"/>
            <w:shd w:val="clear" w:color="auto" w:fill="E2EEF6"/>
          </w:tcPr>
          <w:p>
            <w:pPr>
              <w:spacing w:after="0"/>
              <w:rPr>
                <w:sz w:val="18"/>
                <w:szCs w:val="18"/>
                <w:color w:val="auto"/>
              </w:rPr>
            </w:pPr>
          </w:p>
        </w:tc>
        <w:tc>
          <w:tcPr>
            <w:tcW w:w="220" w:type="dxa"/>
            <w:vAlign w:val="bottom"/>
            <w:shd w:val="clear" w:color="auto" w:fill="E2EEF6"/>
          </w:tcPr>
          <w:p>
            <w:pPr>
              <w:spacing w:after="0"/>
              <w:rPr>
                <w:sz w:val="18"/>
                <w:szCs w:val="18"/>
                <w:color w:val="auto"/>
              </w:rPr>
            </w:pPr>
          </w:p>
        </w:tc>
        <w:tc>
          <w:tcPr>
            <w:tcW w:w="300" w:type="dxa"/>
            <w:vAlign w:val="bottom"/>
            <w:shd w:val="clear" w:color="auto" w:fill="E2EEF6"/>
          </w:tcPr>
          <w:p>
            <w:pPr>
              <w:spacing w:after="0"/>
              <w:rPr>
                <w:sz w:val="18"/>
                <w:szCs w:val="18"/>
                <w:color w:val="auto"/>
              </w:rPr>
            </w:pPr>
          </w:p>
        </w:tc>
        <w:tc>
          <w:tcPr>
            <w:tcW w:w="1060" w:type="dxa"/>
            <w:vAlign w:val="bottom"/>
            <w:shd w:val="clear" w:color="auto" w:fill="E2EEF6"/>
          </w:tcPr>
          <w:p>
            <w:pPr>
              <w:spacing w:after="0"/>
              <w:rPr>
                <w:sz w:val="18"/>
                <w:szCs w:val="18"/>
                <w:color w:val="auto"/>
              </w:rPr>
            </w:pPr>
          </w:p>
        </w:tc>
        <w:tc>
          <w:tcPr>
            <w:tcW w:w="100" w:type="dxa"/>
            <w:vAlign w:val="bottom"/>
            <w:shd w:val="clear" w:color="auto" w:fill="E2EEF6"/>
          </w:tcPr>
          <w:p>
            <w:pPr>
              <w:spacing w:after="0"/>
              <w:rPr>
                <w:sz w:val="18"/>
                <w:szCs w:val="18"/>
                <w:color w:val="auto"/>
              </w:rPr>
            </w:pPr>
          </w:p>
        </w:tc>
        <w:tc>
          <w:tcPr>
            <w:tcW w:w="120" w:type="dxa"/>
            <w:vAlign w:val="bottom"/>
            <w:shd w:val="clear" w:color="auto" w:fill="E2EEF6"/>
          </w:tcPr>
          <w:p>
            <w:pPr>
              <w:spacing w:after="0"/>
              <w:rPr>
                <w:sz w:val="18"/>
                <w:szCs w:val="18"/>
                <w:color w:val="auto"/>
              </w:rPr>
            </w:pPr>
          </w:p>
        </w:tc>
        <w:tc>
          <w:tcPr>
            <w:tcW w:w="300" w:type="dxa"/>
            <w:vAlign w:val="bottom"/>
            <w:shd w:val="clear" w:color="auto" w:fill="E2EEF6"/>
          </w:tcPr>
          <w:p>
            <w:pPr>
              <w:spacing w:after="0"/>
              <w:rPr>
                <w:sz w:val="18"/>
                <w:szCs w:val="18"/>
                <w:color w:val="auto"/>
              </w:rPr>
            </w:pPr>
          </w:p>
        </w:tc>
        <w:tc>
          <w:tcPr>
            <w:tcW w:w="1060" w:type="dxa"/>
            <w:vAlign w:val="bottom"/>
            <w:shd w:val="clear" w:color="auto" w:fill="E2EEF6"/>
          </w:tcPr>
          <w:p>
            <w:pPr>
              <w:spacing w:after="0"/>
              <w:rPr>
                <w:sz w:val="18"/>
                <w:szCs w:val="18"/>
                <w:color w:val="auto"/>
              </w:rPr>
            </w:pPr>
          </w:p>
        </w:tc>
        <w:tc>
          <w:tcPr>
            <w:tcW w:w="100" w:type="dxa"/>
            <w:vAlign w:val="bottom"/>
            <w:shd w:val="clear" w:color="auto" w:fill="E2EEF6"/>
          </w:tcPr>
          <w:p>
            <w:pPr>
              <w:spacing w:after="0"/>
              <w:rPr>
                <w:sz w:val="18"/>
                <w:szCs w:val="18"/>
                <w:color w:val="auto"/>
              </w:rPr>
            </w:pPr>
          </w:p>
        </w:tc>
      </w:tr>
      <w:tr>
        <w:trPr>
          <w:trHeight w:val="235"/>
        </w:trPr>
        <w:tc>
          <w:tcPr>
            <w:tcW w:w="5160" w:type="dxa"/>
            <w:vAlign w:val="bottom"/>
            <w:gridSpan w:val="2"/>
          </w:tcPr>
          <w:p>
            <w:pPr>
              <w:spacing w:after="0"/>
              <w:rPr>
                <w:sz w:val="20"/>
                <w:szCs w:val="20"/>
                <w:color w:val="auto"/>
              </w:rPr>
            </w:pPr>
            <w:r>
              <w:rPr>
                <w:rFonts w:ascii="Arial" w:cs="Arial" w:eastAsia="Arial" w:hAnsi="Arial"/>
                <w:sz w:val="17"/>
                <w:szCs w:val="17"/>
                <w:b w:val="1"/>
                <w:bCs w:val="1"/>
                <w:color w:val="auto"/>
              </w:rPr>
              <w:t>Denominator for Diluted Earnings per Share</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5140" w:type="dxa"/>
            <w:vAlign w:val="bottom"/>
            <w:shd w:val="clear" w:color="auto" w:fill="E2EEF6"/>
          </w:tcPr>
          <w:p>
            <w:pPr>
              <w:spacing w:after="0"/>
              <w:rPr>
                <w:sz w:val="20"/>
                <w:szCs w:val="20"/>
                <w:color w:val="auto"/>
              </w:rPr>
            </w:pPr>
            <w:r>
              <w:rPr>
                <w:rFonts w:ascii="Arial" w:cs="Arial" w:eastAsia="Arial" w:hAnsi="Arial"/>
                <w:sz w:val="17"/>
                <w:szCs w:val="17"/>
                <w:color w:val="auto"/>
              </w:rPr>
              <w:t>Weighted-average shares outstanding for basic earnings per share</w:t>
            </w:r>
          </w:p>
        </w:tc>
        <w:tc>
          <w:tcPr>
            <w:tcW w:w="920" w:type="dxa"/>
            <w:vAlign w:val="bottom"/>
            <w:shd w:val="clear" w:color="auto" w:fill="E2EEF6"/>
          </w:tcPr>
          <w:p>
            <w:pPr>
              <w:spacing w:after="0"/>
              <w:rPr>
                <w:sz w:val="20"/>
                <w:szCs w:val="20"/>
                <w:color w:val="auto"/>
              </w:rPr>
            </w:pPr>
          </w:p>
        </w:tc>
        <w:tc>
          <w:tcPr>
            <w:tcW w:w="4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326.1</w:t>
            </w:r>
          </w:p>
        </w:tc>
        <w:tc>
          <w:tcPr>
            <w:tcW w:w="240" w:type="dxa"/>
            <w:vAlign w:val="bottom"/>
            <w:shd w:val="clear" w:color="auto" w:fill="E2EEF6"/>
          </w:tcPr>
          <w:p>
            <w:pPr>
              <w:spacing w:after="0"/>
              <w:rPr>
                <w:sz w:val="20"/>
                <w:szCs w:val="20"/>
                <w:color w:val="auto"/>
              </w:rPr>
            </w:pPr>
          </w:p>
        </w:tc>
        <w:tc>
          <w:tcPr>
            <w:tcW w:w="960" w:type="dxa"/>
            <w:vAlign w:val="bottom"/>
            <w:shd w:val="clear" w:color="auto" w:fill="E2EEF6"/>
          </w:tcPr>
          <w:p>
            <w:pPr>
              <w:spacing w:after="0"/>
              <w:rPr>
                <w:sz w:val="20"/>
                <w:szCs w:val="20"/>
                <w:color w:val="auto"/>
              </w:rPr>
            </w:pPr>
          </w:p>
        </w:tc>
        <w:tc>
          <w:tcPr>
            <w:tcW w:w="64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w w:val="93"/>
              </w:rPr>
              <w:t>320.8</w:t>
            </w: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324.8</w:t>
            </w:r>
          </w:p>
        </w:tc>
        <w:tc>
          <w:tcPr>
            <w:tcW w:w="1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320.7</w:t>
            </w:r>
          </w:p>
        </w:tc>
      </w:tr>
      <w:tr>
        <w:trPr>
          <w:trHeight w:val="235"/>
        </w:trPr>
        <w:tc>
          <w:tcPr>
            <w:tcW w:w="5160" w:type="dxa"/>
            <w:vAlign w:val="bottom"/>
            <w:gridSpan w:val="2"/>
          </w:tcPr>
          <w:p>
            <w:pPr>
              <w:spacing w:after="0"/>
              <w:rPr>
                <w:sz w:val="20"/>
                <w:szCs w:val="20"/>
                <w:color w:val="auto"/>
              </w:rPr>
            </w:pPr>
            <w:r>
              <w:rPr>
                <w:rFonts w:ascii="Arial" w:cs="Arial" w:eastAsia="Arial" w:hAnsi="Arial"/>
                <w:sz w:val="17"/>
                <w:szCs w:val="17"/>
                <w:color w:val="auto"/>
              </w:rPr>
              <w:t>Effect of dilutive securities:</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5140" w:type="dxa"/>
            <w:vAlign w:val="bottom"/>
            <w:shd w:val="clear" w:color="auto" w:fill="E2EEF6"/>
          </w:tcPr>
          <w:p>
            <w:pPr>
              <w:ind w:left="140"/>
              <w:spacing w:after="0"/>
              <w:rPr>
                <w:sz w:val="20"/>
                <w:szCs w:val="20"/>
                <w:color w:val="auto"/>
              </w:rPr>
            </w:pPr>
            <w:r>
              <w:rPr>
                <w:rFonts w:ascii="Arial" w:cs="Arial" w:eastAsia="Arial" w:hAnsi="Arial"/>
                <w:sz w:val="17"/>
                <w:szCs w:val="17"/>
                <w:color w:val="auto"/>
              </w:rPr>
              <w:t>Employee stock options and unvested stock grants</w:t>
            </w:r>
          </w:p>
        </w:tc>
        <w:tc>
          <w:tcPr>
            <w:tcW w:w="920" w:type="dxa"/>
            <w:vAlign w:val="bottom"/>
            <w:shd w:val="clear" w:color="auto" w:fill="E2EEF6"/>
          </w:tcPr>
          <w:p>
            <w:pPr>
              <w:spacing w:after="0"/>
              <w:rPr>
                <w:sz w:val="20"/>
                <w:szCs w:val="20"/>
                <w:color w:val="auto"/>
              </w:rPr>
            </w:pPr>
          </w:p>
        </w:tc>
        <w:tc>
          <w:tcPr>
            <w:tcW w:w="4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3.6</w:t>
            </w:r>
          </w:p>
        </w:tc>
        <w:tc>
          <w:tcPr>
            <w:tcW w:w="240" w:type="dxa"/>
            <w:vAlign w:val="bottom"/>
            <w:shd w:val="clear" w:color="auto" w:fill="E2EEF6"/>
          </w:tcPr>
          <w:p>
            <w:pPr>
              <w:spacing w:after="0"/>
              <w:rPr>
                <w:sz w:val="20"/>
                <w:szCs w:val="20"/>
                <w:color w:val="auto"/>
              </w:rPr>
            </w:pPr>
          </w:p>
        </w:tc>
        <w:tc>
          <w:tcPr>
            <w:tcW w:w="960" w:type="dxa"/>
            <w:vAlign w:val="bottom"/>
            <w:shd w:val="clear" w:color="auto" w:fill="E2EEF6"/>
          </w:tcPr>
          <w:p>
            <w:pPr>
              <w:spacing w:after="0"/>
              <w:rPr>
                <w:sz w:val="20"/>
                <w:szCs w:val="20"/>
                <w:color w:val="auto"/>
              </w:rPr>
            </w:pPr>
          </w:p>
        </w:tc>
        <w:tc>
          <w:tcPr>
            <w:tcW w:w="64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2.0</w:t>
            </w: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3.8</w:t>
            </w:r>
          </w:p>
        </w:tc>
        <w:tc>
          <w:tcPr>
            <w:tcW w:w="1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2.1</w:t>
            </w:r>
          </w:p>
        </w:tc>
      </w:tr>
      <w:tr>
        <w:trPr>
          <w:trHeight w:val="235"/>
        </w:trPr>
        <w:tc>
          <w:tcPr>
            <w:tcW w:w="20" w:type="dxa"/>
            <w:vAlign w:val="bottom"/>
          </w:tcPr>
          <w:p>
            <w:pPr>
              <w:spacing w:after="0"/>
              <w:rPr>
                <w:sz w:val="20"/>
                <w:szCs w:val="20"/>
                <w:color w:val="auto"/>
              </w:rPr>
            </w:pPr>
          </w:p>
        </w:tc>
        <w:tc>
          <w:tcPr>
            <w:tcW w:w="5140" w:type="dxa"/>
            <w:vAlign w:val="bottom"/>
          </w:tcPr>
          <w:p>
            <w:pPr>
              <w:ind w:left="140"/>
              <w:spacing w:after="0"/>
              <w:rPr>
                <w:sz w:val="20"/>
                <w:szCs w:val="20"/>
                <w:color w:val="auto"/>
              </w:rPr>
            </w:pPr>
            <w:r>
              <w:rPr>
                <w:rFonts w:ascii="Arial" w:cs="Arial" w:eastAsia="Arial" w:hAnsi="Arial"/>
                <w:sz w:val="17"/>
                <w:szCs w:val="17"/>
                <w:color w:val="auto"/>
              </w:rPr>
              <w:t>Warrants to purchase ordinary shares</w:t>
            </w: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2.8</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1.3</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1.4</w:t>
            </w:r>
          </w:p>
        </w:tc>
      </w:tr>
      <w:tr>
        <w:trPr>
          <w:trHeight w:val="235"/>
        </w:trPr>
        <w:tc>
          <w:tcPr>
            <w:tcW w:w="20" w:type="dxa"/>
            <w:vAlign w:val="bottom"/>
          </w:tcPr>
          <w:p>
            <w:pPr>
              <w:spacing w:after="0"/>
              <w:rPr>
                <w:sz w:val="20"/>
                <w:szCs w:val="20"/>
                <w:color w:val="auto"/>
              </w:rPr>
            </w:pPr>
          </w:p>
        </w:tc>
        <w:tc>
          <w:tcPr>
            <w:tcW w:w="5140" w:type="dxa"/>
            <w:vAlign w:val="bottom"/>
            <w:shd w:val="clear" w:color="auto" w:fill="E2EEF6"/>
          </w:tcPr>
          <w:p>
            <w:pPr>
              <w:ind w:left="140"/>
              <w:spacing w:after="0"/>
              <w:rPr>
                <w:sz w:val="20"/>
                <w:szCs w:val="20"/>
                <w:color w:val="auto"/>
              </w:rPr>
            </w:pPr>
            <w:r>
              <w:rPr>
                <w:rFonts w:ascii="Arial" w:cs="Arial" w:eastAsia="Arial" w:hAnsi="Arial"/>
                <w:sz w:val="17"/>
                <w:szCs w:val="17"/>
                <w:color w:val="auto"/>
              </w:rPr>
              <w:t>1.5% convertible debentures</w:t>
            </w:r>
          </w:p>
        </w:tc>
        <w:tc>
          <w:tcPr>
            <w:tcW w:w="920" w:type="dxa"/>
            <w:vAlign w:val="bottom"/>
            <w:shd w:val="clear" w:color="auto" w:fill="E2EEF6"/>
          </w:tcPr>
          <w:p>
            <w:pPr>
              <w:spacing w:after="0"/>
              <w:rPr>
                <w:sz w:val="20"/>
                <w:szCs w:val="20"/>
                <w:color w:val="auto"/>
              </w:rPr>
            </w:pPr>
          </w:p>
        </w:tc>
        <w:tc>
          <w:tcPr>
            <w:tcW w:w="4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5.5</w:t>
            </w:r>
          </w:p>
        </w:tc>
        <w:tc>
          <w:tcPr>
            <w:tcW w:w="240" w:type="dxa"/>
            <w:vAlign w:val="bottom"/>
            <w:shd w:val="clear" w:color="auto" w:fill="E2EEF6"/>
          </w:tcPr>
          <w:p>
            <w:pPr>
              <w:spacing w:after="0"/>
              <w:rPr>
                <w:sz w:val="20"/>
                <w:szCs w:val="20"/>
                <w:color w:val="auto"/>
              </w:rPr>
            </w:pPr>
          </w:p>
        </w:tc>
        <w:tc>
          <w:tcPr>
            <w:tcW w:w="960" w:type="dxa"/>
            <w:vAlign w:val="bottom"/>
            <w:shd w:val="clear" w:color="auto" w:fill="E2EEF6"/>
          </w:tcPr>
          <w:p>
            <w:pPr>
              <w:spacing w:after="0"/>
              <w:rPr>
                <w:sz w:val="20"/>
                <w:szCs w:val="20"/>
                <w:color w:val="auto"/>
              </w:rPr>
            </w:pPr>
          </w:p>
        </w:tc>
        <w:tc>
          <w:tcPr>
            <w:tcW w:w="64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5.5</w:t>
            </w:r>
          </w:p>
        </w:tc>
        <w:tc>
          <w:tcPr>
            <w:tcW w:w="1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w:t>
            </w:r>
          </w:p>
        </w:tc>
      </w:tr>
      <w:tr>
        <w:trPr>
          <w:trHeight w:val="190"/>
        </w:trPr>
        <w:tc>
          <w:tcPr>
            <w:tcW w:w="20" w:type="dxa"/>
            <w:vAlign w:val="bottom"/>
          </w:tcPr>
          <w:p>
            <w:pPr>
              <w:spacing w:after="0"/>
              <w:rPr>
                <w:sz w:val="16"/>
                <w:szCs w:val="16"/>
                <w:color w:val="auto"/>
              </w:rPr>
            </w:pPr>
          </w:p>
        </w:tc>
        <w:tc>
          <w:tcPr>
            <w:tcW w:w="5140" w:type="dxa"/>
            <w:vAlign w:val="bottom"/>
            <w:tcBorders>
              <w:top w:val="single" w:sz="8" w:color="E2EEF6"/>
            </w:tcBorders>
          </w:tcPr>
          <w:p>
            <w:pPr>
              <w:spacing w:after="0" w:line="190" w:lineRule="exact"/>
              <w:rPr>
                <w:sz w:val="20"/>
                <w:szCs w:val="20"/>
                <w:color w:val="auto"/>
              </w:rPr>
            </w:pPr>
            <w:r>
              <w:rPr>
                <w:rFonts w:ascii="Arial" w:cs="Arial" w:eastAsia="Arial" w:hAnsi="Arial"/>
                <w:sz w:val="17"/>
                <w:szCs w:val="17"/>
                <w:color w:val="auto"/>
              </w:rPr>
              <w:t>Adjusted weighted-average shares and assumed conversions for</w:t>
            </w:r>
          </w:p>
        </w:tc>
        <w:tc>
          <w:tcPr>
            <w:tcW w:w="9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40" w:type="dxa"/>
            <w:vAlign w:val="bottom"/>
            <w:tcBorders>
              <w:top w:val="single" w:sz="8" w:color="E2EEF6"/>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20" w:type="dxa"/>
            <w:vAlign w:val="bottom"/>
            <w:tcBorders>
              <w:top w:val="single" w:sz="8" w:color="E2EEF6"/>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E2EEF6"/>
            </w:tcBorders>
          </w:tcPr>
          <w:p>
            <w:pPr>
              <w:spacing w:after="0"/>
              <w:rPr>
                <w:sz w:val="16"/>
                <w:szCs w:val="16"/>
                <w:color w:val="auto"/>
              </w:rPr>
            </w:pPr>
          </w:p>
        </w:tc>
        <w:tc>
          <w:tcPr>
            <w:tcW w:w="120" w:type="dxa"/>
            <w:vAlign w:val="bottom"/>
            <w:tcBorders>
              <w:top w:val="single" w:sz="8" w:color="E2EEF6"/>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E2EEF6"/>
            </w:tcBorders>
          </w:tcPr>
          <w:p>
            <w:pPr>
              <w:spacing w:after="0"/>
              <w:rPr>
                <w:sz w:val="16"/>
                <w:szCs w:val="16"/>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Arial" w:cs="Arial" w:eastAsia="Arial" w:hAnsi="Arial"/>
                <w:sz w:val="17"/>
                <w:szCs w:val="17"/>
                <w:color w:val="auto"/>
              </w:rPr>
              <w:t>diluted earnings per share</w:t>
            </w: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338.0</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324.1</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336.9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324.2</w:t>
            </w: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shd w:val="clear" w:color="auto" w:fill="E2EEF6"/>
          </w:tcPr>
          <w:p>
            <w:pPr>
              <w:spacing w:after="0"/>
              <w:rPr>
                <w:sz w:val="18"/>
                <w:szCs w:val="18"/>
                <w:color w:val="auto"/>
              </w:rPr>
            </w:pPr>
          </w:p>
        </w:tc>
        <w:tc>
          <w:tcPr>
            <w:tcW w:w="920" w:type="dxa"/>
            <w:vAlign w:val="bottom"/>
            <w:shd w:val="clear" w:color="auto" w:fill="E2EEF6"/>
          </w:tcPr>
          <w:p>
            <w:pPr>
              <w:spacing w:after="0"/>
              <w:rPr>
                <w:sz w:val="18"/>
                <w:szCs w:val="18"/>
                <w:color w:val="auto"/>
              </w:rPr>
            </w:pPr>
          </w:p>
        </w:tc>
        <w:tc>
          <w:tcPr>
            <w:tcW w:w="460" w:type="dxa"/>
            <w:vAlign w:val="bottom"/>
            <w:shd w:val="clear" w:color="auto" w:fill="E2EEF6"/>
          </w:tcPr>
          <w:p>
            <w:pPr>
              <w:spacing w:after="0"/>
              <w:rPr>
                <w:sz w:val="18"/>
                <w:szCs w:val="18"/>
                <w:color w:val="auto"/>
              </w:rPr>
            </w:pPr>
          </w:p>
        </w:tc>
        <w:tc>
          <w:tcPr>
            <w:tcW w:w="240" w:type="dxa"/>
            <w:vAlign w:val="bottom"/>
            <w:shd w:val="clear" w:color="auto" w:fill="E2EEF6"/>
          </w:tcPr>
          <w:p>
            <w:pPr>
              <w:spacing w:after="0"/>
              <w:rPr>
                <w:sz w:val="18"/>
                <w:szCs w:val="18"/>
                <w:color w:val="auto"/>
              </w:rPr>
            </w:pPr>
          </w:p>
        </w:tc>
        <w:tc>
          <w:tcPr>
            <w:tcW w:w="960" w:type="dxa"/>
            <w:vAlign w:val="bottom"/>
            <w:shd w:val="clear" w:color="auto" w:fill="E2EEF6"/>
          </w:tcPr>
          <w:p>
            <w:pPr>
              <w:spacing w:after="0"/>
              <w:rPr>
                <w:sz w:val="18"/>
                <w:szCs w:val="18"/>
                <w:color w:val="auto"/>
              </w:rPr>
            </w:pPr>
          </w:p>
        </w:tc>
        <w:tc>
          <w:tcPr>
            <w:tcW w:w="420" w:type="dxa"/>
            <w:vAlign w:val="bottom"/>
            <w:shd w:val="clear" w:color="auto" w:fill="E2EEF6"/>
          </w:tcPr>
          <w:p>
            <w:pPr>
              <w:spacing w:after="0"/>
              <w:rPr>
                <w:sz w:val="18"/>
                <w:szCs w:val="18"/>
                <w:color w:val="auto"/>
              </w:rPr>
            </w:pPr>
          </w:p>
        </w:tc>
        <w:tc>
          <w:tcPr>
            <w:tcW w:w="220" w:type="dxa"/>
            <w:vAlign w:val="bottom"/>
            <w:shd w:val="clear" w:color="auto" w:fill="E2EEF6"/>
          </w:tcPr>
          <w:p>
            <w:pPr>
              <w:spacing w:after="0"/>
              <w:rPr>
                <w:sz w:val="18"/>
                <w:szCs w:val="18"/>
                <w:color w:val="auto"/>
              </w:rPr>
            </w:pPr>
          </w:p>
        </w:tc>
        <w:tc>
          <w:tcPr>
            <w:tcW w:w="300" w:type="dxa"/>
            <w:vAlign w:val="bottom"/>
            <w:shd w:val="clear" w:color="auto" w:fill="E2EEF6"/>
          </w:tcPr>
          <w:p>
            <w:pPr>
              <w:spacing w:after="0"/>
              <w:rPr>
                <w:sz w:val="18"/>
                <w:szCs w:val="18"/>
                <w:color w:val="auto"/>
              </w:rPr>
            </w:pPr>
          </w:p>
        </w:tc>
        <w:tc>
          <w:tcPr>
            <w:tcW w:w="1060" w:type="dxa"/>
            <w:vAlign w:val="bottom"/>
            <w:shd w:val="clear" w:color="auto" w:fill="E2EEF6"/>
          </w:tcPr>
          <w:p>
            <w:pPr>
              <w:spacing w:after="0"/>
              <w:rPr>
                <w:sz w:val="18"/>
                <w:szCs w:val="18"/>
                <w:color w:val="auto"/>
              </w:rPr>
            </w:pPr>
          </w:p>
        </w:tc>
        <w:tc>
          <w:tcPr>
            <w:tcW w:w="100" w:type="dxa"/>
            <w:vAlign w:val="bottom"/>
            <w:shd w:val="clear" w:color="auto" w:fill="E2EEF6"/>
          </w:tcPr>
          <w:p>
            <w:pPr>
              <w:spacing w:after="0"/>
              <w:rPr>
                <w:sz w:val="18"/>
                <w:szCs w:val="18"/>
                <w:color w:val="auto"/>
              </w:rPr>
            </w:pPr>
          </w:p>
        </w:tc>
        <w:tc>
          <w:tcPr>
            <w:tcW w:w="120" w:type="dxa"/>
            <w:vAlign w:val="bottom"/>
            <w:shd w:val="clear" w:color="auto" w:fill="E2EEF6"/>
          </w:tcPr>
          <w:p>
            <w:pPr>
              <w:spacing w:after="0"/>
              <w:rPr>
                <w:sz w:val="18"/>
                <w:szCs w:val="18"/>
                <w:color w:val="auto"/>
              </w:rPr>
            </w:pPr>
          </w:p>
        </w:tc>
        <w:tc>
          <w:tcPr>
            <w:tcW w:w="300" w:type="dxa"/>
            <w:vAlign w:val="bottom"/>
            <w:shd w:val="clear" w:color="auto" w:fill="E2EEF6"/>
          </w:tcPr>
          <w:p>
            <w:pPr>
              <w:spacing w:after="0"/>
              <w:rPr>
                <w:sz w:val="18"/>
                <w:szCs w:val="18"/>
                <w:color w:val="auto"/>
              </w:rPr>
            </w:pPr>
          </w:p>
        </w:tc>
        <w:tc>
          <w:tcPr>
            <w:tcW w:w="1060" w:type="dxa"/>
            <w:vAlign w:val="bottom"/>
            <w:shd w:val="clear" w:color="auto" w:fill="E2EEF6"/>
          </w:tcPr>
          <w:p>
            <w:pPr>
              <w:spacing w:after="0"/>
              <w:rPr>
                <w:sz w:val="18"/>
                <w:szCs w:val="18"/>
                <w:color w:val="auto"/>
              </w:rPr>
            </w:pPr>
          </w:p>
        </w:tc>
        <w:tc>
          <w:tcPr>
            <w:tcW w:w="100" w:type="dxa"/>
            <w:vAlign w:val="bottom"/>
            <w:shd w:val="clear" w:color="auto" w:fill="E2EEF6"/>
          </w:tcPr>
          <w:p>
            <w:pPr>
              <w:spacing w:after="0"/>
              <w:rPr>
                <w:sz w:val="18"/>
                <w:szCs w:val="18"/>
                <w:color w:val="auto"/>
              </w:rPr>
            </w:pPr>
          </w:p>
        </w:tc>
      </w:tr>
      <w:tr>
        <w:trPr>
          <w:trHeight w:val="235"/>
        </w:trPr>
        <w:tc>
          <w:tcPr>
            <w:tcW w:w="5160" w:type="dxa"/>
            <w:vAlign w:val="bottom"/>
            <w:gridSpan w:val="2"/>
          </w:tcPr>
          <w:p>
            <w:pPr>
              <w:spacing w:after="0"/>
              <w:rPr>
                <w:sz w:val="20"/>
                <w:szCs w:val="20"/>
                <w:color w:val="auto"/>
              </w:rPr>
            </w:pPr>
            <w:r>
              <w:rPr>
                <w:rFonts w:ascii="Arial" w:cs="Arial" w:eastAsia="Arial" w:hAnsi="Arial"/>
                <w:sz w:val="17"/>
                <w:szCs w:val="17"/>
                <w:b w:val="1"/>
                <w:bCs w:val="1"/>
                <w:color w:val="auto"/>
              </w:rPr>
              <w:t>Basic Earnings Per Share</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5"/>
        </w:trPr>
        <w:tc>
          <w:tcPr>
            <w:tcW w:w="20" w:type="dxa"/>
            <w:vAlign w:val="bottom"/>
          </w:tcPr>
          <w:p>
            <w:pPr>
              <w:spacing w:after="0"/>
              <w:rPr>
                <w:sz w:val="23"/>
                <w:szCs w:val="23"/>
                <w:color w:val="auto"/>
              </w:rPr>
            </w:pPr>
          </w:p>
        </w:tc>
        <w:tc>
          <w:tcPr>
            <w:tcW w:w="5140" w:type="dxa"/>
            <w:vAlign w:val="bottom"/>
            <w:shd w:val="clear" w:color="auto" w:fill="E2EEF6"/>
          </w:tcPr>
          <w:p>
            <w:pPr>
              <w:ind w:left="140"/>
              <w:spacing w:after="0"/>
              <w:rPr>
                <w:sz w:val="20"/>
                <w:szCs w:val="20"/>
                <w:color w:val="auto"/>
              </w:rPr>
            </w:pPr>
            <w:r>
              <w:rPr>
                <w:rFonts w:ascii="Arial" w:cs="Arial" w:eastAsia="Arial" w:hAnsi="Arial"/>
                <w:sz w:val="17"/>
                <w:szCs w:val="17"/>
                <w:color w:val="auto"/>
              </w:rPr>
              <w:t>Net Income</w:t>
            </w:r>
          </w:p>
        </w:tc>
        <w:tc>
          <w:tcPr>
            <w:tcW w:w="920" w:type="dxa"/>
            <w:vAlign w:val="bottom"/>
            <w:shd w:val="clear" w:color="auto" w:fill="E2EEF6"/>
          </w:tcPr>
          <w:p>
            <w:pPr>
              <w:jc w:val="right"/>
              <w:ind w:right="761"/>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0.93</w:t>
            </w:r>
          </w:p>
        </w:tc>
        <w:tc>
          <w:tcPr>
            <w:tcW w:w="1200" w:type="dxa"/>
            <w:vAlign w:val="bottom"/>
            <w:gridSpan w:val="2"/>
            <w:shd w:val="clear" w:color="auto" w:fill="E2EEF6"/>
          </w:tcPr>
          <w:p>
            <w:pPr>
              <w:jc w:val="right"/>
              <w:ind w:right="88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0.15</w:t>
            </w:r>
          </w:p>
        </w:tc>
        <w:tc>
          <w:tcPr>
            <w:tcW w:w="300" w:type="dxa"/>
            <w:vAlign w:val="bottom"/>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1.21</w:t>
            </w:r>
          </w:p>
        </w:tc>
        <w:tc>
          <w:tcPr>
            <w:tcW w:w="42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0.22</w:t>
            </w:r>
          </w:p>
        </w:tc>
      </w:tr>
      <w:tr>
        <w:trPr>
          <w:trHeight w:val="215"/>
        </w:trPr>
        <w:tc>
          <w:tcPr>
            <w:tcW w:w="20" w:type="dxa"/>
            <w:vAlign w:val="bottom"/>
          </w:tcPr>
          <w:p>
            <w:pPr>
              <w:spacing w:after="0"/>
              <w:rPr>
                <w:sz w:val="18"/>
                <w:szCs w:val="18"/>
                <w:color w:val="auto"/>
              </w:rPr>
            </w:pPr>
          </w:p>
        </w:tc>
        <w:tc>
          <w:tcPr>
            <w:tcW w:w="5140" w:type="dxa"/>
            <w:vAlign w:val="bottom"/>
            <w:tcBorders>
              <w:top w:val="single" w:sz="8" w:color="E2EEF6"/>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Borders>
              <w:top w:val="single" w:sz="8" w:color="E2EEF6"/>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E2EEF6"/>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E2EEF6"/>
            </w:tcBorders>
          </w:tcPr>
          <w:p>
            <w:pPr>
              <w:spacing w:after="0"/>
              <w:rPr>
                <w:sz w:val="18"/>
                <w:szCs w:val="18"/>
                <w:color w:val="auto"/>
              </w:rPr>
            </w:pPr>
          </w:p>
        </w:tc>
        <w:tc>
          <w:tcPr>
            <w:tcW w:w="120" w:type="dxa"/>
            <w:vAlign w:val="bottom"/>
            <w:tcBorders>
              <w:top w:val="single" w:sz="8" w:color="E2EEF6"/>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E2EEF6"/>
            </w:tcBorders>
          </w:tcPr>
          <w:p>
            <w:pPr>
              <w:spacing w:after="0"/>
              <w:rPr>
                <w:sz w:val="18"/>
                <w:szCs w:val="18"/>
                <w:color w:val="auto"/>
              </w:rPr>
            </w:pPr>
          </w:p>
        </w:tc>
      </w:tr>
      <w:tr>
        <w:trPr>
          <w:trHeight w:val="235"/>
        </w:trPr>
        <w:tc>
          <w:tcPr>
            <w:tcW w:w="20" w:type="dxa"/>
            <w:vAlign w:val="bottom"/>
          </w:tcPr>
          <w:p>
            <w:pPr>
              <w:spacing w:after="0"/>
              <w:rPr>
                <w:sz w:val="20"/>
                <w:szCs w:val="20"/>
                <w:color w:val="auto"/>
              </w:rPr>
            </w:pPr>
          </w:p>
        </w:tc>
        <w:tc>
          <w:tcPr>
            <w:tcW w:w="5140" w:type="dxa"/>
            <w:vAlign w:val="bottom"/>
            <w:shd w:val="clear" w:color="auto" w:fill="E2EEF6"/>
          </w:tcPr>
          <w:p>
            <w:pPr>
              <w:spacing w:after="0"/>
              <w:rPr>
                <w:sz w:val="20"/>
                <w:szCs w:val="20"/>
                <w:color w:val="auto"/>
              </w:rPr>
            </w:pPr>
            <w:r>
              <w:rPr>
                <w:rFonts w:ascii="Arial" w:cs="Arial" w:eastAsia="Arial" w:hAnsi="Arial"/>
                <w:sz w:val="17"/>
                <w:szCs w:val="17"/>
                <w:b w:val="1"/>
                <w:bCs w:val="1"/>
                <w:color w:val="auto"/>
              </w:rPr>
              <w:t>Diluted Earnings Per Share</w:t>
            </w:r>
          </w:p>
        </w:tc>
        <w:tc>
          <w:tcPr>
            <w:tcW w:w="920" w:type="dxa"/>
            <w:vAlign w:val="bottom"/>
            <w:shd w:val="clear" w:color="auto" w:fill="E2EEF6"/>
          </w:tcPr>
          <w:p>
            <w:pPr>
              <w:spacing w:after="0"/>
              <w:rPr>
                <w:sz w:val="20"/>
                <w:szCs w:val="20"/>
                <w:color w:val="auto"/>
              </w:rPr>
            </w:pPr>
          </w:p>
        </w:tc>
        <w:tc>
          <w:tcPr>
            <w:tcW w:w="46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960" w:type="dxa"/>
            <w:vAlign w:val="bottom"/>
            <w:shd w:val="clear" w:color="auto" w:fill="E2EEF6"/>
          </w:tcPr>
          <w:p>
            <w:pPr>
              <w:spacing w:after="0"/>
              <w:rPr>
                <w:sz w:val="20"/>
                <w:szCs w:val="20"/>
                <w:color w:val="auto"/>
              </w:rPr>
            </w:pPr>
          </w:p>
        </w:tc>
        <w:tc>
          <w:tcPr>
            <w:tcW w:w="4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5"/>
        </w:trPr>
        <w:tc>
          <w:tcPr>
            <w:tcW w:w="20" w:type="dxa"/>
            <w:vAlign w:val="bottom"/>
          </w:tcPr>
          <w:p>
            <w:pPr>
              <w:spacing w:after="0"/>
              <w:rPr>
                <w:sz w:val="20"/>
                <w:szCs w:val="20"/>
                <w:color w:val="auto"/>
              </w:rPr>
            </w:pPr>
          </w:p>
        </w:tc>
        <w:tc>
          <w:tcPr>
            <w:tcW w:w="5140" w:type="dxa"/>
            <w:vAlign w:val="bottom"/>
          </w:tcPr>
          <w:p>
            <w:pPr>
              <w:ind w:left="140"/>
              <w:spacing w:after="0"/>
              <w:rPr>
                <w:sz w:val="20"/>
                <w:szCs w:val="20"/>
                <w:color w:val="auto"/>
              </w:rPr>
            </w:pPr>
            <w:r>
              <w:rPr>
                <w:rFonts w:ascii="Arial" w:cs="Arial" w:eastAsia="Arial" w:hAnsi="Arial"/>
                <w:sz w:val="17"/>
                <w:szCs w:val="17"/>
                <w:color w:val="auto"/>
              </w:rPr>
              <w:t>Net Income</w:t>
            </w:r>
          </w:p>
        </w:tc>
        <w:tc>
          <w:tcPr>
            <w:tcW w:w="920" w:type="dxa"/>
            <w:vAlign w:val="bottom"/>
          </w:tcPr>
          <w:p>
            <w:pPr>
              <w:jc w:val="right"/>
              <w:ind w:right="761"/>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0.90</w:t>
            </w:r>
          </w:p>
        </w:tc>
        <w:tc>
          <w:tcPr>
            <w:tcW w:w="1200" w:type="dxa"/>
            <w:vAlign w:val="bottom"/>
            <w:gridSpan w:val="2"/>
          </w:tcPr>
          <w:p>
            <w:pPr>
              <w:jc w:val="right"/>
              <w:ind w:right="88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0.15</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1.18</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0.22</w:t>
            </w: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9"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color w:val="auto"/>
        </w:rPr>
        <w:t>Ordinary shares subject to issuance pursuant to the conversion features of the Zero Coupon Convertible Debentures are not included in the calculation of adjusted weighted-average shares and assumed conversions for diluted earnings per share because the effect of including those shares is anti-dilutive for all periods presented. Ordinary shares subject to issuance pursuant to the conversion features of the 1.5% Convertible Debentures are not included in the calculation of the adjusted weighted-average shares and assumed conversions for diluted earnings per share for the three and six months ended June 30, 2004 because the effect of including those shares is anti-dilutive.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w:t>
      </w:r>
      <w:r>
        <w:rPr>
          <w:rFonts w:ascii="Arial" w:cs="Arial" w:eastAsia="Arial" w:hAnsi="Arial"/>
          <w:sz w:val="17"/>
          <w:szCs w:val="17"/>
          <w:color w:val="auto"/>
        </w:rPr>
        <w:t>―</w:t>
      </w:r>
      <w:r>
        <w:rPr>
          <w:rFonts w:ascii="Arial" w:cs="Arial" w:eastAsia="Arial" w:hAnsi="Arial"/>
          <w:sz w:val="17"/>
          <w:szCs w:val="17"/>
          <w:b w:val="1"/>
          <w:bCs w:val="1"/>
          <w:color w:val="auto"/>
        </w:rPr>
        <w:t>Contingencies</w:t>
      </w:r>
    </w:p>
    <w:p>
      <w:pPr>
        <w:spacing w:after="0" w:line="281" w:lineRule="exact"/>
        <w:rPr>
          <w:sz w:val="20"/>
          <w:szCs w:val="20"/>
          <w:color w:val="auto"/>
        </w:rPr>
      </w:pPr>
    </w:p>
    <w:p>
      <w:pPr>
        <w:jc w:val="both"/>
        <w:ind w:firstLine="628"/>
        <w:spacing w:after="0" w:line="277" w:lineRule="auto"/>
        <w:rPr>
          <w:sz w:val="20"/>
          <w:szCs w:val="20"/>
          <w:color w:val="auto"/>
        </w:rPr>
      </w:pPr>
      <w:r>
        <w:rPr>
          <w:rFonts w:ascii="Arial" w:cs="Arial" w:eastAsia="Arial" w:hAnsi="Arial"/>
          <w:sz w:val="16"/>
          <w:szCs w:val="16"/>
          <w:i w:val="1"/>
          <w:iCs w:val="1"/>
          <w:color w:val="auto"/>
        </w:rPr>
        <w:t>Legal Proceedings</w:t>
      </w:r>
      <w:r>
        <w:rPr>
          <w:rFonts w:ascii="Arial" w:cs="Arial" w:eastAsia="Arial" w:hAnsi="Arial"/>
          <w:sz w:val="16"/>
          <w:szCs w:val="16"/>
          <w:color w:val="auto"/>
        </w:rPr>
        <w:t>—Several of our subsidiaries have been named, along with other defendants, in several complaints that have been filed in the Circuit</w:t>
      </w:r>
      <w:r>
        <w:rPr>
          <w:rFonts w:ascii="Arial" w:cs="Arial" w:eastAsia="Arial" w:hAnsi="Arial"/>
          <w:sz w:val="16"/>
          <w:szCs w:val="16"/>
          <w:i w:val="1"/>
          <w:iCs w:val="1"/>
          <w:color w:val="auto"/>
        </w:rPr>
        <w:t xml:space="preserve"> </w:t>
      </w:r>
      <w:r>
        <w:rPr>
          <w:rFonts w:ascii="Arial" w:cs="Arial" w:eastAsia="Arial" w:hAnsi="Arial"/>
          <w:sz w:val="16"/>
          <w:szCs w:val="16"/>
          <w:color w:val="auto"/>
        </w:rPr>
        <w:t>Courts of the State of Mississippi involving over 700 persons that allege personal injury arising out of asbestos exposure in the course of their employment by some of these defendants between 1965 and 1986. The complaints also name as defendants certain of TODCO's subsidiaries to whom we may owe indemnity and other unaffiliated defendant companies, including companies that allegedly manufactured drilling related products containing asbestos that are the subject of the complaints. The number of unaffiliated defendant companies involved in each complaint ranges from approximately 20 to 70. The complaints allege that the defendant drilling contractors used those asbestos-containing products in offshore drilling operations, land based drilling operations and in drilling structures, drilling rigs, vessels and other equipment and assert claims based on, among other things, negligence and strict liability, and claims authorized under the Jones Act. The plaintiffs seek, among other things, awards of unspecified compensatory and punitive damages. Based on a recent decision of the Mississippi Supreme Court, we anticipate that the trial courts may grant motions requiring each plaintiff to name the specific defendant or defendants against whom such plaintiff makes a claim and the time period and location of asbestos exposure so that the cases may be properly severed. We have not yet had an opportunity to conduct any discovery nor have we been able to determine the number of plaintiffs, if any, that were employed by our subsidiaries or otherwise have any connection with our drilling operations. We intend to defend ourselves vigorously and, based on the limited information available to us at this time, we do not expect the liability, if any, resulting from these matters to have a material adverse effect on our consolidated financial position, results of operations and cash flows.</w:t>
      </w:r>
    </w:p>
    <w:p>
      <w:pPr>
        <w:sectPr>
          <w:pgSz w:w="11900" w:h="16838" w:orient="portrait"/>
          <w:cols w:equalWidth="0" w:num="1">
            <w:col w:w="11420"/>
          </w:cols>
          <w:pgMar w:left="240" w:top="122"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725551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TRANSOCEAN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63" w:lineRule="exact"/>
        <w:rPr>
          <w:sz w:val="20"/>
          <w:szCs w:val="20"/>
          <w:color w:val="auto"/>
        </w:rPr>
      </w:pPr>
    </w:p>
    <w:p>
      <w:pPr>
        <w:jc w:val="both"/>
        <w:ind w:firstLine="628"/>
        <w:spacing w:after="0" w:line="260" w:lineRule="auto"/>
        <w:rPr>
          <w:sz w:val="20"/>
          <w:szCs w:val="20"/>
          <w:color w:val="auto"/>
        </w:rPr>
      </w:pPr>
      <w:r>
        <w:rPr>
          <w:rFonts w:ascii="Arial" w:cs="Arial" w:eastAsia="Arial" w:hAnsi="Arial"/>
          <w:sz w:val="17"/>
          <w:szCs w:val="17"/>
          <w:color w:val="auto"/>
        </w:rPr>
        <w:t>In 1990 and 1991, two of our subsidiaries were served with various assessments collectively valued at approximately $6.8 million from the municipality of Rio de Janeiro, Brazil to collect a municipal tax on services. We believe that neither subsidiary is liable for the taxes and have contested the assessments in the Brazilian administrative and court systems. We have received several adverse rulings by various courts with respect to a June 1991 assessment, which is valued at approximately $5.9 million. We are continuing to challenge the assessment, however, and have an action to stay execution of a related tax foreclosure proceeding. We have received a favorable ruling in connection with a disputed August 1990 assessment but the government has appealed that ruling. We also are awaiting a ruling from the Taxpayer's Council in connection with an October 1990 assessment. If our defenses are ultimately unsuccessful, we believe that the Brazilian government-controlled oil company, Petrobras, has a contractual obligation to reimburse us for municipal tax payments required to be paid by them. We do not expect the liability, if any, resulting from these assessments to have a material adverse effect on our consolidated financial position, results of operations and cash flows.</w:t>
      </w:r>
    </w:p>
    <w:p>
      <w:pPr>
        <w:spacing w:after="0" w:line="239" w:lineRule="exact"/>
        <w:rPr>
          <w:sz w:val="20"/>
          <w:szCs w:val="20"/>
          <w:color w:val="auto"/>
        </w:rPr>
      </w:pPr>
    </w:p>
    <w:p>
      <w:pPr>
        <w:jc w:val="both"/>
        <w:ind w:firstLine="628"/>
        <w:spacing w:after="0" w:line="275" w:lineRule="auto"/>
        <w:rPr>
          <w:sz w:val="20"/>
          <w:szCs w:val="20"/>
          <w:color w:val="auto"/>
        </w:rPr>
      </w:pPr>
      <w:r>
        <w:rPr>
          <w:rFonts w:ascii="Arial" w:cs="Arial" w:eastAsia="Arial" w:hAnsi="Arial"/>
          <w:sz w:val="16"/>
          <w:szCs w:val="16"/>
          <w:color w:val="auto"/>
        </w:rPr>
        <w:t xml:space="preserve">The Indian Customs Department, Mumbai, filed a “show cause notice” against one of our subsidiaries and various third parties in July 1999. The show cause notice alleged that the initial entry into India in 1988 and other subsequent movements of the </w:t>
      </w:r>
      <w:r>
        <w:rPr>
          <w:rFonts w:ascii="Arial" w:cs="Arial" w:eastAsia="Arial" w:hAnsi="Arial"/>
          <w:sz w:val="16"/>
          <w:szCs w:val="16"/>
          <w:i w:val="1"/>
          <w:iCs w:val="1"/>
          <w:color w:val="auto"/>
        </w:rPr>
        <w:t>Trident II</w:t>
      </w:r>
      <w:r>
        <w:rPr>
          <w:rFonts w:ascii="Arial" w:cs="Arial" w:eastAsia="Arial" w:hAnsi="Arial"/>
          <w:sz w:val="16"/>
          <w:szCs w:val="16"/>
          <w:color w:val="auto"/>
        </w:rPr>
        <w:t xml:space="preserve"> jackup rig operated by the subsidiary constituted imports and exports for which proper customs procedures were not followed and sought payment of customs duties of approximately $31 million based on an alleged 1998 rig value of $49 million, plus interest and penalties, and confiscation of the rig. In January 2000, the Customs Department issued its order, which found that we had imported the rig improperly and intentionally concealed the import from the authorities, and directed us to pay a redemption fee of approximately $3 million for the rig in lieu of confiscation and to pay penalties of approximately $1 million in addition to the amount of customs duties owed. In February 2000, we filed an appeal with the Customs, Excise and Service Tax Appellate Tribunal (“CESTAT”) (formerly known as the Customs, Excise and Gold (Control) Appellate Tribunal), together with an application to have the confiscation of the rig stayed pending the outcome of the appeal. In March 2000, the CESTAT ruled on the stay application, directing that the confiscation be stayed pending the appeal. The CESTAT issued its order on our appeal on February 2, 2001, and while it found that the rig was imported in 1988 without proper documentation or payment of duties, the redemption fee and penalties were reduced to less than $0.1 million in view of the ambiguity surrounding the import practice at the time and the lack of intentional concealment by us. The CESTAT further sustained our position regarding the value of the rig at the time of import as $13 million and ruled that subsequent movements of the rig were not liable to import documentation or duties in view of the prevailing practice of the Customs Department, thus limiting our exposure as to custom duties to approximately $6 million. Although CESTAT did not grant us the benefit of a customs duty exemption due to the absence of the required documentation, CESTAT left it open for our subsidiary to seek such documentation from the Ministry of Petroleum. Following the CESTAT order, we tendered payment of redemption, penalty and duty in the amount specified by the order by offset against a $0.6 million deposit and $10.7 million guarantee previously made by us. The Customs Department attempted to draw the entire guarantee, alleging the actual duty payable is approximately $22 million based on an interpretation of the CESTAT order that we believe is incorrect. This action was stopped by an interim ruling of the High Court, Mumbai on writ petition filed by us. We and the Customs Department both filed appeals with the Supreme Court of India against the order of the CESTAT, and both appeals were admitted. The Supreme Court has dismissed the Customs Department appeal and affirmed the CESTAT order but the Customs Department has not agreed with our interpretation of that order. We and our customer agreed to pursue and obtained the issuance of the required documentation from the Ministry of Petroleum that, if accepted by the Customs Department, would reduce the duty to nil. The Customs Department did not accept the documentation or agree to refund the duties already paid. We are pursuing our remedies against the Customs Department and our customer. We do not expect the liability, if any, resulting from this matter to have a material adverse effect on our consolidated financial position, results of operations and cash flows.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TRANSOCEAN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63" w:lineRule="exact"/>
        <w:rPr>
          <w:sz w:val="20"/>
          <w:szCs w:val="20"/>
          <w:color w:val="auto"/>
        </w:rPr>
      </w:pPr>
    </w:p>
    <w:p>
      <w:pPr>
        <w:jc w:val="both"/>
        <w:ind w:firstLine="628"/>
        <w:spacing w:after="0" w:line="285" w:lineRule="auto"/>
        <w:rPr>
          <w:sz w:val="20"/>
          <w:szCs w:val="20"/>
          <w:color w:val="auto"/>
        </w:rPr>
      </w:pPr>
      <w:r>
        <w:rPr>
          <w:rFonts w:ascii="Arial" w:cs="Arial" w:eastAsia="Arial" w:hAnsi="Arial"/>
          <w:sz w:val="16"/>
          <w:szCs w:val="16"/>
          <w:color w:val="auto"/>
        </w:rPr>
        <w:t>In October 2001, TODCO was notified by the U.S. Environmental Protection Agency ("EPA") that the EPA had identified a subsidiary as a potentially responsible party in connection with the Palmer Barge Line superfund site located in Port Arthur, Texas. Based upon the information provided by the EPA and a review of TODCO's internal records to date, TODCO disputes its designation as a potentially responsible party. Pursuant to the master separation agreement with TODCO, we are responsible and will indemnify TODCO for any losses TODCO incurs in connection with this action. We do not expect the liability, if any, resulting from this matter to have a material adverse effect on our consolidated financial position, results of operations and cash flows.</w:t>
      </w:r>
    </w:p>
    <w:p>
      <w:pPr>
        <w:spacing w:after="0" w:line="216"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6"/>
          <w:szCs w:val="16"/>
          <w:color w:val="auto"/>
        </w:rPr>
        <w:t>In August 2003, a judgment of approximately $9.5 million was entered by the Labor Division of the Provincial Court of Luanda, Angola, against us and one of our labor contractors, Hull Blyth, in favor of certain former workers on several of our drilling rigs. The workers were employed by Hull Blyth to work on several drilling rigs while the rigs were located in Angola. When the drilling contracts concluded and the rigs left Angola, the workers' employment ended. The workers brought suit claiming that they were not properly compensated when their employment ended. In addition to the monetary judgment, the Labor Division ordered the workers to be hired by us. We believe that this judgment is without sufficient legal foundation and have appealed the matter to the Angola Supreme Court. We further believe that Hull Blyth has an obligation to protect us from any judgment. We do not expect the liability, if any, resulting from this matter to have a material adverse effect on our consolidated financial position, results of operations and cash flows.</w:t>
      </w:r>
    </w:p>
    <w:p>
      <w:pPr>
        <w:spacing w:after="0" w:line="219" w:lineRule="exact"/>
        <w:rPr>
          <w:sz w:val="20"/>
          <w:szCs w:val="20"/>
          <w:color w:val="auto"/>
        </w:rPr>
      </w:pPr>
    </w:p>
    <w:p>
      <w:pPr>
        <w:jc w:val="both"/>
        <w:ind w:firstLine="628"/>
        <w:spacing w:after="0" w:line="277" w:lineRule="auto"/>
        <w:rPr>
          <w:sz w:val="20"/>
          <w:szCs w:val="20"/>
          <w:color w:val="auto"/>
        </w:rPr>
      </w:pPr>
      <w:r>
        <w:rPr>
          <w:rFonts w:ascii="Arial" w:cs="Arial" w:eastAsia="Arial" w:hAnsi="Arial"/>
          <w:sz w:val="16"/>
          <w:szCs w:val="16"/>
          <w:color w:val="auto"/>
        </w:rPr>
        <w:t xml:space="preserve">One of our subsidiaries is involved in an action with respect to customs penalties relating to the </w:t>
      </w:r>
      <w:r>
        <w:rPr>
          <w:rFonts w:ascii="Arial" w:cs="Arial" w:eastAsia="Arial" w:hAnsi="Arial"/>
          <w:sz w:val="16"/>
          <w:szCs w:val="16"/>
          <w:i w:val="1"/>
          <w:iCs w:val="1"/>
          <w:color w:val="auto"/>
        </w:rPr>
        <w:t>Sedco 710</w:t>
      </w:r>
      <w:r>
        <w:rPr>
          <w:rFonts w:ascii="Arial" w:cs="Arial" w:eastAsia="Arial" w:hAnsi="Arial"/>
          <w:sz w:val="16"/>
          <w:szCs w:val="16"/>
          <w:color w:val="auto"/>
        </w:rPr>
        <w:t xml:space="preserve"> semisubmersible drilling rig. Prior to our merger with Sedco Forex, this drilling rig, which was working for Petrobras in Brazil at the time, had been admitted into the country on a temporary basis under authority granted to a Schlumberger entity. Prior to the Sedco Forex merger, the drilling contract was moved to an entity that would become one of our subsidiaries. In early 2000, the drilling contract was extended for another year. On January 10, 2000, the temporary import permit granted to the Schlumberger entity expired, and renewal filings were not made until later that January. In April 2000, the Brazilian customs authorities cancelled the import permit. The Schlumberger entity filed an action in the Brazilian federal court of Campos for the purpose of extending the temporary admission. Other proceedings were also initiated in order to secure the transfer of the temporary admission to our subsidiary. Ultimately, the court permitted the transfer to our entity but has not ruled that the temporary admission could be extended without the payment of a financial penalty. During the first quarter of 2004, the customs office renewed its efforts to collect a penalty and issued a second assessment for this penalty but has now done so against our subsidiary. The assessment is for approximately $61 million. We believe that the amount of the assessment, even if it were appropriate, should only be approximately $6 million and should in any event be assessed against the Schlumberger entity. We and Schlumberger are contesting our respective assessments. We have put Schlumberger on notice that we consider any assessment to be the responsibility of Schlumberger. We do not expect the liability, if any, resulting from this matter to have a material adverse effect on our consolidated financial position, results of operations and cash flows.</w:t>
      </w:r>
    </w:p>
    <w:p>
      <w:pPr>
        <w:spacing w:after="0" w:line="222"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We are involved in a number of other lawsuits, all of which have arisen in the ordinary course of our business. We do not expect the liability, if any, resulting from these matters to have a material adverse effect on our consolidated financial position, results of operations and cash flows.</w:t>
      </w:r>
    </w:p>
    <w:p>
      <w:pPr>
        <w:spacing w:after="0" w:line="211"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i w:val="1"/>
          <w:iCs w:val="1"/>
          <w:color w:val="auto"/>
        </w:rPr>
        <w:t>Self Insurance</w:t>
      </w:r>
      <w:r>
        <w:rPr>
          <w:rFonts w:ascii="Arial" w:cs="Arial" w:eastAsia="Arial" w:hAnsi="Arial"/>
          <w:sz w:val="17"/>
          <w:szCs w:val="17"/>
          <w:color w:val="auto"/>
        </w:rPr>
        <w:t>—We are self-insured for the deductible portion of our insurance coverage. In the opinion of management, adequate accruals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made based on known and estimated exposures up to the deductible portion of our insurance coverages. Management believes that claims and liabilities in excess of the amounts accrued are adequately insured.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TRANSOCEAN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63"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i w:val="1"/>
          <w:iCs w:val="1"/>
          <w:color w:val="auto"/>
        </w:rPr>
        <w:t>Letters of Credit and Surety Bonds</w:t>
      </w:r>
      <w:r>
        <w:rPr>
          <w:rFonts w:ascii="Arial" w:cs="Arial" w:eastAsia="Arial" w:hAnsi="Arial"/>
          <w:sz w:val="17"/>
          <w:szCs w:val="17"/>
          <w:color w:val="auto"/>
        </w:rPr>
        <w:t>—We had letters of credit outstanding totaling $179.8 million and $182.2 million at June 30, 2005 and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2004, respectively. These letters of credit guarantee various contract bidding and performance activities under various uncommitted lines provided by several banks.</w:t>
      </w:r>
    </w:p>
    <w:p>
      <w:pPr>
        <w:spacing w:after="0" w:line="225"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As is customary in the contract drilling business, we also have various surety bonds in place that secure customs obligations relating to the importation of our rigs and certain performance and other obligations. Surety bonds outstanding totaled $8.5 million and $7.6 million at June 30, 2005 and December 31, 2004,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w:t>
      </w:r>
      <w:r>
        <w:rPr>
          <w:rFonts w:ascii="Arial" w:cs="Arial" w:eastAsia="Arial" w:hAnsi="Arial"/>
          <w:sz w:val="17"/>
          <w:szCs w:val="17"/>
          <w:color w:val="auto"/>
        </w:rPr>
        <w:t>―</w:t>
      </w:r>
      <w:r>
        <w:rPr>
          <w:rFonts w:ascii="Arial" w:cs="Arial" w:eastAsia="Arial" w:hAnsi="Arial"/>
          <w:sz w:val="17"/>
          <w:szCs w:val="17"/>
          <w:b w:val="1"/>
          <w:bCs w:val="1"/>
          <w:color w:val="auto"/>
        </w:rPr>
        <w:t>Off-Balance Sheet Arrangement</w:t>
      </w:r>
    </w:p>
    <w:p>
      <w:pPr>
        <w:spacing w:after="0" w:line="281"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color w:val="auto"/>
        </w:rPr>
        <w:t xml:space="preserve">We leased the semisubmersible rig </w:t>
      </w:r>
      <w:r>
        <w:rPr>
          <w:rFonts w:ascii="Arial" w:cs="Arial" w:eastAsia="Arial" w:hAnsi="Arial"/>
          <w:sz w:val="17"/>
          <w:szCs w:val="17"/>
          <w:i w:val="1"/>
          <w:iCs w:val="1"/>
          <w:color w:val="auto"/>
        </w:rPr>
        <w:t>M. G. Hulme, Jr.</w:t>
      </w:r>
      <w:r>
        <w:rPr>
          <w:rFonts w:ascii="Arial" w:cs="Arial" w:eastAsia="Arial" w:hAnsi="Arial"/>
          <w:sz w:val="17"/>
          <w:szCs w:val="17"/>
          <w:color w:val="auto"/>
        </w:rPr>
        <w:t xml:space="preserve"> from Deep Sea Investors, L.L.C., (“Deep Sea Investors”), a special purpose entity formed by several leasing companies to acquire the rig from one of our subsidiaries in November 1995 in a sale/leaseback transaction. We accounted for the lease of this semisubmersible drilling rig as an operating lease. We recorded $4.6 million and $6.3 million of such rent expense in the six months ended June 30, 2005 and 2004, respectively. In May 2005, we purchased the rig for $42.5 million. The rig was reflected as property and equipment in the consolidated balance sheet at June 30, 2005.</w:t>
      </w:r>
    </w:p>
    <w:p>
      <w:pPr>
        <w:spacing w:after="0" w:line="233" w:lineRule="exact"/>
        <w:rPr>
          <w:sz w:val="20"/>
          <w:szCs w:val="20"/>
          <w:color w:val="auto"/>
        </w:rPr>
      </w:pPr>
    </w:p>
    <w:p>
      <w:pPr>
        <w:jc w:val="both"/>
        <w:ind w:firstLine="628"/>
        <w:spacing w:after="0" w:line="279" w:lineRule="auto"/>
        <w:rPr>
          <w:sz w:val="20"/>
          <w:szCs w:val="20"/>
          <w:color w:val="auto"/>
        </w:rPr>
      </w:pPr>
      <w:r>
        <w:rPr>
          <w:rFonts w:ascii="Arial" w:cs="Arial" w:eastAsia="Arial" w:hAnsi="Arial"/>
          <w:sz w:val="16"/>
          <w:szCs w:val="16"/>
          <w:color w:val="auto"/>
        </w:rPr>
        <w:t xml:space="preserve">Effective December 31, 2003, we adopted and applied the provisions of FASB Interpretation (“FIN”) 46,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as revised December 31, 2003, for all variable interest entities. FIN 46 requires the consolidation of variable interest entities in which an enterprise absorbs a majority of the entity’s expected losses, receives a majority of the entity’s expected residual returns, or both, as a result of ownership, contractual or other financial interests in the entity. Because the sale/leaseback agreement was with an entity in which we had no direct investment, we were not entitled to receive the financial information of the leasing entity and the equity holders of the leasing company would not release the financial statements or other financial information to us in order for us to make the determination of whether the entity was a variable interest entity. In addition, without the financial statements or other financial information, we were unable to determine if we were the primary beneficiary of the entity and, if so, what we would have consolidated. We had no exposure to loss as a result of the sale/leaseback agreement. As a result of the purchase of the </w:t>
      </w:r>
      <w:r>
        <w:rPr>
          <w:rFonts w:ascii="Arial" w:cs="Arial" w:eastAsia="Arial" w:hAnsi="Arial"/>
          <w:sz w:val="16"/>
          <w:szCs w:val="16"/>
          <w:i w:val="1"/>
          <w:iCs w:val="1"/>
          <w:color w:val="auto"/>
        </w:rPr>
        <w:t>M. G. Hulme, Jr.</w:t>
      </w:r>
      <w:r>
        <w:rPr>
          <w:rFonts w:ascii="Arial" w:cs="Arial" w:eastAsia="Arial" w:hAnsi="Arial"/>
          <w:sz w:val="16"/>
          <w:szCs w:val="16"/>
          <w:color w:val="auto"/>
        </w:rPr>
        <w:t>, we are no longer associated with Deep Seas Investors and, as such, are no longer required to review for FIN 46 applicability.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w:t>
      </w:r>
      <w:r>
        <w:rPr>
          <w:rFonts w:ascii="Arial" w:cs="Arial" w:eastAsia="Arial" w:hAnsi="Arial"/>
          <w:sz w:val="17"/>
          <w:szCs w:val="17"/>
          <w:color w:val="auto"/>
        </w:rPr>
        <w:t>―</w:t>
      </w:r>
      <w:r>
        <w:rPr>
          <w:rFonts w:ascii="Arial" w:cs="Arial" w:eastAsia="Arial" w:hAnsi="Arial"/>
          <w:sz w:val="17"/>
          <w:szCs w:val="17"/>
          <w:b w:val="1"/>
          <w:bCs w:val="1"/>
          <w:color w:val="auto"/>
        </w:rPr>
        <w:t>Retirement Plans and Other Postemployment Benefits</w:t>
      </w:r>
    </w:p>
    <w:p>
      <w:pPr>
        <w:spacing w:after="0" w:line="281"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i w:val="1"/>
          <w:iCs w:val="1"/>
          <w:color w:val="auto"/>
        </w:rPr>
        <w:t>Defined Benefit Pension Plans</w:t>
      </w:r>
      <w:r>
        <w:rPr>
          <w:rFonts w:ascii="Arial" w:cs="Arial" w:eastAsia="Arial" w:hAnsi="Arial"/>
          <w:sz w:val="17"/>
          <w:szCs w:val="17"/>
          <w:color w:val="auto"/>
        </w:rPr>
        <w:t>—We have several defined benefit pension plans, both funded and unfunded, covering substantially all U.S. employees. We</w:t>
      </w:r>
      <w:r>
        <w:rPr>
          <w:rFonts w:ascii="Arial" w:cs="Arial" w:eastAsia="Arial" w:hAnsi="Arial"/>
          <w:sz w:val="17"/>
          <w:szCs w:val="17"/>
          <w:i w:val="1"/>
          <w:iCs w:val="1"/>
          <w:color w:val="auto"/>
        </w:rPr>
        <w:t xml:space="preserve"> </w:t>
      </w:r>
      <w:r>
        <w:rPr>
          <w:rFonts w:ascii="Arial" w:cs="Arial" w:eastAsia="Arial" w:hAnsi="Arial"/>
          <w:sz w:val="17"/>
          <w:szCs w:val="17"/>
          <w:color w:val="auto"/>
        </w:rPr>
        <w:t>also have various defined benefit plans that cover Norway and Nigeria employees and various current and former employees covered under certain frozen plans acquired in connection with the R&amp;B Falcon merger. Net periodic benefit cost for these defined benefit pension plans included the following components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4"/>
          </w:tcPr>
          <w:p>
            <w:pPr>
              <w:jc w:val="right"/>
              <w:ind w:right="280"/>
              <w:spacing w:after="0"/>
              <w:rPr>
                <w:sz w:val="20"/>
                <w:szCs w:val="20"/>
                <w:color w:val="auto"/>
              </w:rPr>
            </w:pPr>
            <w:r>
              <w:rPr>
                <w:rFonts w:ascii="Arial" w:cs="Arial" w:eastAsia="Arial" w:hAnsi="Arial"/>
                <w:sz w:val="17"/>
                <w:szCs w:val="17"/>
                <w:color w:val="auto"/>
              </w:rPr>
              <w:t>Three Months Ended</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6"/>
          </w:tcPr>
          <w:p>
            <w:pPr>
              <w:jc w:val="right"/>
              <w:ind w:right="940"/>
              <w:spacing w:after="0"/>
              <w:rPr>
                <w:sz w:val="20"/>
                <w:szCs w:val="20"/>
                <w:color w:val="auto"/>
              </w:rPr>
            </w:pPr>
            <w:r>
              <w:rPr>
                <w:rFonts w:ascii="Arial" w:cs="Arial" w:eastAsia="Arial" w:hAnsi="Arial"/>
                <w:sz w:val="17"/>
                <w:szCs w:val="17"/>
                <w:color w:val="auto"/>
              </w:rPr>
              <w:t>Six Months Ended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7"/>
                <w:szCs w:val="17"/>
                <w:color w:val="auto"/>
              </w:rPr>
              <w:t>June 30,</w:t>
            </w:r>
          </w:p>
        </w:tc>
        <w:tc>
          <w:tcPr>
            <w:tcW w:w="4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7"/>
                <w:szCs w:val="17"/>
                <w:color w:val="auto"/>
              </w:rPr>
              <w:t>June 30,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8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2005</w:t>
            </w:r>
          </w:p>
        </w:tc>
        <w:tc>
          <w:tcPr>
            <w:tcW w:w="4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2004</w:t>
            </w:r>
          </w:p>
        </w:tc>
        <w:tc>
          <w:tcPr>
            <w:tcW w:w="4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2005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2004</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7"/>
                <w:szCs w:val="17"/>
                <w:b w:val="1"/>
                <w:bCs w:val="1"/>
                <w:color w:val="auto"/>
              </w:rPr>
              <w:t>Components of Net Periodic Benefit Cost (a)</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000" w:type="dxa"/>
            <w:vAlign w:val="bottom"/>
            <w:gridSpan w:val="2"/>
            <w:shd w:val="clear" w:color="auto" w:fill="E2EEF6"/>
          </w:tcPr>
          <w:p>
            <w:pPr>
              <w:ind w:left="160"/>
              <w:spacing w:after="0"/>
              <w:rPr>
                <w:sz w:val="20"/>
                <w:szCs w:val="20"/>
                <w:color w:val="auto"/>
              </w:rPr>
            </w:pPr>
            <w:r>
              <w:rPr>
                <w:rFonts w:ascii="Arial" w:cs="Arial" w:eastAsia="Arial" w:hAnsi="Arial"/>
                <w:sz w:val="17"/>
                <w:szCs w:val="17"/>
                <w:color w:val="auto"/>
              </w:rPr>
              <w:t>Service cost</w:t>
            </w:r>
          </w:p>
        </w:tc>
        <w:tc>
          <w:tcPr>
            <w:tcW w:w="960" w:type="dxa"/>
            <w:vAlign w:val="bottom"/>
            <w:shd w:val="clear" w:color="auto" w:fill="E2EEF6"/>
          </w:tcPr>
          <w:p>
            <w:pPr>
              <w:jc w:val="right"/>
              <w:ind w:right="798"/>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4.5</w:t>
            </w:r>
          </w:p>
        </w:tc>
        <w:tc>
          <w:tcPr>
            <w:tcW w:w="980" w:type="dxa"/>
            <w:vAlign w:val="bottom"/>
            <w:shd w:val="clear" w:color="auto" w:fill="E2EEF6"/>
          </w:tcPr>
          <w:p>
            <w:pPr>
              <w:jc w:val="right"/>
              <w:ind w:right="82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3.9</w:t>
            </w:r>
          </w:p>
        </w:tc>
        <w:tc>
          <w:tcPr>
            <w:tcW w:w="38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9.1</w:t>
            </w:r>
          </w:p>
        </w:tc>
        <w:tc>
          <w:tcPr>
            <w:tcW w:w="440" w:type="dxa"/>
            <w:vAlign w:val="bottom"/>
            <w:gridSpan w:val="2"/>
            <w:shd w:val="clear" w:color="auto" w:fill="E2EEF6"/>
          </w:tcPr>
          <w:p>
            <w:pPr>
              <w:jc w:val="right"/>
              <w:ind w:right="2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E2EEF6"/>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E2EEF6"/>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7"/>
                <w:szCs w:val="17"/>
                <w:color w:val="auto"/>
              </w:rPr>
              <w:t>Interest cost</w:t>
            </w:r>
          </w:p>
        </w:tc>
        <w:tc>
          <w:tcPr>
            <w:tcW w:w="96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4.5</w:t>
            </w:r>
          </w:p>
        </w:tc>
        <w:tc>
          <w:tcPr>
            <w:tcW w:w="98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8.9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000" w:type="dxa"/>
            <w:vAlign w:val="bottom"/>
            <w:gridSpan w:val="2"/>
            <w:shd w:val="clear" w:color="auto" w:fill="E2EEF6"/>
          </w:tcPr>
          <w:p>
            <w:pPr>
              <w:ind w:left="160"/>
              <w:spacing w:after="0"/>
              <w:rPr>
                <w:sz w:val="20"/>
                <w:szCs w:val="20"/>
                <w:color w:val="auto"/>
              </w:rPr>
            </w:pPr>
            <w:r>
              <w:rPr>
                <w:rFonts w:ascii="Arial" w:cs="Arial" w:eastAsia="Arial" w:hAnsi="Arial"/>
                <w:sz w:val="17"/>
                <w:szCs w:val="17"/>
                <w:color w:val="auto"/>
              </w:rPr>
              <w:t>Expected return on plan assets</w:t>
            </w:r>
          </w:p>
        </w:tc>
        <w:tc>
          <w:tcPr>
            <w:tcW w:w="960" w:type="dxa"/>
            <w:vAlign w:val="bottom"/>
            <w:shd w:val="clear" w:color="auto" w:fill="E2EEF6"/>
          </w:tcPr>
          <w:p>
            <w:pPr>
              <w:spacing w:after="0"/>
              <w:rPr>
                <w:sz w:val="20"/>
                <w:szCs w:val="20"/>
                <w:color w:val="auto"/>
              </w:rPr>
            </w:pPr>
          </w:p>
        </w:tc>
        <w:tc>
          <w:tcPr>
            <w:tcW w:w="64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(5.2)</w:t>
            </w:r>
          </w:p>
        </w:tc>
        <w:tc>
          <w:tcPr>
            <w:tcW w:w="980" w:type="dxa"/>
            <w:vAlign w:val="bottom"/>
            <w:shd w:val="clear" w:color="auto" w:fill="E2EEF6"/>
          </w:tcPr>
          <w:p>
            <w:pPr>
              <w:spacing w:after="0"/>
              <w:rPr>
                <w:sz w:val="20"/>
                <w:szCs w:val="20"/>
                <w:color w:val="auto"/>
              </w:rPr>
            </w:pPr>
          </w:p>
        </w:tc>
        <w:tc>
          <w:tcPr>
            <w:tcW w:w="54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(4.9)</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80"/>
              <w:spacing w:after="0"/>
              <w:rPr>
                <w:sz w:val="20"/>
                <w:szCs w:val="20"/>
                <w:color w:val="auto"/>
              </w:rPr>
            </w:pPr>
            <w:r>
              <w:rPr>
                <w:rFonts w:ascii="Arial" w:cs="Arial" w:eastAsia="Arial" w:hAnsi="Arial"/>
                <w:sz w:val="17"/>
                <w:szCs w:val="17"/>
                <w:color w:val="auto"/>
              </w:rPr>
              <w:t>(10.3)</w:t>
            </w:r>
          </w:p>
        </w:tc>
        <w:tc>
          <w:tcPr>
            <w:tcW w:w="80" w:type="dxa"/>
            <w:vAlign w:val="bottom"/>
            <w:shd w:val="clear" w:color="auto" w:fill="E2EEF6"/>
          </w:tcPr>
          <w:p>
            <w:pPr>
              <w:spacing w:after="0"/>
              <w:rPr>
                <w:sz w:val="20"/>
                <w:szCs w:val="20"/>
                <w:color w:val="auto"/>
              </w:rPr>
            </w:pPr>
          </w:p>
        </w:tc>
        <w:tc>
          <w:tcPr>
            <w:tcW w:w="360" w:type="dxa"/>
            <w:vAlign w:val="bottom"/>
            <w:shd w:val="clear" w:color="auto" w:fill="E2EEF6"/>
          </w:tcPr>
          <w:p>
            <w:pPr>
              <w:spacing w:after="0"/>
              <w:rPr>
                <w:sz w:val="20"/>
                <w:szCs w:val="20"/>
                <w:color w:val="auto"/>
              </w:rPr>
            </w:pPr>
          </w:p>
        </w:tc>
        <w:tc>
          <w:tcPr>
            <w:tcW w:w="1120" w:type="dxa"/>
            <w:vAlign w:val="bottom"/>
            <w:gridSpan w:val="2"/>
            <w:shd w:val="clear" w:color="auto" w:fill="E2EEF6"/>
          </w:tcPr>
          <w:p>
            <w:pPr>
              <w:jc w:val="right"/>
              <w:ind w:right="40"/>
              <w:spacing w:after="0"/>
              <w:rPr>
                <w:sz w:val="20"/>
                <w:szCs w:val="20"/>
                <w:color w:val="auto"/>
              </w:rPr>
            </w:pPr>
            <w:r>
              <w:rPr>
                <w:rFonts w:ascii="Arial" w:cs="Arial" w:eastAsia="Arial" w:hAnsi="Arial"/>
                <w:sz w:val="17"/>
                <w:szCs w:val="17"/>
                <w:color w:val="auto"/>
              </w:rPr>
              <w:t>(9.7)</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7"/>
                <w:szCs w:val="17"/>
                <w:color w:val="auto"/>
              </w:rPr>
              <w:t>Amortization of transition obligation</w:t>
            </w:r>
          </w:p>
        </w:tc>
        <w:tc>
          <w:tcPr>
            <w:tcW w:w="96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000" w:type="dxa"/>
            <w:vAlign w:val="bottom"/>
            <w:gridSpan w:val="2"/>
            <w:shd w:val="clear" w:color="auto" w:fill="E2EEF6"/>
          </w:tcPr>
          <w:p>
            <w:pPr>
              <w:ind w:left="160"/>
              <w:spacing w:after="0"/>
              <w:rPr>
                <w:sz w:val="20"/>
                <w:szCs w:val="20"/>
                <w:color w:val="auto"/>
              </w:rPr>
            </w:pPr>
            <w:r>
              <w:rPr>
                <w:rFonts w:ascii="Arial" w:cs="Arial" w:eastAsia="Arial" w:hAnsi="Arial"/>
                <w:sz w:val="17"/>
                <w:szCs w:val="17"/>
                <w:color w:val="auto"/>
              </w:rPr>
              <w:t>Amortization of prior service cost</w:t>
            </w:r>
          </w:p>
        </w:tc>
        <w:tc>
          <w:tcPr>
            <w:tcW w:w="960" w:type="dxa"/>
            <w:vAlign w:val="bottom"/>
            <w:shd w:val="clear" w:color="auto" w:fill="E2EEF6"/>
          </w:tcPr>
          <w:p>
            <w:pPr>
              <w:spacing w:after="0"/>
              <w:rPr>
                <w:sz w:val="20"/>
                <w:szCs w:val="20"/>
                <w:color w:val="auto"/>
              </w:rPr>
            </w:pPr>
          </w:p>
        </w:tc>
        <w:tc>
          <w:tcPr>
            <w:tcW w:w="64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0.6</w:t>
            </w:r>
          </w:p>
        </w:tc>
        <w:tc>
          <w:tcPr>
            <w:tcW w:w="980" w:type="dxa"/>
            <w:vAlign w:val="bottom"/>
            <w:shd w:val="clear" w:color="auto" w:fill="E2EEF6"/>
          </w:tcPr>
          <w:p>
            <w:pPr>
              <w:spacing w:after="0"/>
              <w:rPr>
                <w:sz w:val="20"/>
                <w:szCs w:val="20"/>
                <w:color w:val="auto"/>
              </w:rPr>
            </w:pPr>
          </w:p>
        </w:tc>
        <w:tc>
          <w:tcPr>
            <w:tcW w:w="54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0.2</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20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0.4</w:t>
            </w:r>
          </w:p>
        </w:tc>
        <w:tc>
          <w:tcPr>
            <w:tcW w:w="80" w:type="dxa"/>
            <w:vAlign w:val="bottom"/>
            <w:shd w:val="clear" w:color="auto" w:fill="E2EEF6"/>
          </w:tcPr>
          <w:p>
            <w:pPr>
              <w:spacing w:after="0"/>
              <w:rPr>
                <w:sz w:val="20"/>
                <w:szCs w:val="20"/>
                <w:color w:val="auto"/>
              </w:rPr>
            </w:pPr>
          </w:p>
        </w:tc>
        <w:tc>
          <w:tcPr>
            <w:tcW w:w="360" w:type="dxa"/>
            <w:vAlign w:val="bottom"/>
            <w:shd w:val="clear" w:color="auto" w:fill="E2EEF6"/>
          </w:tcPr>
          <w:p>
            <w:pPr>
              <w:spacing w:after="0"/>
              <w:rPr>
                <w:sz w:val="20"/>
                <w:szCs w:val="20"/>
                <w:color w:val="auto"/>
              </w:rPr>
            </w:pPr>
          </w:p>
        </w:tc>
        <w:tc>
          <w:tcPr>
            <w:tcW w:w="1020" w:type="dxa"/>
            <w:vAlign w:val="bottom"/>
            <w:shd w:val="clear" w:color="auto" w:fill="E2EEF6"/>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E2EEF6"/>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7"/>
                <w:szCs w:val="17"/>
                <w:color w:val="auto"/>
              </w:rPr>
              <w:t>Recognized net actuarial losses</w:t>
            </w:r>
          </w:p>
        </w:tc>
        <w:tc>
          <w:tcPr>
            <w:tcW w:w="96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0.5</w:t>
            </w:r>
          </w:p>
        </w:tc>
        <w:tc>
          <w:tcPr>
            <w:tcW w:w="98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0.7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80" w:type="dxa"/>
            <w:vAlign w:val="bottom"/>
          </w:tcPr>
          <w:p>
            <w:pPr>
              <w:spacing w:after="0"/>
              <w:rPr>
                <w:sz w:val="21"/>
                <w:szCs w:val="21"/>
                <w:color w:val="auto"/>
              </w:rPr>
            </w:pPr>
          </w:p>
        </w:tc>
        <w:tc>
          <w:tcPr>
            <w:tcW w:w="4000" w:type="dxa"/>
            <w:vAlign w:val="bottom"/>
            <w:tcBorders>
              <w:bottom w:val="single" w:sz="8" w:color="E2EEF6"/>
            </w:tcBorders>
            <w:gridSpan w:val="2"/>
            <w:shd w:val="clear" w:color="auto" w:fill="E2EEF6"/>
          </w:tcPr>
          <w:p>
            <w:pPr>
              <w:ind w:left="160"/>
              <w:spacing w:after="0"/>
              <w:rPr>
                <w:sz w:val="20"/>
                <w:szCs w:val="20"/>
                <w:color w:val="auto"/>
              </w:rPr>
            </w:pPr>
            <w:r>
              <w:rPr>
                <w:rFonts w:ascii="Arial" w:cs="Arial" w:eastAsia="Arial" w:hAnsi="Arial"/>
                <w:sz w:val="17"/>
                <w:szCs w:val="17"/>
                <w:color w:val="auto"/>
              </w:rPr>
              <w:t>SFAS 88 settlements/curtailments</w:t>
            </w:r>
          </w:p>
        </w:tc>
        <w:tc>
          <w:tcPr>
            <w:tcW w:w="960" w:type="dxa"/>
            <w:vAlign w:val="bottom"/>
            <w:tcBorders>
              <w:bottom w:val="single" w:sz="8" w:color="E2EEF6"/>
            </w:tcBorders>
            <w:shd w:val="clear" w:color="auto" w:fill="E2EEF6"/>
          </w:tcPr>
          <w:p>
            <w:pPr>
              <w:spacing w:after="0"/>
              <w:rPr>
                <w:sz w:val="21"/>
                <w:szCs w:val="21"/>
                <w:color w:val="auto"/>
              </w:rPr>
            </w:pPr>
          </w:p>
        </w:tc>
        <w:tc>
          <w:tcPr>
            <w:tcW w:w="640" w:type="dxa"/>
            <w:vAlign w:val="bottom"/>
            <w:tcBorders>
              <w:bottom w:val="single" w:sz="8" w:color="E2EEF6"/>
            </w:tcBorders>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E2EEF6"/>
            </w:tcBorders>
            <w:shd w:val="clear" w:color="auto" w:fill="E2EEF6"/>
          </w:tcPr>
          <w:p>
            <w:pPr>
              <w:spacing w:after="0"/>
              <w:rPr>
                <w:sz w:val="21"/>
                <w:szCs w:val="21"/>
                <w:color w:val="auto"/>
              </w:rPr>
            </w:pPr>
          </w:p>
        </w:tc>
        <w:tc>
          <w:tcPr>
            <w:tcW w:w="540" w:type="dxa"/>
            <w:vAlign w:val="bottom"/>
            <w:tcBorders>
              <w:bottom w:val="single" w:sz="8" w:color="E2EEF6"/>
            </w:tcBorders>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E2EEF6"/>
            </w:tcBorders>
            <w:shd w:val="clear" w:color="auto" w:fill="E2EEF6"/>
          </w:tcPr>
          <w:p>
            <w:pPr>
              <w:spacing w:after="0"/>
              <w:rPr>
                <w:sz w:val="21"/>
                <w:szCs w:val="21"/>
                <w:color w:val="auto"/>
              </w:rPr>
            </w:pPr>
          </w:p>
        </w:tc>
        <w:tc>
          <w:tcPr>
            <w:tcW w:w="300" w:type="dxa"/>
            <w:vAlign w:val="bottom"/>
            <w:tcBorders>
              <w:bottom w:val="single" w:sz="8" w:color="E2EEF6"/>
            </w:tcBorders>
            <w:shd w:val="clear" w:color="auto" w:fill="E2EEF6"/>
          </w:tcPr>
          <w:p>
            <w:pPr>
              <w:spacing w:after="0"/>
              <w:rPr>
                <w:sz w:val="21"/>
                <w:szCs w:val="21"/>
                <w:color w:val="auto"/>
              </w:rPr>
            </w:pPr>
          </w:p>
        </w:tc>
        <w:tc>
          <w:tcPr>
            <w:tcW w:w="1200" w:type="dxa"/>
            <w:vAlign w:val="bottom"/>
            <w:tcBorders>
              <w:bottom w:val="single" w:sz="8" w:color="E2EEF6"/>
            </w:tcBorders>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2.1</w:t>
            </w:r>
          </w:p>
        </w:tc>
        <w:tc>
          <w:tcPr>
            <w:tcW w:w="80" w:type="dxa"/>
            <w:vAlign w:val="bottom"/>
            <w:tcBorders>
              <w:bottom w:val="single" w:sz="8" w:color="E2EEF6"/>
            </w:tcBorders>
            <w:shd w:val="clear" w:color="auto" w:fill="E2EEF6"/>
          </w:tcPr>
          <w:p>
            <w:pPr>
              <w:spacing w:after="0"/>
              <w:rPr>
                <w:sz w:val="21"/>
                <w:szCs w:val="21"/>
                <w:color w:val="auto"/>
              </w:rPr>
            </w:pPr>
          </w:p>
        </w:tc>
        <w:tc>
          <w:tcPr>
            <w:tcW w:w="360" w:type="dxa"/>
            <w:vAlign w:val="bottom"/>
            <w:tcBorders>
              <w:bottom w:val="single" w:sz="8" w:color="E2EEF6"/>
            </w:tcBorders>
            <w:shd w:val="clear" w:color="auto" w:fill="E2EEF6"/>
          </w:tcPr>
          <w:p>
            <w:pPr>
              <w:spacing w:after="0"/>
              <w:rPr>
                <w:sz w:val="21"/>
                <w:szCs w:val="21"/>
                <w:color w:val="auto"/>
              </w:rPr>
            </w:pPr>
          </w:p>
        </w:tc>
        <w:tc>
          <w:tcPr>
            <w:tcW w:w="102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E2EEF6"/>
            </w:tcBorders>
            <w:shd w:val="clear" w:color="auto" w:fill="E2EEF6"/>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00" w:type="dxa"/>
            <w:vAlign w:val="bottom"/>
            <w:shd w:val="clear" w:color="auto" w:fill="E2EEF6"/>
          </w:tcPr>
          <w:p>
            <w:pPr>
              <w:spacing w:after="0" w:line="20" w:lineRule="exact"/>
              <w:rPr>
                <w:sz w:val="1"/>
                <w:szCs w:val="1"/>
                <w:color w:val="auto"/>
              </w:rPr>
            </w:pPr>
          </w:p>
        </w:tc>
        <w:tc>
          <w:tcPr>
            <w:tcW w:w="200" w:type="dxa"/>
            <w:vAlign w:val="bottom"/>
            <w:shd w:val="clear" w:color="auto" w:fill="E2EEF6"/>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E2EEF6"/>
          </w:tcPr>
          <w:p>
            <w:pPr>
              <w:spacing w:after="0" w:line="20" w:lineRule="exact"/>
              <w:rPr>
                <w:sz w:val="1"/>
                <w:szCs w:val="1"/>
                <w:color w:val="auto"/>
              </w:rPr>
            </w:pPr>
          </w:p>
        </w:tc>
        <w:tc>
          <w:tcPr>
            <w:tcW w:w="80" w:type="dxa"/>
            <w:vAlign w:val="bottom"/>
            <w:shd w:val="clear" w:color="auto" w:fill="E2EEF6"/>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E2EEF6"/>
          </w:tcPr>
          <w:p>
            <w:pPr>
              <w:spacing w:after="0" w:line="20" w:lineRule="exact"/>
              <w:rPr>
                <w:sz w:val="1"/>
                <w:szCs w:val="1"/>
                <w:color w:val="auto"/>
              </w:rPr>
            </w:pPr>
          </w:p>
        </w:tc>
        <w:tc>
          <w:tcPr>
            <w:tcW w:w="80" w:type="dxa"/>
            <w:vAlign w:val="bottom"/>
            <w:shd w:val="clear" w:color="auto" w:fill="E2EEF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0" w:type="dxa"/>
            <w:vAlign w:val="bottom"/>
          </w:tcPr>
          <w:p>
            <w:pPr>
              <w:spacing w:after="0"/>
              <w:rPr>
                <w:sz w:val="19"/>
                <w:szCs w:val="19"/>
                <w:color w:val="auto"/>
              </w:rPr>
            </w:pPr>
          </w:p>
        </w:tc>
        <w:tc>
          <w:tcPr>
            <w:tcW w:w="4000" w:type="dxa"/>
            <w:vAlign w:val="bottom"/>
            <w:gridSpan w:val="2"/>
          </w:tcPr>
          <w:p>
            <w:pPr>
              <w:ind w:left="320"/>
              <w:spacing w:after="0"/>
              <w:rPr>
                <w:sz w:val="20"/>
                <w:szCs w:val="20"/>
                <w:color w:val="auto"/>
              </w:rPr>
            </w:pPr>
            <w:r>
              <w:rPr>
                <w:rFonts w:ascii="Arial" w:cs="Arial" w:eastAsia="Arial" w:hAnsi="Arial"/>
                <w:sz w:val="17"/>
                <w:szCs w:val="17"/>
                <w:color w:val="auto"/>
              </w:rPr>
              <w:t>Benefit cost</w:t>
            </w:r>
          </w:p>
        </w:tc>
        <w:tc>
          <w:tcPr>
            <w:tcW w:w="960" w:type="dxa"/>
            <w:vAlign w:val="bottom"/>
          </w:tcPr>
          <w:p>
            <w:pPr>
              <w:jc w:val="right"/>
              <w:ind w:right="798"/>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4.9</w:t>
            </w:r>
          </w:p>
        </w:tc>
        <w:tc>
          <w:tcPr>
            <w:tcW w:w="220" w:type="dxa"/>
            <w:vAlign w:val="bottom"/>
          </w:tcPr>
          <w:p>
            <w:pPr>
              <w:spacing w:after="0"/>
              <w:rPr>
                <w:sz w:val="19"/>
                <w:szCs w:val="19"/>
                <w:color w:val="auto"/>
              </w:rPr>
            </w:pPr>
          </w:p>
        </w:tc>
        <w:tc>
          <w:tcPr>
            <w:tcW w:w="980" w:type="dxa"/>
            <w:vAlign w:val="bottom"/>
          </w:tcPr>
          <w:p>
            <w:pPr>
              <w:jc w:val="right"/>
              <w:ind w:right="8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4.0</w:t>
            </w:r>
          </w:p>
        </w:tc>
        <w:tc>
          <w:tcPr>
            <w:tcW w:w="14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12.2</w:t>
            </w: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00" w:type="dxa"/>
            <w:vAlign w:val="bottom"/>
            <w:vMerge w:val="restart"/>
          </w:tcPr>
          <w:p>
            <w:pPr>
              <w:ind w:left="60"/>
              <w:spacing w:after="0"/>
              <w:rPr>
                <w:sz w:val="20"/>
                <w:szCs w:val="20"/>
                <w:color w:val="auto"/>
              </w:rPr>
            </w:pPr>
            <w:r>
              <w:rPr>
                <w:rFonts w:ascii="Arial" w:cs="Arial" w:eastAsia="Arial" w:hAnsi="Arial"/>
                <w:sz w:val="17"/>
                <w:szCs w:val="17"/>
                <w:color w:val="auto"/>
              </w:rPr>
              <w:t>______________</w:t>
            </w: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tcPr>
          <w:p>
            <w:pPr>
              <w:spacing w:after="0"/>
              <w:rPr>
                <w:sz w:val="15"/>
                <w:szCs w:val="15"/>
                <w:color w:val="auto"/>
              </w:rPr>
            </w:pPr>
          </w:p>
        </w:tc>
        <w:tc>
          <w:tcPr>
            <w:tcW w:w="38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000" w:type="dxa"/>
            <w:vAlign w:val="bottom"/>
            <w:gridSpan w:val="2"/>
          </w:tcPr>
          <w:p>
            <w:pPr>
              <w:ind w:left="60"/>
              <w:spacing w:after="0"/>
              <w:rPr>
                <w:sz w:val="20"/>
                <w:szCs w:val="20"/>
                <w:color w:val="auto"/>
              </w:rPr>
            </w:pPr>
            <w:r>
              <w:rPr>
                <w:rFonts w:ascii="Arial" w:cs="Arial" w:eastAsia="Arial" w:hAnsi="Arial"/>
                <w:sz w:val="17"/>
                <w:szCs w:val="17"/>
                <w:color w:val="auto"/>
              </w:rPr>
              <w:t>(a)  Amounts are before income tax effect.</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jc w:val="right"/>
              <w:ind w:right="95"/>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bottom w:val="single" w:sz="8" w:color="808080"/>
            </w:tcBorders>
          </w:tcPr>
          <w:p>
            <w:pPr>
              <w:spacing w:after="0"/>
              <w:rPr>
                <w:sz w:val="8"/>
                <w:szCs w:val="8"/>
                <w:color w:val="auto"/>
              </w:rPr>
            </w:pPr>
          </w:p>
        </w:tc>
        <w:tc>
          <w:tcPr>
            <w:tcW w:w="3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TRANSOCEAN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63"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During the six months ended June 30, 2005, we contributed to the funded and unfunded defined benefit pension plans $1.7 million and $0.7 million, respectively, which is the total amount expected to be contributed for the year ending December 31, 2005. We funded the contributions from cash flows from operations.</w:t>
      </w:r>
    </w:p>
    <w:p>
      <w:pPr>
        <w:spacing w:after="0" w:line="225"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i w:val="1"/>
          <w:iCs w:val="1"/>
          <w:color w:val="auto"/>
        </w:rPr>
        <w:t>Postretirement Benefits Other Than Pensions (“OPEB”)</w:t>
      </w:r>
      <w:r>
        <w:rPr>
          <w:rFonts w:ascii="Arial" w:cs="Arial" w:eastAsia="Arial" w:hAnsi="Arial"/>
          <w:sz w:val="17"/>
          <w:szCs w:val="17"/>
          <w:color w:val="auto"/>
        </w:rPr>
        <w:t>—We have several unfunded contributory and noncontributory OPEB plans covering</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all of our U.S. employees. Net periodic benefit cost for these other postretirement plans included the following components (in millions):</w:t>
      </w: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5"/>
          </w:tcPr>
          <w:p>
            <w:pPr>
              <w:jc w:val="right"/>
              <w:ind w:right="200"/>
              <w:spacing w:after="0"/>
              <w:rPr>
                <w:sz w:val="20"/>
                <w:szCs w:val="20"/>
                <w:color w:val="auto"/>
              </w:rPr>
            </w:pPr>
            <w:r>
              <w:rPr>
                <w:rFonts w:ascii="Arial" w:cs="Arial" w:eastAsia="Arial" w:hAnsi="Arial"/>
                <w:sz w:val="17"/>
                <w:szCs w:val="17"/>
                <w:color w:val="auto"/>
              </w:rPr>
              <w:t>Three Months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7"/>
                <w:szCs w:val="17"/>
                <w:color w:val="auto"/>
              </w:rPr>
              <w:t>Six Months Ended</w:t>
            </w: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7"/>
                <w:szCs w:val="17"/>
                <w:color w:val="auto"/>
              </w:rPr>
              <w:t>June 30,</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7"/>
                <w:szCs w:val="17"/>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5"/>
        </w:trPr>
        <w:tc>
          <w:tcPr>
            <w:tcW w:w="2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2005</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2004</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313"/>
              <w:spacing w:after="0"/>
              <w:rPr>
                <w:sz w:val="20"/>
                <w:szCs w:val="20"/>
                <w:color w:val="auto"/>
              </w:rPr>
            </w:pPr>
            <w:r>
              <w:rPr>
                <w:rFonts w:ascii="Arial" w:cs="Arial" w:eastAsia="Arial" w:hAnsi="Arial"/>
                <w:sz w:val="17"/>
                <w:szCs w:val="17"/>
                <w:color w:val="auto"/>
              </w:rPr>
              <w:t>2005</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313"/>
              <w:spacing w:after="0"/>
              <w:rPr>
                <w:sz w:val="20"/>
                <w:szCs w:val="20"/>
                <w:color w:val="auto"/>
              </w:rPr>
            </w:pPr>
            <w:r>
              <w:rPr>
                <w:rFonts w:ascii="Arial" w:cs="Arial" w:eastAsia="Arial" w:hAnsi="Arial"/>
                <w:sz w:val="17"/>
                <w:szCs w:val="17"/>
                <w:color w:val="auto"/>
              </w:rPr>
              <w:t>2004</w:t>
            </w:r>
          </w:p>
        </w:tc>
        <w:tc>
          <w:tcPr>
            <w:tcW w:w="100" w:type="dxa"/>
            <w:vAlign w:val="bottom"/>
          </w:tcPr>
          <w:p>
            <w:pPr>
              <w:spacing w:after="0"/>
              <w:rPr>
                <w:sz w:val="22"/>
                <w:szCs w:val="22"/>
                <w:color w:val="auto"/>
              </w:rPr>
            </w:pPr>
          </w:p>
        </w:tc>
      </w:tr>
      <w:tr>
        <w:trPr>
          <w:trHeight w:val="229"/>
        </w:trPr>
        <w:tc>
          <w:tcPr>
            <w:tcW w:w="4180" w:type="dxa"/>
            <w:vAlign w:val="bottom"/>
            <w:gridSpan w:val="2"/>
          </w:tcPr>
          <w:p>
            <w:pPr>
              <w:spacing w:after="0"/>
              <w:rPr>
                <w:sz w:val="20"/>
                <w:szCs w:val="20"/>
                <w:color w:val="auto"/>
              </w:rPr>
            </w:pPr>
            <w:r>
              <w:rPr>
                <w:rFonts w:ascii="Arial" w:cs="Arial" w:eastAsia="Arial" w:hAnsi="Arial"/>
                <w:sz w:val="17"/>
                <w:szCs w:val="17"/>
                <w:b w:val="1"/>
                <w:bCs w:val="1"/>
                <w:color w:val="auto"/>
              </w:rPr>
              <w:t>Components of Net Periodic Benefit Cost (a)</w:t>
            </w:r>
          </w:p>
        </w:tc>
        <w:tc>
          <w:tcPr>
            <w:tcW w:w="2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4160" w:type="dxa"/>
            <w:vAlign w:val="bottom"/>
            <w:shd w:val="clear" w:color="auto" w:fill="E2EEF6"/>
          </w:tcPr>
          <w:p>
            <w:pPr>
              <w:spacing w:after="0"/>
              <w:rPr>
                <w:sz w:val="20"/>
                <w:szCs w:val="20"/>
                <w:color w:val="auto"/>
              </w:rPr>
            </w:pPr>
            <w:r>
              <w:rPr>
                <w:rFonts w:ascii="Arial" w:cs="Arial" w:eastAsia="Arial" w:hAnsi="Arial"/>
                <w:sz w:val="17"/>
                <w:szCs w:val="17"/>
                <w:color w:val="auto"/>
              </w:rPr>
              <w:t>Service cost</w:t>
            </w:r>
          </w:p>
        </w:tc>
        <w:tc>
          <w:tcPr>
            <w:tcW w:w="1020" w:type="dxa"/>
            <w:vAlign w:val="bottom"/>
            <w:gridSpan w:val="2"/>
            <w:shd w:val="clear" w:color="auto" w:fill="E2EEF6"/>
          </w:tcPr>
          <w:p>
            <w:pPr>
              <w:jc w:val="right"/>
              <w:ind w:right="653"/>
              <w:spacing w:after="0"/>
              <w:rPr>
                <w:sz w:val="20"/>
                <w:szCs w:val="20"/>
                <w:color w:val="auto"/>
              </w:rPr>
            </w:pPr>
            <w:r>
              <w:rPr>
                <w:rFonts w:ascii="Arial" w:cs="Arial" w:eastAsia="Arial" w:hAnsi="Arial"/>
                <w:sz w:val="17"/>
                <w:szCs w:val="17"/>
                <w:color w:val="auto"/>
              </w:rPr>
              <w:t>$</w:t>
            </w:r>
          </w:p>
        </w:tc>
        <w:tc>
          <w:tcPr>
            <w:tcW w:w="3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0.3</w:t>
            </w:r>
          </w:p>
        </w:tc>
        <w:tc>
          <w:tcPr>
            <w:tcW w:w="120" w:type="dxa"/>
            <w:vAlign w:val="bottom"/>
            <w:shd w:val="clear" w:color="auto" w:fill="E2EEF6"/>
          </w:tcPr>
          <w:p>
            <w:pPr>
              <w:spacing w:after="0"/>
              <w:rPr>
                <w:sz w:val="20"/>
                <w:szCs w:val="20"/>
                <w:color w:val="auto"/>
              </w:rPr>
            </w:pPr>
          </w:p>
        </w:tc>
        <w:tc>
          <w:tcPr>
            <w:tcW w:w="900" w:type="dxa"/>
            <w:vAlign w:val="bottom"/>
            <w:gridSpan w:val="2"/>
            <w:shd w:val="clear" w:color="auto" w:fill="E2EEF6"/>
          </w:tcPr>
          <w:p>
            <w:pPr>
              <w:jc w:val="right"/>
              <w:ind w:right="740"/>
              <w:spacing w:after="0"/>
              <w:rPr>
                <w:sz w:val="20"/>
                <w:szCs w:val="20"/>
                <w:color w:val="auto"/>
              </w:rPr>
            </w:pPr>
            <w:r>
              <w:rPr>
                <w:rFonts w:ascii="Arial" w:cs="Arial" w:eastAsia="Arial" w:hAnsi="Arial"/>
                <w:sz w:val="17"/>
                <w:szCs w:val="17"/>
                <w:color w:val="auto"/>
              </w:rPr>
              <w:t>$</w:t>
            </w:r>
          </w:p>
        </w:tc>
        <w:tc>
          <w:tcPr>
            <w:tcW w:w="340" w:type="dxa"/>
            <w:vAlign w:val="bottom"/>
            <w:shd w:val="clear" w:color="auto" w:fill="E2EEF6"/>
          </w:tcPr>
          <w:p>
            <w:pPr>
              <w:jc w:val="right"/>
              <w:spacing w:after="0"/>
              <w:rPr>
                <w:sz w:val="20"/>
                <w:szCs w:val="20"/>
                <w:color w:val="auto"/>
              </w:rPr>
            </w:pPr>
            <w:r>
              <w:rPr>
                <w:rFonts w:ascii="Arial" w:cs="Arial" w:eastAsia="Arial" w:hAnsi="Arial"/>
                <w:sz w:val="17"/>
                <w:szCs w:val="17"/>
                <w:color w:val="auto"/>
              </w:rPr>
              <w:t>0.2</w:t>
            </w:r>
          </w:p>
        </w:tc>
        <w:tc>
          <w:tcPr>
            <w:tcW w:w="200" w:type="dxa"/>
            <w:vAlign w:val="bottom"/>
            <w:shd w:val="clear" w:color="auto" w:fill="E2EEF6"/>
          </w:tcPr>
          <w:p>
            <w:pPr>
              <w:spacing w:after="0"/>
              <w:rPr>
                <w:sz w:val="20"/>
                <w:szCs w:val="20"/>
                <w:color w:val="auto"/>
              </w:rPr>
            </w:pPr>
          </w:p>
        </w:tc>
        <w:tc>
          <w:tcPr>
            <w:tcW w:w="240" w:type="dxa"/>
            <w:vAlign w:val="bottom"/>
            <w:shd w:val="clear" w:color="auto" w:fill="E2EEF6"/>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2EEF6"/>
          </w:tcPr>
          <w:p>
            <w:pPr>
              <w:jc w:val="right"/>
              <w:spacing w:after="0"/>
              <w:rPr>
                <w:sz w:val="20"/>
                <w:szCs w:val="20"/>
                <w:color w:val="auto"/>
              </w:rPr>
            </w:pPr>
            <w:r>
              <w:rPr>
                <w:rFonts w:ascii="Arial" w:cs="Arial" w:eastAsia="Arial" w:hAnsi="Arial"/>
                <w:sz w:val="17"/>
                <w:szCs w:val="17"/>
                <w:color w:val="auto"/>
              </w:rPr>
              <w:t>0.6</w:t>
            </w:r>
          </w:p>
        </w:tc>
        <w:tc>
          <w:tcPr>
            <w:tcW w:w="180" w:type="dxa"/>
            <w:vAlign w:val="bottom"/>
            <w:shd w:val="clear" w:color="auto" w:fill="E2EEF6"/>
          </w:tcPr>
          <w:p>
            <w:pPr>
              <w:spacing w:after="0"/>
              <w:rPr>
                <w:sz w:val="20"/>
                <w:szCs w:val="20"/>
                <w:color w:val="auto"/>
              </w:rPr>
            </w:pPr>
          </w:p>
        </w:tc>
        <w:tc>
          <w:tcPr>
            <w:tcW w:w="300" w:type="dxa"/>
            <w:vAlign w:val="bottom"/>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0.5</w:t>
            </w:r>
          </w:p>
        </w:tc>
      </w:tr>
      <w:tr>
        <w:trPr>
          <w:trHeight w:val="235"/>
        </w:trPr>
        <w:tc>
          <w:tcPr>
            <w:tcW w:w="4180" w:type="dxa"/>
            <w:vAlign w:val="bottom"/>
            <w:gridSpan w:val="2"/>
          </w:tcPr>
          <w:p>
            <w:pPr>
              <w:spacing w:after="0"/>
              <w:rPr>
                <w:sz w:val="20"/>
                <w:szCs w:val="20"/>
                <w:color w:val="auto"/>
              </w:rPr>
            </w:pPr>
            <w:r>
              <w:rPr>
                <w:rFonts w:ascii="Arial" w:cs="Arial" w:eastAsia="Arial" w:hAnsi="Arial"/>
                <w:sz w:val="17"/>
                <w:szCs w:val="17"/>
                <w:color w:val="auto"/>
              </w:rPr>
              <w:t>Interest cost</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0.6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r>
      <w:tr>
        <w:trPr>
          <w:trHeight w:val="236"/>
        </w:trPr>
        <w:tc>
          <w:tcPr>
            <w:tcW w:w="20" w:type="dxa"/>
            <w:vAlign w:val="bottom"/>
          </w:tcPr>
          <w:p>
            <w:pPr>
              <w:spacing w:after="0"/>
              <w:rPr>
                <w:sz w:val="20"/>
                <w:szCs w:val="20"/>
                <w:color w:val="auto"/>
              </w:rPr>
            </w:pPr>
          </w:p>
        </w:tc>
        <w:tc>
          <w:tcPr>
            <w:tcW w:w="4160" w:type="dxa"/>
            <w:vAlign w:val="bottom"/>
            <w:shd w:val="clear" w:color="auto" w:fill="E2EEF6"/>
          </w:tcPr>
          <w:p>
            <w:pPr>
              <w:spacing w:after="0"/>
              <w:rPr>
                <w:sz w:val="20"/>
                <w:szCs w:val="20"/>
                <w:color w:val="auto"/>
              </w:rPr>
            </w:pPr>
            <w:r>
              <w:rPr>
                <w:rFonts w:ascii="Arial" w:cs="Arial" w:eastAsia="Arial" w:hAnsi="Arial"/>
                <w:sz w:val="17"/>
                <w:szCs w:val="17"/>
                <w:color w:val="auto"/>
              </w:rPr>
              <w:t>Amortization of prior service cost</w:t>
            </w:r>
          </w:p>
        </w:tc>
        <w:tc>
          <w:tcPr>
            <w:tcW w:w="200" w:type="dxa"/>
            <w:vAlign w:val="bottom"/>
            <w:shd w:val="clear" w:color="auto" w:fill="E2EEF6"/>
          </w:tcPr>
          <w:p>
            <w:pPr>
              <w:spacing w:after="0"/>
              <w:rPr>
                <w:sz w:val="20"/>
                <w:szCs w:val="20"/>
                <w:color w:val="auto"/>
              </w:rPr>
            </w:pPr>
          </w:p>
        </w:tc>
        <w:tc>
          <w:tcPr>
            <w:tcW w:w="820" w:type="dxa"/>
            <w:vAlign w:val="bottom"/>
            <w:shd w:val="clear" w:color="auto" w:fill="E2EEF6"/>
          </w:tcPr>
          <w:p>
            <w:pPr>
              <w:spacing w:after="0"/>
              <w:rPr>
                <w:sz w:val="20"/>
                <w:szCs w:val="20"/>
                <w:color w:val="auto"/>
              </w:rPr>
            </w:pPr>
          </w:p>
        </w:tc>
        <w:tc>
          <w:tcPr>
            <w:tcW w:w="480" w:type="dxa"/>
            <w:vAlign w:val="bottom"/>
            <w:gridSpan w:val="2"/>
            <w:shd w:val="clear" w:color="auto" w:fill="E2EEF6"/>
          </w:tcPr>
          <w:p>
            <w:pPr>
              <w:jc w:val="right"/>
              <w:ind w:right="80"/>
              <w:spacing w:after="0"/>
              <w:rPr>
                <w:sz w:val="20"/>
                <w:szCs w:val="20"/>
                <w:color w:val="auto"/>
              </w:rPr>
            </w:pPr>
            <w:r>
              <w:rPr>
                <w:rFonts w:ascii="Arial" w:cs="Arial" w:eastAsia="Arial" w:hAnsi="Arial"/>
                <w:sz w:val="17"/>
                <w:szCs w:val="17"/>
                <w:color w:val="auto"/>
              </w:rPr>
              <w:t>(0.6)</w:t>
            </w:r>
          </w:p>
        </w:tc>
        <w:tc>
          <w:tcPr>
            <w:tcW w:w="60" w:type="dxa"/>
            <w:vAlign w:val="bottom"/>
            <w:shd w:val="clear" w:color="auto" w:fill="E2EEF6"/>
          </w:tcPr>
          <w:p>
            <w:pPr>
              <w:spacing w:after="0"/>
              <w:rPr>
                <w:sz w:val="20"/>
                <w:szCs w:val="20"/>
                <w:color w:val="auto"/>
              </w:rPr>
            </w:pPr>
          </w:p>
        </w:tc>
        <w:tc>
          <w:tcPr>
            <w:tcW w:w="840" w:type="dxa"/>
            <w:vAlign w:val="bottom"/>
            <w:shd w:val="clear" w:color="auto" w:fill="E2EEF6"/>
          </w:tcPr>
          <w:p>
            <w:pPr>
              <w:spacing w:after="0"/>
              <w:rPr>
                <w:sz w:val="20"/>
                <w:szCs w:val="20"/>
                <w:color w:val="auto"/>
              </w:rPr>
            </w:pPr>
          </w:p>
        </w:tc>
        <w:tc>
          <w:tcPr>
            <w:tcW w:w="54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(0.5)</w:t>
            </w:r>
          </w:p>
        </w:tc>
        <w:tc>
          <w:tcPr>
            <w:tcW w:w="240" w:type="dxa"/>
            <w:vAlign w:val="bottom"/>
            <w:shd w:val="clear" w:color="auto" w:fill="E2EEF6"/>
          </w:tcPr>
          <w:p>
            <w:pPr>
              <w:spacing w:after="0"/>
              <w:rPr>
                <w:sz w:val="20"/>
                <w:szCs w:val="20"/>
                <w:color w:val="auto"/>
              </w:rPr>
            </w:pPr>
          </w:p>
        </w:tc>
        <w:tc>
          <w:tcPr>
            <w:tcW w:w="1100" w:type="dxa"/>
            <w:vAlign w:val="bottom"/>
            <w:gridSpan w:val="2"/>
            <w:shd w:val="clear" w:color="auto" w:fill="E2EEF6"/>
          </w:tcPr>
          <w:p>
            <w:pPr>
              <w:jc w:val="right"/>
              <w:ind w:right="120"/>
              <w:spacing w:after="0"/>
              <w:rPr>
                <w:sz w:val="20"/>
                <w:szCs w:val="20"/>
                <w:color w:val="auto"/>
              </w:rPr>
            </w:pPr>
            <w:r>
              <w:rPr>
                <w:rFonts w:ascii="Arial" w:cs="Arial" w:eastAsia="Arial" w:hAnsi="Arial"/>
                <w:sz w:val="17"/>
                <w:szCs w:val="17"/>
                <w:color w:val="auto"/>
              </w:rPr>
              <w:t>(1.1)</w:t>
            </w:r>
          </w:p>
        </w:tc>
        <w:tc>
          <w:tcPr>
            <w:tcW w:w="300" w:type="dxa"/>
            <w:vAlign w:val="bottom"/>
            <w:shd w:val="clear" w:color="auto" w:fill="E2EEF6"/>
          </w:tcPr>
          <w:p>
            <w:pPr>
              <w:spacing w:after="0"/>
              <w:rPr>
                <w:sz w:val="20"/>
                <w:szCs w:val="20"/>
                <w:color w:val="auto"/>
              </w:rPr>
            </w:pPr>
          </w:p>
        </w:tc>
        <w:tc>
          <w:tcPr>
            <w:tcW w:w="940" w:type="dxa"/>
            <w:vAlign w:val="bottom"/>
            <w:gridSpan w:val="2"/>
            <w:shd w:val="clear" w:color="auto" w:fill="E2EEF6"/>
          </w:tcPr>
          <w:p>
            <w:pPr>
              <w:jc w:val="right"/>
              <w:ind w:right="40"/>
              <w:spacing w:after="0"/>
              <w:rPr>
                <w:sz w:val="20"/>
                <w:szCs w:val="20"/>
                <w:color w:val="auto"/>
              </w:rPr>
            </w:pPr>
            <w:r>
              <w:rPr>
                <w:rFonts w:ascii="Arial" w:cs="Arial" w:eastAsia="Arial" w:hAnsi="Arial"/>
                <w:sz w:val="17"/>
                <w:szCs w:val="17"/>
                <w:color w:val="auto"/>
              </w:rPr>
              <w:t>(1.1)</w:t>
            </w:r>
          </w:p>
        </w:tc>
      </w:tr>
      <w:tr>
        <w:trPr>
          <w:trHeight w:val="261"/>
        </w:trPr>
        <w:tc>
          <w:tcPr>
            <w:tcW w:w="4180" w:type="dxa"/>
            <w:vAlign w:val="bottom"/>
            <w:gridSpan w:val="2"/>
          </w:tcPr>
          <w:p>
            <w:pPr>
              <w:spacing w:after="0"/>
              <w:rPr>
                <w:sz w:val="20"/>
                <w:szCs w:val="20"/>
                <w:color w:val="auto"/>
              </w:rPr>
            </w:pPr>
            <w:r>
              <w:rPr>
                <w:rFonts w:ascii="Arial" w:cs="Arial" w:eastAsia="Arial" w:hAnsi="Arial"/>
                <w:sz w:val="17"/>
                <w:szCs w:val="17"/>
                <w:color w:val="auto"/>
              </w:rPr>
              <w:t>Recognized net actuarial losses</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0.4</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0.8</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0.8</w:t>
            </w: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4160" w:type="dxa"/>
            <w:vAlign w:val="bottom"/>
            <w:shd w:val="clear" w:color="auto" w:fill="E2EEF6"/>
          </w:tcPr>
          <w:p>
            <w:pPr>
              <w:ind w:left="280"/>
              <w:spacing w:after="0"/>
              <w:rPr>
                <w:sz w:val="20"/>
                <w:szCs w:val="20"/>
                <w:color w:val="auto"/>
              </w:rPr>
            </w:pPr>
            <w:r>
              <w:rPr>
                <w:rFonts w:ascii="Arial" w:cs="Arial" w:eastAsia="Arial" w:hAnsi="Arial"/>
                <w:sz w:val="17"/>
                <w:szCs w:val="17"/>
                <w:color w:val="auto"/>
              </w:rPr>
              <w:t>Benefit cost</w:t>
            </w:r>
          </w:p>
        </w:tc>
        <w:tc>
          <w:tcPr>
            <w:tcW w:w="1020" w:type="dxa"/>
            <w:vAlign w:val="bottom"/>
            <w:gridSpan w:val="2"/>
            <w:shd w:val="clear" w:color="auto" w:fill="E2EEF6"/>
          </w:tcPr>
          <w:p>
            <w:pPr>
              <w:jc w:val="right"/>
              <w:ind w:right="653"/>
              <w:spacing w:after="0"/>
              <w:rPr>
                <w:sz w:val="20"/>
                <w:szCs w:val="20"/>
                <w:color w:val="auto"/>
              </w:rPr>
            </w:pPr>
            <w:r>
              <w:rPr>
                <w:rFonts w:ascii="Arial" w:cs="Arial" w:eastAsia="Arial" w:hAnsi="Arial"/>
                <w:sz w:val="17"/>
                <w:szCs w:val="17"/>
                <w:color w:val="auto"/>
              </w:rPr>
              <w:t>$</w:t>
            </w:r>
          </w:p>
        </w:tc>
        <w:tc>
          <w:tcPr>
            <w:tcW w:w="3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0.7</w:t>
            </w:r>
          </w:p>
        </w:tc>
        <w:tc>
          <w:tcPr>
            <w:tcW w:w="120" w:type="dxa"/>
            <w:vAlign w:val="bottom"/>
            <w:shd w:val="clear" w:color="auto" w:fill="E2EEF6"/>
          </w:tcPr>
          <w:p>
            <w:pPr>
              <w:spacing w:after="0"/>
              <w:rPr>
                <w:sz w:val="23"/>
                <w:szCs w:val="23"/>
                <w:color w:val="auto"/>
              </w:rPr>
            </w:pPr>
          </w:p>
        </w:tc>
        <w:tc>
          <w:tcPr>
            <w:tcW w:w="900" w:type="dxa"/>
            <w:vAlign w:val="bottom"/>
            <w:gridSpan w:val="2"/>
            <w:shd w:val="clear" w:color="auto" w:fill="E2EEF6"/>
          </w:tcPr>
          <w:p>
            <w:pPr>
              <w:jc w:val="right"/>
              <w:ind w:right="740"/>
              <w:spacing w:after="0"/>
              <w:rPr>
                <w:sz w:val="20"/>
                <w:szCs w:val="20"/>
                <w:color w:val="auto"/>
              </w:rPr>
            </w:pPr>
            <w:r>
              <w:rPr>
                <w:rFonts w:ascii="Arial" w:cs="Arial" w:eastAsia="Arial" w:hAnsi="Arial"/>
                <w:sz w:val="17"/>
                <w:szCs w:val="17"/>
                <w:color w:val="auto"/>
              </w:rPr>
              <w:t>$</w:t>
            </w:r>
          </w:p>
        </w:tc>
        <w:tc>
          <w:tcPr>
            <w:tcW w:w="340" w:type="dxa"/>
            <w:vAlign w:val="bottom"/>
            <w:shd w:val="clear" w:color="auto" w:fill="E2EEF6"/>
          </w:tcPr>
          <w:p>
            <w:pPr>
              <w:jc w:val="right"/>
              <w:spacing w:after="0"/>
              <w:rPr>
                <w:sz w:val="20"/>
                <w:szCs w:val="20"/>
                <w:color w:val="auto"/>
              </w:rPr>
            </w:pPr>
            <w:r>
              <w:rPr>
                <w:rFonts w:ascii="Arial" w:cs="Arial" w:eastAsia="Arial" w:hAnsi="Arial"/>
                <w:sz w:val="17"/>
                <w:szCs w:val="17"/>
                <w:color w:val="auto"/>
              </w:rPr>
              <w:t>0.7</w:t>
            </w:r>
          </w:p>
        </w:tc>
        <w:tc>
          <w:tcPr>
            <w:tcW w:w="200" w:type="dxa"/>
            <w:vAlign w:val="bottom"/>
            <w:shd w:val="clear" w:color="auto" w:fill="E2EEF6"/>
          </w:tcPr>
          <w:p>
            <w:pPr>
              <w:spacing w:after="0"/>
              <w:rPr>
                <w:sz w:val="23"/>
                <w:szCs w:val="23"/>
                <w:color w:val="auto"/>
              </w:rPr>
            </w:pPr>
          </w:p>
        </w:tc>
        <w:tc>
          <w:tcPr>
            <w:tcW w:w="240" w:type="dxa"/>
            <w:vAlign w:val="bottom"/>
            <w:shd w:val="clear" w:color="auto" w:fill="E2EEF6"/>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2EEF6"/>
          </w:tcPr>
          <w:p>
            <w:pPr>
              <w:jc w:val="right"/>
              <w:spacing w:after="0"/>
              <w:rPr>
                <w:sz w:val="20"/>
                <w:szCs w:val="20"/>
                <w:color w:val="auto"/>
              </w:rPr>
            </w:pPr>
            <w:r>
              <w:rPr>
                <w:rFonts w:ascii="Arial" w:cs="Arial" w:eastAsia="Arial" w:hAnsi="Arial"/>
                <w:sz w:val="17"/>
                <w:szCs w:val="17"/>
                <w:color w:val="auto"/>
              </w:rPr>
              <w:t>1.4</w:t>
            </w:r>
          </w:p>
        </w:tc>
        <w:tc>
          <w:tcPr>
            <w:tcW w:w="180" w:type="dxa"/>
            <w:vAlign w:val="bottom"/>
            <w:shd w:val="clear" w:color="auto" w:fill="E2EEF6"/>
          </w:tcPr>
          <w:p>
            <w:pPr>
              <w:spacing w:after="0"/>
              <w:rPr>
                <w:sz w:val="23"/>
                <w:szCs w:val="23"/>
                <w:color w:val="auto"/>
              </w:rPr>
            </w:pPr>
          </w:p>
        </w:tc>
        <w:tc>
          <w:tcPr>
            <w:tcW w:w="300" w:type="dxa"/>
            <w:vAlign w:val="bottom"/>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1.3</w:t>
            </w:r>
          </w:p>
        </w:tc>
      </w:tr>
      <w:tr>
        <w:trPr>
          <w:trHeight w:val="176"/>
        </w:trPr>
        <w:tc>
          <w:tcPr>
            <w:tcW w:w="20" w:type="dxa"/>
            <w:vAlign w:val="bottom"/>
          </w:tcPr>
          <w:p>
            <w:pPr>
              <w:spacing w:after="0"/>
              <w:rPr>
                <w:sz w:val="15"/>
                <w:szCs w:val="15"/>
                <w:color w:val="auto"/>
              </w:rPr>
            </w:pPr>
          </w:p>
        </w:tc>
        <w:tc>
          <w:tcPr>
            <w:tcW w:w="4160" w:type="dxa"/>
            <w:vAlign w:val="bottom"/>
            <w:tcBorders>
              <w:top w:val="single" w:sz="8" w:color="E2EEF6"/>
            </w:tcBorders>
          </w:tcPr>
          <w:p>
            <w:pPr>
              <w:spacing w:after="0" w:line="176" w:lineRule="exact"/>
              <w:rPr>
                <w:sz w:val="20"/>
                <w:szCs w:val="20"/>
                <w:color w:val="auto"/>
              </w:rPr>
            </w:pPr>
            <w:r>
              <w:rPr>
                <w:rFonts w:ascii="Arial" w:cs="Arial" w:eastAsia="Arial" w:hAnsi="Arial"/>
                <w:sz w:val="17"/>
                <w:szCs w:val="17"/>
                <w:color w:val="auto"/>
              </w:rPr>
              <w:t>______________</w:t>
            </w:r>
          </w:p>
        </w:tc>
        <w:tc>
          <w:tcPr>
            <w:tcW w:w="200" w:type="dxa"/>
            <w:vAlign w:val="bottom"/>
            <w:tcBorders>
              <w:top w:val="single" w:sz="8" w:color="E2EEF6"/>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 w:type="dxa"/>
            <w:vAlign w:val="bottom"/>
            <w:tcBorders>
              <w:top w:val="single" w:sz="8" w:color="E2EEF6"/>
            </w:tcBorders>
          </w:tcPr>
          <w:p>
            <w:pPr>
              <w:spacing w:after="0"/>
              <w:rPr>
                <w:sz w:val="15"/>
                <w:szCs w:val="15"/>
                <w:color w:val="auto"/>
              </w:rPr>
            </w:pPr>
          </w:p>
        </w:tc>
        <w:tc>
          <w:tcPr>
            <w:tcW w:w="60" w:type="dxa"/>
            <w:vAlign w:val="bottom"/>
            <w:tcBorders>
              <w:top w:val="single" w:sz="8" w:color="E2EEF6"/>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0" w:type="dxa"/>
            <w:vAlign w:val="bottom"/>
            <w:tcBorders>
              <w:top w:val="single" w:sz="8" w:color="E2EEF6"/>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Borders>
              <w:top w:val="single" w:sz="8" w:color="E2EEF6"/>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E2EEF6"/>
            </w:tcBorders>
          </w:tcPr>
          <w:p>
            <w:pPr>
              <w:spacing w:after="0"/>
              <w:rPr>
                <w:sz w:val="15"/>
                <w:szCs w:val="15"/>
                <w:color w:val="auto"/>
              </w:rPr>
            </w:pPr>
          </w:p>
        </w:tc>
      </w:tr>
      <w:tr>
        <w:trPr>
          <w:trHeight w:val="221"/>
        </w:trPr>
        <w:tc>
          <w:tcPr>
            <w:tcW w:w="4180" w:type="dxa"/>
            <w:vAlign w:val="bottom"/>
            <w:gridSpan w:val="2"/>
          </w:tcPr>
          <w:p>
            <w:pPr>
              <w:spacing w:after="0"/>
              <w:rPr>
                <w:sz w:val="20"/>
                <w:szCs w:val="20"/>
                <w:color w:val="auto"/>
              </w:rPr>
            </w:pPr>
            <w:r>
              <w:rPr>
                <w:rFonts w:ascii="Arial" w:cs="Arial" w:eastAsia="Arial" w:hAnsi="Arial"/>
                <w:sz w:val="17"/>
                <w:szCs w:val="17"/>
                <w:color w:val="auto"/>
              </w:rPr>
              <w:t>(a)  Amounts are before income tax effect.</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30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contributed $1.1 million to the other postretirement benefit plans to fund benefit payments in the six months ended June 30, 2005.</w:t>
      </w:r>
    </w:p>
    <w:p>
      <w:pPr>
        <w:spacing w:after="0" w:line="275"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color w:val="auto"/>
        </w:rPr>
        <w:t>In December 2003, the Medicare Prescription Drug, Improvement and Modernization Act of 2003 (the “Medicare Act”) was signed into law. The Medicare Act introduced two new features to Medicare that employers must consider in determining the effect of the Medicare Act on their accumulated postretirement benefit obligation (‘‘APBO’’) and net periodic post retirement benefit cost: (i) a subsidy based on 28 percent of an individual beneficiary’s annual prescription drug costs between $250 and $5,000, and (ii) the opportunity for a retiree to obtain a prescription drug benefit under Medicare that is at least actuarially equivalent to Medicare Part D.</w:t>
      </w:r>
    </w:p>
    <w:p>
      <w:pPr>
        <w:spacing w:after="0" w:line="233"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 xml:space="preserve">In May 2004, the FASB staff issued FSP 106-2, </w:t>
      </w:r>
      <w:r>
        <w:rPr>
          <w:rFonts w:ascii="Arial" w:cs="Arial" w:eastAsia="Arial" w:hAnsi="Arial"/>
          <w:sz w:val="17"/>
          <w:szCs w:val="17"/>
          <w:i w:val="1"/>
          <w:iCs w:val="1"/>
          <w:color w:val="auto"/>
        </w:rPr>
        <w:t>Accounting and Disclosure Requirements Related to the Medicare Prescription Drug, Improvement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Modernization Act of 2003</w:t>
      </w:r>
      <w:r>
        <w:rPr>
          <w:rFonts w:ascii="Arial" w:cs="Arial" w:eastAsia="Arial" w:hAnsi="Arial"/>
          <w:sz w:val="17"/>
          <w:szCs w:val="17"/>
          <w:color w:val="auto"/>
        </w:rPr>
        <w:t>. We adopted FSP 106-2 effective July 1, 2004, and account for these new features in the Medicare Act prospectively as an actuarial</w:t>
      </w:r>
      <w:r>
        <w:rPr>
          <w:rFonts w:ascii="Arial" w:cs="Arial" w:eastAsia="Arial" w:hAnsi="Arial"/>
          <w:sz w:val="17"/>
          <w:szCs w:val="17"/>
          <w:i w:val="1"/>
          <w:iCs w:val="1"/>
          <w:color w:val="auto"/>
        </w:rPr>
        <w:t xml:space="preserve"> </w:t>
      </w:r>
      <w:r>
        <w:rPr>
          <w:rFonts w:ascii="Arial" w:cs="Arial" w:eastAsia="Arial" w:hAnsi="Arial"/>
          <w:sz w:val="17"/>
          <w:szCs w:val="17"/>
          <w:color w:val="auto"/>
        </w:rPr>
        <w:t>gain to be amortized into income over the average remaining service period of the plan participants.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13―Subsequent Events</w:t>
      </w:r>
    </w:p>
    <w:p>
      <w:pPr>
        <w:spacing w:after="0" w:line="281" w:lineRule="exact"/>
        <w:rPr>
          <w:sz w:val="20"/>
          <w:szCs w:val="20"/>
          <w:color w:val="auto"/>
        </w:rPr>
      </w:pPr>
    </w:p>
    <w:p>
      <w:pPr>
        <w:jc w:val="both"/>
        <w:ind w:firstLine="628"/>
        <w:spacing w:after="0" w:line="299" w:lineRule="auto"/>
        <w:rPr>
          <w:sz w:val="20"/>
          <w:szCs w:val="20"/>
          <w:color w:val="auto"/>
        </w:rPr>
      </w:pPr>
      <w:r>
        <w:rPr>
          <w:rFonts w:ascii="Arial" w:cs="Arial" w:eastAsia="Arial" w:hAnsi="Arial"/>
          <w:sz w:val="15"/>
          <w:szCs w:val="15"/>
          <w:i w:val="1"/>
          <w:iCs w:val="1"/>
          <w:color w:val="auto"/>
        </w:rPr>
        <w:t>Revolving Credit Agreement</w:t>
      </w:r>
      <w:r>
        <w:rPr>
          <w:rFonts w:ascii="Arial" w:cs="Arial" w:eastAsia="Arial" w:hAnsi="Arial"/>
          <w:sz w:val="15"/>
          <w:szCs w:val="15"/>
          <w:color w:val="auto"/>
        </w:rPr>
        <w:t>—In July 2005, we entered into a $500.0 million, five-year revolving credit agreement dated July 8, 2005 (the “Revolving</w:t>
      </w:r>
      <w:r>
        <w:rPr>
          <w:rFonts w:ascii="Arial" w:cs="Arial" w:eastAsia="Arial" w:hAnsi="Arial"/>
          <w:sz w:val="15"/>
          <w:szCs w:val="15"/>
          <w:i w:val="1"/>
          <w:iCs w:val="1"/>
          <w:color w:val="auto"/>
        </w:rPr>
        <w:t xml:space="preserve"> </w:t>
      </w:r>
      <w:r>
        <w:rPr>
          <w:rFonts w:ascii="Arial" w:cs="Arial" w:eastAsia="Arial" w:hAnsi="Arial"/>
          <w:sz w:val="15"/>
          <w:szCs w:val="15"/>
          <w:color w:val="auto"/>
        </w:rPr>
        <w:t>Credit Agreement”). The Revolving Credit Agreement bears interest, at our option, at a base rate or at the London Interbank Offered Rate (“LIBOR”) plus a margin that can vary from 0.19 percent to 0.58 percent depending on our non-credit enhanced senior unsecured public debt rating. At July 29, 2005, the applicable margin was 0.225 percent. A facility fee, varying from 0.06 percent to 0.17 percent depending on our non-credit enhanced senior unsecured public debt rating, is incurred on the daily amount of the underlying commitment, whether used or unused, throughout the term of the facility. At July 29, 2005, the applicable facility fee was 0.075 percent. A utilization fee, varying from 0.05 percent to 0.10 percent depending on our non-credit enhanced senior unsecured public debt rating, is payable if amounts outstanding under the Revolving Credit Agreement are greater than 50 percent of the total underlying commitment. The Revolving Credit Agreement requires compliance with various covenants and provisions customary for agreements of this nature, including a debt to total tangible capitalization ratio, as defined by the credit agreement, of not greater than 60 percent. At July 29, 2005, no amount was outstanding under the Revolving Credit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TRANSOCEAN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63"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In conjunction with the activation of this facility, we terminated our $800.0 million five-year revolving credit agreement dated December 16, 2003 and we expect to recognize a loss on the termination of this agreement of approximately $0.8 million in the third quarter of 2005.</w:t>
      </w:r>
    </w:p>
    <w:p>
      <w:pPr>
        <w:spacing w:after="0" w:line="211"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i w:val="1"/>
          <w:iCs w:val="1"/>
          <w:color w:val="auto"/>
        </w:rPr>
        <w:t>Tender Offer—</w:t>
      </w:r>
      <w:r>
        <w:rPr>
          <w:rFonts w:ascii="Arial" w:cs="Arial" w:eastAsia="Arial" w:hAnsi="Arial"/>
          <w:sz w:val="17"/>
          <w:szCs w:val="17"/>
          <w:color w:val="auto"/>
        </w:rPr>
        <w:t>In July 2005, we acquired, pursuant to a tender offer, a total of $534.4 million, or approximately 76.3 percent of the aggregate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our 6.625% Notes due April 2011 at 110.578 percent of face value, or $590.9 million, plus accrued and unpaid interest. We expect to recognize a gain on the repurchase of $0.3 million in the third quarter of 2005. We funded the repurchase with existing cash balances.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81"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The following information should be read in conjunction with the unaudited condensed consolidated financial statements included under “Item 1. Financial Statements” herein and the audited consolidated financial statements and the notes thereto and “Item 7. Management’s Discussion and Analysis of Financial Condition and Results of Operations” included in our Annual Report on Form 10-K for the year ended December 31, 2004.</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81"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Transocean Inc. (together with its subsidiaries and predecessors, unless the context requires otherwise, “Transocean,”“we,”“us” or “our”) is a leading international provider of offshore contract drilling services for oil and gas wells. As of July 29, 2005, we owned, had partial ownership interests in or operated 92 mobile offshore and barge drilling units. As of this date, our fleet included 32 High-Specification semisubmersibles and drillships (“floaters”), 24 Other Floaters, 25 Jackup Rigs and 11 Other Rigs.</w:t>
      </w:r>
    </w:p>
    <w:p>
      <w:pPr>
        <w:spacing w:after="0" w:line="229" w:lineRule="exact"/>
        <w:rPr>
          <w:sz w:val="20"/>
          <w:szCs w:val="20"/>
          <w:color w:val="auto"/>
        </w:rPr>
      </w:pPr>
    </w:p>
    <w:p>
      <w:pPr>
        <w:jc w:val="both"/>
        <w:ind w:firstLine="628"/>
        <w:spacing w:after="0" w:line="297" w:lineRule="auto"/>
        <w:rPr>
          <w:sz w:val="20"/>
          <w:szCs w:val="20"/>
          <w:color w:val="auto"/>
        </w:rPr>
      </w:pPr>
      <w:r>
        <w:rPr>
          <w:rFonts w:ascii="Arial" w:cs="Arial" w:eastAsia="Arial" w:hAnsi="Arial"/>
          <w:sz w:val="16"/>
          <w:szCs w:val="16"/>
          <w:color w:val="auto"/>
        </w:rPr>
        <w:t>Our mobile offshore drilling fleet is considered one of the most modern and versatile fleets in the world. Our primary business is to contract these drilling rigs, related equipment and work crews primarily on a dayrate basis to drill oil and gas wells. We specialize in technically demanding segments of the offshore drilling business with a particular focus on deepwater and harsh environment drilling services. We also provide additional services, including integrated services.</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Key measures of our total company results of operations and financial condition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20"/>
              <w:spacing w:after="0"/>
              <w:rPr>
                <w:sz w:val="20"/>
                <w:szCs w:val="20"/>
                <w:color w:val="auto"/>
              </w:rPr>
            </w:pPr>
            <w:r>
              <w:rPr>
                <w:rFonts w:ascii="Arial" w:cs="Arial" w:eastAsia="Arial" w:hAnsi="Arial"/>
                <w:sz w:val="17"/>
                <w:szCs w:val="17"/>
                <w:color w:val="auto"/>
              </w:rPr>
              <w:t>Three Months Ended</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7"/>
                <w:szCs w:val="17"/>
                <w:color w:val="auto"/>
                <w:w w:val="89"/>
              </w:rPr>
              <w:t>Three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6"/>
          </w:tcPr>
          <w:p>
            <w:pPr>
              <w:ind w:left="120"/>
              <w:spacing w:after="0"/>
              <w:rPr>
                <w:sz w:val="20"/>
                <w:szCs w:val="20"/>
                <w:color w:val="auto"/>
              </w:rPr>
            </w:pPr>
            <w:r>
              <w:rPr>
                <w:rFonts w:ascii="Arial" w:cs="Arial" w:eastAsia="Arial" w:hAnsi="Arial"/>
                <w:sz w:val="17"/>
                <w:szCs w:val="17"/>
                <w:color w:val="auto"/>
              </w:rPr>
              <w:t>Six Months Ended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4"/>
          </w:tcPr>
          <w:p>
            <w:pPr>
              <w:jc w:val="center"/>
              <w:ind w:right="180"/>
              <w:spacing w:after="0"/>
              <w:rPr>
                <w:sz w:val="20"/>
                <w:szCs w:val="20"/>
                <w:color w:val="auto"/>
              </w:rPr>
            </w:pPr>
            <w:r>
              <w:rPr>
                <w:rFonts w:ascii="Arial" w:cs="Arial" w:eastAsia="Arial" w:hAnsi="Arial"/>
                <w:sz w:val="17"/>
                <w:szCs w:val="17"/>
                <w:color w:val="auto"/>
              </w:rPr>
              <w:t>Six</w:t>
            </w:r>
          </w:p>
        </w:tc>
      </w:tr>
      <w:tr>
        <w:trPr>
          <w:trHeight w:val="222"/>
        </w:trPr>
        <w:tc>
          <w:tcPr>
            <w:tcW w:w="6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7"/>
                <w:szCs w:val="17"/>
                <w:color w:val="auto"/>
              </w:rPr>
              <w:t>June 30,</w:t>
            </w: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7"/>
                <w:szCs w:val="17"/>
                <w:color w:val="auto"/>
                <w:w w:val="93"/>
              </w:rPr>
              <w:t>Months</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7"/>
                <w:szCs w:val="17"/>
                <w:color w:val="auto"/>
              </w:rPr>
              <w:t>June 30,</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4"/>
          </w:tcPr>
          <w:p>
            <w:pPr>
              <w:jc w:val="center"/>
              <w:ind w:right="180"/>
              <w:spacing w:after="0"/>
              <w:rPr>
                <w:sz w:val="20"/>
                <w:szCs w:val="20"/>
                <w:color w:val="auto"/>
              </w:rPr>
            </w:pPr>
            <w:r>
              <w:rPr>
                <w:rFonts w:ascii="Arial" w:cs="Arial" w:eastAsia="Arial" w:hAnsi="Arial"/>
                <w:sz w:val="17"/>
                <w:szCs w:val="17"/>
                <w:color w:val="auto"/>
                <w:w w:val="93"/>
              </w:rPr>
              <w:t>Months</w:t>
            </w:r>
          </w:p>
        </w:tc>
      </w:tr>
      <w:tr>
        <w:trPr>
          <w:trHeight w:val="255"/>
        </w:trPr>
        <w:tc>
          <w:tcPr>
            <w:tcW w:w="6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2005</w:t>
            </w: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2004</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center"/>
              <w:ind w:right="133"/>
              <w:spacing w:after="0"/>
              <w:rPr>
                <w:sz w:val="20"/>
                <w:szCs w:val="20"/>
                <w:color w:val="auto"/>
              </w:rPr>
            </w:pPr>
            <w:r>
              <w:rPr>
                <w:rFonts w:ascii="Arial" w:cs="Arial" w:eastAsia="Arial" w:hAnsi="Arial"/>
                <w:sz w:val="17"/>
                <w:szCs w:val="17"/>
                <w:color w:val="auto"/>
                <w:w w:val="87"/>
              </w:rPr>
              <w:t>Change</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313"/>
              <w:spacing w:after="0"/>
              <w:rPr>
                <w:sz w:val="20"/>
                <w:szCs w:val="20"/>
                <w:color w:val="auto"/>
              </w:rPr>
            </w:pPr>
            <w:r>
              <w:rPr>
                <w:rFonts w:ascii="Arial" w:cs="Arial" w:eastAsia="Arial" w:hAnsi="Arial"/>
                <w:sz w:val="17"/>
                <w:szCs w:val="17"/>
                <w:color w:val="auto"/>
              </w:rPr>
              <w:t>2005</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313"/>
              <w:spacing w:after="0"/>
              <w:rPr>
                <w:sz w:val="20"/>
                <w:szCs w:val="20"/>
                <w:color w:val="auto"/>
              </w:rPr>
            </w:pPr>
            <w:r>
              <w:rPr>
                <w:rFonts w:ascii="Arial" w:cs="Arial" w:eastAsia="Arial" w:hAnsi="Arial"/>
                <w:sz w:val="17"/>
                <w:szCs w:val="17"/>
                <w:color w:val="auto"/>
                <w:w w:val="89"/>
              </w:rPr>
              <w:t>2004</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87"/>
              </w:rPr>
              <w:t>Change</w:t>
            </w:r>
          </w:p>
        </w:tc>
        <w:tc>
          <w:tcPr>
            <w:tcW w:w="100" w:type="dxa"/>
            <w:vAlign w:val="bottom"/>
          </w:tcPr>
          <w:p>
            <w:pPr>
              <w:spacing w:after="0"/>
              <w:rPr>
                <w:sz w:val="22"/>
                <w:szCs w:val="22"/>
                <w:color w:val="auto"/>
              </w:rPr>
            </w:pPr>
          </w:p>
        </w:tc>
      </w:tr>
      <w:tr>
        <w:trPr>
          <w:trHeight w:val="229"/>
        </w:trPr>
        <w:tc>
          <w:tcPr>
            <w:tcW w:w="6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60" w:type="dxa"/>
            <w:vAlign w:val="bottom"/>
            <w:gridSpan w:val="13"/>
          </w:tcPr>
          <w:p>
            <w:pPr>
              <w:jc w:val="right"/>
              <w:ind w:right="100"/>
              <w:spacing w:after="0"/>
              <w:rPr>
                <w:sz w:val="20"/>
                <w:szCs w:val="20"/>
                <w:color w:val="auto"/>
              </w:rPr>
            </w:pPr>
            <w:r>
              <w:rPr>
                <w:rFonts w:ascii="Arial" w:cs="Arial" w:eastAsia="Arial" w:hAnsi="Arial"/>
                <w:sz w:val="17"/>
                <w:szCs w:val="17"/>
                <w:color w:val="auto"/>
              </w:rPr>
              <w:t>(In millions, except dayrates and percentages)</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3740" w:type="dxa"/>
            <w:vAlign w:val="bottom"/>
            <w:gridSpan w:val="2"/>
            <w:shd w:val="clear" w:color="auto" w:fill="E2EEF6"/>
          </w:tcPr>
          <w:p>
            <w:pPr>
              <w:spacing w:after="0"/>
              <w:rPr>
                <w:sz w:val="20"/>
                <w:szCs w:val="20"/>
                <w:color w:val="auto"/>
              </w:rPr>
            </w:pPr>
            <w:r>
              <w:rPr>
                <w:rFonts w:ascii="Arial" w:cs="Arial" w:eastAsia="Arial" w:hAnsi="Arial"/>
                <w:sz w:val="17"/>
                <w:szCs w:val="17"/>
                <w:b w:val="1"/>
                <w:bCs w:val="1"/>
                <w:color w:val="auto"/>
              </w:rPr>
              <w:t>Average dayrate (a)(c)</w:t>
            </w:r>
          </w:p>
        </w:tc>
        <w:tc>
          <w:tcPr>
            <w:tcW w:w="34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103,100</w:t>
            </w:r>
          </w:p>
        </w:tc>
        <w:tc>
          <w:tcPr>
            <w:tcW w:w="300" w:type="dxa"/>
            <w:vAlign w:val="bottom"/>
            <w:shd w:val="clear" w:color="auto" w:fill="E2EEF6"/>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69,600</w:t>
            </w:r>
          </w:p>
        </w:tc>
        <w:tc>
          <w:tcPr>
            <w:tcW w:w="160" w:type="dxa"/>
            <w:vAlign w:val="bottom"/>
            <w:shd w:val="clear" w:color="auto" w:fill="E2EEF6"/>
          </w:tcPr>
          <w:p>
            <w:pPr>
              <w:jc w:val="right"/>
              <w:ind w:right="4"/>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900" w:type="dxa"/>
            <w:vAlign w:val="bottom"/>
            <w:gridSpan w:val="2"/>
            <w:shd w:val="clear" w:color="auto" w:fill="E2EEF6"/>
          </w:tcPr>
          <w:p>
            <w:pPr>
              <w:jc w:val="right"/>
              <w:ind w:right="120"/>
              <w:spacing w:after="0"/>
              <w:rPr>
                <w:sz w:val="20"/>
                <w:szCs w:val="20"/>
                <w:color w:val="auto"/>
              </w:rPr>
            </w:pPr>
            <w:r>
              <w:rPr>
                <w:rFonts w:ascii="Arial" w:cs="Arial" w:eastAsia="Arial" w:hAnsi="Arial"/>
                <w:sz w:val="17"/>
                <w:szCs w:val="17"/>
                <w:color w:val="auto"/>
              </w:rPr>
              <w:t>33,500</w:t>
            </w:r>
          </w:p>
        </w:tc>
        <w:tc>
          <w:tcPr>
            <w:tcW w:w="220" w:type="dxa"/>
            <w:vAlign w:val="bottom"/>
            <w:shd w:val="clear" w:color="auto" w:fill="E2EEF6"/>
          </w:tcPr>
          <w:p>
            <w:pPr>
              <w:jc w:val="right"/>
              <w:ind w:right="64"/>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E2EEF6"/>
          </w:tcPr>
          <w:p>
            <w:pPr>
              <w:spacing w:after="0"/>
              <w:rPr>
                <w:sz w:val="20"/>
                <w:szCs w:val="20"/>
                <w:color w:val="auto"/>
              </w:rPr>
            </w:pPr>
          </w:p>
        </w:tc>
        <w:tc>
          <w:tcPr>
            <w:tcW w:w="82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99,900</w:t>
            </w:r>
          </w:p>
        </w:tc>
        <w:tc>
          <w:tcPr>
            <w:tcW w:w="520" w:type="dxa"/>
            <w:vAlign w:val="bottom"/>
            <w:gridSpan w:val="2"/>
            <w:shd w:val="clear" w:color="auto" w:fill="E2EEF6"/>
          </w:tcPr>
          <w:p>
            <w:pPr>
              <w:jc w:val="right"/>
              <w:ind w:right="28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E2EEF6"/>
          </w:tcPr>
          <w:p>
            <w:pPr>
              <w:jc w:val="right"/>
              <w:ind w:right="140"/>
              <w:spacing w:after="0"/>
              <w:rPr>
                <w:sz w:val="20"/>
                <w:szCs w:val="20"/>
                <w:color w:val="auto"/>
              </w:rPr>
            </w:pPr>
            <w:r>
              <w:rPr>
                <w:rFonts w:ascii="Arial" w:cs="Arial" w:eastAsia="Arial" w:hAnsi="Arial"/>
                <w:sz w:val="17"/>
                <w:szCs w:val="17"/>
                <w:color w:val="auto"/>
              </w:rPr>
              <w:t>70,600</w:t>
            </w:r>
          </w:p>
        </w:tc>
        <w:tc>
          <w:tcPr>
            <w:tcW w:w="10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4"/>
            <w:shd w:val="clear" w:color="auto" w:fill="E2EEF6"/>
          </w:tcPr>
          <w:p>
            <w:pPr>
              <w:jc w:val="right"/>
              <w:ind w:right="100"/>
              <w:spacing w:after="0"/>
              <w:rPr>
                <w:sz w:val="20"/>
                <w:szCs w:val="20"/>
                <w:color w:val="auto"/>
              </w:rPr>
            </w:pPr>
            <w:r>
              <w:rPr>
                <w:rFonts w:ascii="Arial" w:cs="Arial" w:eastAsia="Arial" w:hAnsi="Arial"/>
                <w:sz w:val="17"/>
                <w:szCs w:val="17"/>
                <w:color w:val="auto"/>
              </w:rPr>
              <w:t>29,300</w:t>
            </w:r>
          </w:p>
        </w:tc>
      </w:tr>
      <w:tr>
        <w:trPr>
          <w:trHeight w:val="235"/>
        </w:trPr>
        <w:tc>
          <w:tcPr>
            <w:tcW w:w="3740" w:type="dxa"/>
            <w:vAlign w:val="bottom"/>
            <w:gridSpan w:val="2"/>
          </w:tcPr>
          <w:p>
            <w:pPr>
              <w:spacing w:after="0"/>
              <w:rPr>
                <w:sz w:val="20"/>
                <w:szCs w:val="20"/>
                <w:color w:val="auto"/>
              </w:rPr>
            </w:pPr>
            <w:r>
              <w:rPr>
                <w:rFonts w:ascii="Arial" w:cs="Arial" w:eastAsia="Arial" w:hAnsi="Arial"/>
                <w:sz w:val="17"/>
                <w:szCs w:val="17"/>
                <w:b w:val="1"/>
                <w:bCs w:val="1"/>
                <w:color w:val="auto"/>
              </w:rPr>
              <w:t>Utilization (b)(c)</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79%</w:t>
            </w:r>
          </w:p>
        </w:tc>
        <w:tc>
          <w:tcPr>
            <w:tcW w:w="3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56%</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77%</w:t>
            </w:r>
          </w:p>
        </w:tc>
        <w:tc>
          <w:tcPr>
            <w:tcW w:w="36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7"/>
                <w:szCs w:val="17"/>
                <w:color w:val="auto"/>
              </w:rPr>
              <w:t>56%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ind w:left="260"/>
              <w:spacing w:after="0"/>
              <w:rPr>
                <w:sz w:val="20"/>
                <w:szCs w:val="20"/>
                <w:color w:val="auto"/>
              </w:rPr>
            </w:pPr>
            <w:r>
              <w:rPr>
                <w:rFonts w:ascii="Arial" w:cs="Arial" w:eastAsia="Arial" w:hAnsi="Arial"/>
                <w:sz w:val="17"/>
                <w:szCs w:val="17"/>
                <w:color w:val="auto"/>
              </w:rPr>
              <w:t>N/A</w:t>
            </w:r>
          </w:p>
        </w:tc>
      </w:tr>
      <w:tr>
        <w:trPr>
          <w:trHeight w:val="236"/>
        </w:trPr>
        <w:tc>
          <w:tcPr>
            <w:tcW w:w="3740" w:type="dxa"/>
            <w:vAlign w:val="bottom"/>
            <w:gridSpan w:val="2"/>
            <w:shd w:val="clear" w:color="auto" w:fill="E2EEF6"/>
          </w:tcPr>
          <w:p>
            <w:pPr>
              <w:spacing w:after="0"/>
              <w:rPr>
                <w:sz w:val="20"/>
                <w:szCs w:val="20"/>
                <w:color w:val="auto"/>
              </w:rPr>
            </w:pPr>
            <w:r>
              <w:rPr>
                <w:rFonts w:ascii="Arial" w:cs="Arial" w:eastAsia="Arial" w:hAnsi="Arial"/>
                <w:sz w:val="17"/>
                <w:szCs w:val="17"/>
                <w:b w:val="1"/>
                <w:bCs w:val="1"/>
                <w:color w:val="auto"/>
              </w:rPr>
              <w:t>Statement of Operations (c)</w:t>
            </w:r>
          </w:p>
        </w:tc>
        <w:tc>
          <w:tcPr>
            <w:tcW w:w="10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88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82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6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7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70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36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5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40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56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5"/>
        </w:trPr>
        <w:tc>
          <w:tcPr>
            <w:tcW w:w="3740" w:type="dxa"/>
            <w:vAlign w:val="bottom"/>
            <w:gridSpan w:val="2"/>
          </w:tcPr>
          <w:p>
            <w:pPr>
              <w:ind w:left="160"/>
              <w:spacing w:after="0"/>
              <w:rPr>
                <w:sz w:val="20"/>
                <w:szCs w:val="20"/>
                <w:color w:val="auto"/>
              </w:rPr>
            </w:pPr>
            <w:r>
              <w:rPr>
                <w:rFonts w:ascii="Arial" w:cs="Arial" w:eastAsia="Arial" w:hAnsi="Arial"/>
                <w:sz w:val="17"/>
                <w:szCs w:val="17"/>
                <w:color w:val="auto"/>
              </w:rPr>
              <w:t>Operating revenues</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727.4</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633.2</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94.2</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1,357.9</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7"/>
                <w:szCs w:val="17"/>
                <w:color w:val="auto"/>
              </w:rPr>
              <w:t>1,285.2</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4"/>
          </w:tcPr>
          <w:p>
            <w:pPr>
              <w:jc w:val="right"/>
              <w:ind w:right="100"/>
              <w:spacing w:after="0"/>
              <w:rPr>
                <w:sz w:val="20"/>
                <w:szCs w:val="20"/>
                <w:color w:val="auto"/>
              </w:rPr>
            </w:pPr>
            <w:r>
              <w:rPr>
                <w:rFonts w:ascii="Arial" w:cs="Arial" w:eastAsia="Arial" w:hAnsi="Arial"/>
                <w:sz w:val="17"/>
                <w:szCs w:val="17"/>
                <w:color w:val="auto"/>
              </w:rPr>
              <w:t>72.7</w:t>
            </w:r>
          </w:p>
        </w:tc>
      </w:tr>
      <w:tr>
        <w:trPr>
          <w:trHeight w:val="236"/>
        </w:trPr>
        <w:tc>
          <w:tcPr>
            <w:tcW w:w="3740" w:type="dxa"/>
            <w:vAlign w:val="bottom"/>
            <w:gridSpan w:val="2"/>
            <w:shd w:val="clear" w:color="auto" w:fill="E2EEF6"/>
          </w:tcPr>
          <w:p>
            <w:pPr>
              <w:ind w:left="160"/>
              <w:spacing w:after="0"/>
              <w:rPr>
                <w:sz w:val="20"/>
                <w:szCs w:val="20"/>
                <w:color w:val="auto"/>
              </w:rPr>
            </w:pPr>
            <w:r>
              <w:rPr>
                <w:rFonts w:ascii="Arial" w:cs="Arial" w:eastAsia="Arial" w:hAnsi="Arial"/>
                <w:sz w:val="17"/>
                <w:szCs w:val="17"/>
                <w:color w:val="auto"/>
              </w:rPr>
              <w:t>Operating and maintenance expense</w:t>
            </w:r>
          </w:p>
        </w:tc>
        <w:tc>
          <w:tcPr>
            <w:tcW w:w="10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104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438.9</w:t>
            </w:r>
          </w:p>
        </w:tc>
        <w:tc>
          <w:tcPr>
            <w:tcW w:w="300" w:type="dxa"/>
            <w:vAlign w:val="bottom"/>
            <w:shd w:val="clear" w:color="auto" w:fill="E2EEF6"/>
          </w:tcPr>
          <w:p>
            <w:pPr>
              <w:spacing w:after="0"/>
              <w:rPr>
                <w:sz w:val="20"/>
                <w:szCs w:val="20"/>
                <w:color w:val="auto"/>
              </w:rPr>
            </w:pPr>
          </w:p>
        </w:tc>
        <w:tc>
          <w:tcPr>
            <w:tcW w:w="9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406.2</w:t>
            </w:r>
          </w:p>
        </w:tc>
        <w:tc>
          <w:tcPr>
            <w:tcW w:w="160" w:type="dxa"/>
            <w:vAlign w:val="bottom"/>
            <w:shd w:val="clear" w:color="auto" w:fill="E2EEF6"/>
          </w:tcPr>
          <w:p>
            <w:pPr>
              <w:spacing w:after="0"/>
              <w:rPr>
                <w:sz w:val="20"/>
                <w:szCs w:val="20"/>
                <w:color w:val="auto"/>
              </w:rPr>
            </w:pPr>
          </w:p>
        </w:tc>
        <w:tc>
          <w:tcPr>
            <w:tcW w:w="6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900" w:type="dxa"/>
            <w:vAlign w:val="bottom"/>
            <w:gridSpan w:val="2"/>
            <w:shd w:val="clear" w:color="auto" w:fill="E2EEF6"/>
          </w:tcPr>
          <w:p>
            <w:pPr>
              <w:jc w:val="right"/>
              <w:ind w:right="120"/>
              <w:spacing w:after="0"/>
              <w:rPr>
                <w:sz w:val="20"/>
                <w:szCs w:val="20"/>
                <w:color w:val="auto"/>
              </w:rPr>
            </w:pPr>
            <w:r>
              <w:rPr>
                <w:rFonts w:ascii="Arial" w:cs="Arial" w:eastAsia="Arial" w:hAnsi="Arial"/>
                <w:sz w:val="17"/>
                <w:szCs w:val="17"/>
                <w:color w:val="auto"/>
              </w:rPr>
              <w:t>32.7</w:t>
            </w:r>
          </w:p>
        </w:tc>
        <w:tc>
          <w:tcPr>
            <w:tcW w:w="22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82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827.5</w:t>
            </w:r>
          </w:p>
        </w:tc>
        <w:tc>
          <w:tcPr>
            <w:tcW w:w="160" w:type="dxa"/>
            <w:vAlign w:val="bottom"/>
            <w:shd w:val="clear" w:color="auto" w:fill="E2EEF6"/>
          </w:tcPr>
          <w:p>
            <w:pPr>
              <w:spacing w:after="0"/>
              <w:rPr>
                <w:sz w:val="20"/>
                <w:szCs w:val="20"/>
                <w:color w:val="auto"/>
              </w:rPr>
            </w:pPr>
          </w:p>
        </w:tc>
        <w:tc>
          <w:tcPr>
            <w:tcW w:w="360" w:type="dxa"/>
            <w:vAlign w:val="bottom"/>
            <w:shd w:val="clear" w:color="auto" w:fill="E2EEF6"/>
          </w:tcPr>
          <w:p>
            <w:pPr>
              <w:spacing w:after="0"/>
              <w:rPr>
                <w:sz w:val="20"/>
                <w:szCs w:val="20"/>
                <w:color w:val="auto"/>
              </w:rPr>
            </w:pPr>
          </w:p>
        </w:tc>
        <w:tc>
          <w:tcPr>
            <w:tcW w:w="900" w:type="dxa"/>
            <w:vAlign w:val="bottom"/>
            <w:gridSpan w:val="3"/>
            <w:shd w:val="clear" w:color="auto" w:fill="E2EEF6"/>
          </w:tcPr>
          <w:p>
            <w:pPr>
              <w:jc w:val="right"/>
              <w:ind w:right="140"/>
              <w:spacing w:after="0"/>
              <w:rPr>
                <w:sz w:val="20"/>
                <w:szCs w:val="20"/>
                <w:color w:val="auto"/>
              </w:rPr>
            </w:pPr>
            <w:r>
              <w:rPr>
                <w:rFonts w:ascii="Arial" w:cs="Arial" w:eastAsia="Arial" w:hAnsi="Arial"/>
                <w:sz w:val="17"/>
                <w:szCs w:val="17"/>
                <w:color w:val="auto"/>
              </w:rPr>
              <w:t>818.6</w:t>
            </w:r>
          </w:p>
        </w:tc>
        <w:tc>
          <w:tcPr>
            <w:tcW w:w="2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1140" w:type="dxa"/>
            <w:vAlign w:val="bottom"/>
            <w:gridSpan w:val="4"/>
            <w:shd w:val="clear" w:color="auto" w:fill="E2EEF6"/>
          </w:tcPr>
          <w:p>
            <w:pPr>
              <w:jc w:val="right"/>
              <w:ind w:right="100"/>
              <w:spacing w:after="0"/>
              <w:rPr>
                <w:sz w:val="20"/>
                <w:szCs w:val="20"/>
                <w:color w:val="auto"/>
              </w:rPr>
            </w:pPr>
            <w:r>
              <w:rPr>
                <w:rFonts w:ascii="Arial" w:cs="Arial" w:eastAsia="Arial" w:hAnsi="Arial"/>
                <w:sz w:val="17"/>
                <w:szCs w:val="17"/>
                <w:color w:val="auto"/>
              </w:rPr>
              <w:t>8.9</w:t>
            </w:r>
          </w:p>
        </w:tc>
      </w:tr>
      <w:tr>
        <w:trPr>
          <w:trHeight w:val="235"/>
        </w:trPr>
        <w:tc>
          <w:tcPr>
            <w:tcW w:w="3740" w:type="dxa"/>
            <w:vAlign w:val="bottom"/>
            <w:gridSpan w:val="2"/>
          </w:tcPr>
          <w:p>
            <w:pPr>
              <w:ind w:left="160"/>
              <w:spacing w:after="0"/>
              <w:rPr>
                <w:sz w:val="20"/>
                <w:szCs w:val="20"/>
                <w:color w:val="auto"/>
              </w:rPr>
            </w:pPr>
            <w:r>
              <w:rPr>
                <w:rFonts w:ascii="Arial" w:cs="Arial" w:eastAsia="Arial" w:hAnsi="Arial"/>
                <w:sz w:val="17"/>
                <w:szCs w:val="17"/>
                <w:color w:val="auto"/>
              </w:rPr>
              <w:t>Operating income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184.8</w:t>
            </w:r>
          </w:p>
        </w:tc>
        <w:tc>
          <w:tcPr>
            <w:tcW w:w="3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103.8</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81.0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328.1</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7"/>
                <w:szCs w:val="17"/>
                <w:color w:val="auto"/>
              </w:rPr>
              <w:t>200.6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4"/>
          </w:tcPr>
          <w:p>
            <w:pPr>
              <w:jc w:val="right"/>
              <w:ind w:right="100"/>
              <w:spacing w:after="0"/>
              <w:rPr>
                <w:sz w:val="20"/>
                <w:szCs w:val="20"/>
                <w:color w:val="auto"/>
              </w:rPr>
            </w:pPr>
            <w:r>
              <w:rPr>
                <w:rFonts w:ascii="Arial" w:cs="Arial" w:eastAsia="Arial" w:hAnsi="Arial"/>
                <w:sz w:val="17"/>
                <w:szCs w:val="17"/>
                <w:color w:val="auto"/>
              </w:rPr>
              <w:t>127.5</w:t>
            </w:r>
          </w:p>
        </w:tc>
      </w:tr>
      <w:tr>
        <w:trPr>
          <w:trHeight w:val="236"/>
        </w:trPr>
        <w:tc>
          <w:tcPr>
            <w:tcW w:w="3740" w:type="dxa"/>
            <w:vAlign w:val="bottom"/>
            <w:gridSpan w:val="2"/>
            <w:shd w:val="clear" w:color="auto" w:fill="E2EEF6"/>
          </w:tcPr>
          <w:p>
            <w:pPr>
              <w:ind w:left="160"/>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104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301.8</w:t>
            </w:r>
          </w:p>
        </w:tc>
        <w:tc>
          <w:tcPr>
            <w:tcW w:w="300" w:type="dxa"/>
            <w:vAlign w:val="bottom"/>
            <w:shd w:val="clear" w:color="auto" w:fill="E2EEF6"/>
          </w:tcPr>
          <w:p>
            <w:pPr>
              <w:spacing w:after="0"/>
              <w:rPr>
                <w:sz w:val="20"/>
                <w:szCs w:val="20"/>
                <w:color w:val="auto"/>
              </w:rPr>
            </w:pPr>
          </w:p>
        </w:tc>
        <w:tc>
          <w:tcPr>
            <w:tcW w:w="9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48.0</w:t>
            </w:r>
          </w:p>
        </w:tc>
        <w:tc>
          <w:tcPr>
            <w:tcW w:w="160" w:type="dxa"/>
            <w:vAlign w:val="bottom"/>
            <w:shd w:val="clear" w:color="auto" w:fill="E2EEF6"/>
          </w:tcPr>
          <w:p>
            <w:pPr>
              <w:spacing w:after="0"/>
              <w:rPr>
                <w:sz w:val="20"/>
                <w:szCs w:val="20"/>
                <w:color w:val="auto"/>
              </w:rPr>
            </w:pPr>
          </w:p>
        </w:tc>
        <w:tc>
          <w:tcPr>
            <w:tcW w:w="6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900" w:type="dxa"/>
            <w:vAlign w:val="bottom"/>
            <w:gridSpan w:val="2"/>
            <w:shd w:val="clear" w:color="auto" w:fill="E2EEF6"/>
          </w:tcPr>
          <w:p>
            <w:pPr>
              <w:jc w:val="right"/>
              <w:ind w:right="120"/>
              <w:spacing w:after="0"/>
              <w:rPr>
                <w:sz w:val="20"/>
                <w:szCs w:val="20"/>
                <w:color w:val="auto"/>
              </w:rPr>
            </w:pPr>
            <w:r>
              <w:rPr>
                <w:rFonts w:ascii="Arial" w:cs="Arial" w:eastAsia="Arial" w:hAnsi="Arial"/>
                <w:sz w:val="17"/>
                <w:szCs w:val="17"/>
                <w:color w:val="auto"/>
              </w:rPr>
              <w:t>253.8</w:t>
            </w:r>
          </w:p>
        </w:tc>
        <w:tc>
          <w:tcPr>
            <w:tcW w:w="22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82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393.6</w:t>
            </w:r>
          </w:p>
        </w:tc>
        <w:tc>
          <w:tcPr>
            <w:tcW w:w="160" w:type="dxa"/>
            <w:vAlign w:val="bottom"/>
            <w:shd w:val="clear" w:color="auto" w:fill="E2EEF6"/>
          </w:tcPr>
          <w:p>
            <w:pPr>
              <w:spacing w:after="0"/>
              <w:rPr>
                <w:sz w:val="20"/>
                <w:szCs w:val="20"/>
                <w:color w:val="auto"/>
              </w:rPr>
            </w:pPr>
          </w:p>
        </w:tc>
        <w:tc>
          <w:tcPr>
            <w:tcW w:w="360" w:type="dxa"/>
            <w:vAlign w:val="bottom"/>
            <w:shd w:val="clear" w:color="auto" w:fill="E2EEF6"/>
          </w:tcPr>
          <w:p>
            <w:pPr>
              <w:spacing w:after="0"/>
              <w:rPr>
                <w:sz w:val="20"/>
                <w:szCs w:val="20"/>
                <w:color w:val="auto"/>
              </w:rPr>
            </w:pPr>
          </w:p>
        </w:tc>
        <w:tc>
          <w:tcPr>
            <w:tcW w:w="900" w:type="dxa"/>
            <w:vAlign w:val="bottom"/>
            <w:gridSpan w:val="3"/>
            <w:shd w:val="clear" w:color="auto" w:fill="E2EEF6"/>
          </w:tcPr>
          <w:p>
            <w:pPr>
              <w:jc w:val="right"/>
              <w:ind w:right="140"/>
              <w:spacing w:after="0"/>
              <w:rPr>
                <w:sz w:val="20"/>
                <w:szCs w:val="20"/>
                <w:color w:val="auto"/>
              </w:rPr>
            </w:pPr>
            <w:r>
              <w:rPr>
                <w:rFonts w:ascii="Arial" w:cs="Arial" w:eastAsia="Arial" w:hAnsi="Arial"/>
                <w:sz w:val="17"/>
                <w:szCs w:val="17"/>
                <w:color w:val="auto"/>
              </w:rPr>
              <w:t>70.7</w:t>
            </w:r>
          </w:p>
        </w:tc>
        <w:tc>
          <w:tcPr>
            <w:tcW w:w="2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1140" w:type="dxa"/>
            <w:vAlign w:val="bottom"/>
            <w:gridSpan w:val="4"/>
            <w:shd w:val="clear" w:color="auto" w:fill="E2EEF6"/>
          </w:tcPr>
          <w:p>
            <w:pPr>
              <w:jc w:val="right"/>
              <w:ind w:right="100"/>
              <w:spacing w:after="0"/>
              <w:rPr>
                <w:sz w:val="20"/>
                <w:szCs w:val="20"/>
                <w:color w:val="auto"/>
              </w:rPr>
            </w:pPr>
            <w:r>
              <w:rPr>
                <w:rFonts w:ascii="Arial" w:cs="Arial" w:eastAsia="Arial" w:hAnsi="Arial"/>
                <w:sz w:val="17"/>
                <w:szCs w:val="17"/>
                <w:color w:val="auto"/>
              </w:rPr>
              <w:t>322.9</w:t>
            </w:r>
          </w:p>
        </w:tc>
      </w:tr>
      <w:tr>
        <w:trPr>
          <w:trHeight w:val="497"/>
        </w:trPr>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June 30,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ind w:left="120"/>
              <w:spacing w:after="0"/>
              <w:rPr>
                <w:sz w:val="20"/>
                <w:szCs w:val="20"/>
                <w:color w:val="auto"/>
              </w:rPr>
            </w:pPr>
            <w:r>
              <w:rPr>
                <w:rFonts w:ascii="Arial" w:cs="Arial" w:eastAsia="Arial" w:hAnsi="Arial"/>
                <w:sz w:val="17"/>
                <w:szCs w:val="17"/>
                <w:color w:val="auto"/>
              </w:rPr>
              <w:t>December 31,</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2"/>
        </w:trPr>
        <w:tc>
          <w:tcPr>
            <w:tcW w:w="6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3"/>
              <w:spacing w:after="0"/>
              <w:rPr>
                <w:sz w:val="20"/>
                <w:szCs w:val="20"/>
                <w:color w:val="auto"/>
              </w:rPr>
            </w:pPr>
            <w:r>
              <w:rPr>
                <w:rFonts w:ascii="Arial" w:cs="Arial" w:eastAsia="Arial" w:hAnsi="Arial"/>
                <w:sz w:val="17"/>
                <w:szCs w:val="17"/>
                <w:color w:val="auto"/>
              </w:rPr>
              <w:t>2005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2004</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gridSpan w:val="8"/>
          </w:tcPr>
          <w:p>
            <w:pPr>
              <w:ind w:left="320"/>
              <w:spacing w:after="0"/>
              <w:rPr>
                <w:sz w:val="20"/>
                <w:szCs w:val="20"/>
                <w:color w:val="auto"/>
              </w:rPr>
            </w:pPr>
            <w:r>
              <w:rPr>
                <w:rFonts w:ascii="Arial" w:cs="Arial" w:eastAsia="Arial" w:hAnsi="Arial"/>
                <w:sz w:val="17"/>
                <w:szCs w:val="17"/>
                <w:color w:val="auto"/>
              </w:rPr>
              <w:t>Change</w:t>
            </w:r>
          </w:p>
        </w:tc>
      </w:tr>
      <w:tr>
        <w:trPr>
          <w:trHeight w:val="228"/>
        </w:trPr>
        <w:tc>
          <w:tcPr>
            <w:tcW w:w="6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top w:val="single" w:sz="8" w:color="auto"/>
            </w:tcBorders>
            <w:gridSpan w:val="3"/>
          </w:tcPr>
          <w:p>
            <w:pPr>
              <w:ind w:left="120"/>
              <w:spacing w:after="0"/>
              <w:rPr>
                <w:sz w:val="20"/>
                <w:szCs w:val="20"/>
                <w:color w:val="auto"/>
              </w:rPr>
            </w:pPr>
            <w:r>
              <w:rPr>
                <w:rFonts w:ascii="Arial" w:cs="Arial" w:eastAsia="Arial" w:hAnsi="Arial"/>
                <w:sz w:val="17"/>
                <w:szCs w:val="17"/>
                <w:color w:val="auto"/>
              </w:rPr>
              <w:t>(In millions)</w:t>
            </w:r>
          </w:p>
        </w:tc>
        <w:tc>
          <w:tcPr>
            <w:tcW w:w="2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3740" w:type="dxa"/>
            <w:vAlign w:val="bottom"/>
            <w:gridSpan w:val="2"/>
          </w:tcPr>
          <w:p>
            <w:pPr>
              <w:ind w:left="640"/>
              <w:spacing w:after="0"/>
              <w:rPr>
                <w:sz w:val="20"/>
                <w:szCs w:val="20"/>
                <w:color w:val="auto"/>
              </w:rPr>
            </w:pPr>
            <w:r>
              <w:rPr>
                <w:rFonts w:ascii="Arial" w:cs="Arial" w:eastAsia="Arial" w:hAnsi="Arial"/>
                <w:sz w:val="17"/>
                <w:szCs w:val="17"/>
                <w:b w:val="1"/>
                <w:bCs w:val="1"/>
                <w:color w:val="auto"/>
                <w:w w:val="94"/>
              </w:rPr>
              <w:t>Balance Sheet Data (at end of period) (c)</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40" w:type="dxa"/>
            <w:vAlign w:val="bottom"/>
          </w:tcPr>
          <w:p>
            <w:pPr>
              <w:spacing w:after="0"/>
              <w:rPr>
                <w:sz w:val="20"/>
                <w:szCs w:val="20"/>
                <w:color w:val="auto"/>
              </w:rPr>
            </w:pPr>
          </w:p>
        </w:tc>
        <w:tc>
          <w:tcPr>
            <w:tcW w:w="3100" w:type="dxa"/>
            <w:vAlign w:val="bottom"/>
            <w:shd w:val="clear" w:color="auto" w:fill="E2EEF6"/>
          </w:tcPr>
          <w:p>
            <w:pPr>
              <w:ind w:left="140"/>
              <w:spacing w:after="0"/>
              <w:rPr>
                <w:sz w:val="20"/>
                <w:szCs w:val="20"/>
                <w:color w:val="auto"/>
              </w:rPr>
            </w:pPr>
            <w:r>
              <w:rPr>
                <w:rFonts w:ascii="Arial" w:cs="Arial" w:eastAsia="Arial" w:hAnsi="Arial"/>
                <w:sz w:val="17"/>
                <w:szCs w:val="17"/>
                <w:color w:val="auto"/>
              </w:rPr>
              <w:t>Cash</w:t>
            </w:r>
          </w:p>
        </w:tc>
        <w:tc>
          <w:tcPr>
            <w:tcW w:w="10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88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82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18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4"/>
            <w:shd w:val="clear" w:color="auto" w:fill="E2EEF6"/>
          </w:tcPr>
          <w:p>
            <w:pPr>
              <w:jc w:val="right"/>
              <w:ind w:right="80"/>
              <w:spacing w:after="0"/>
              <w:rPr>
                <w:sz w:val="20"/>
                <w:szCs w:val="20"/>
                <w:color w:val="auto"/>
              </w:rPr>
            </w:pPr>
            <w:r>
              <w:rPr>
                <w:rFonts w:ascii="Arial" w:cs="Arial" w:eastAsia="Arial" w:hAnsi="Arial"/>
                <w:sz w:val="17"/>
                <w:szCs w:val="17"/>
                <w:color w:val="auto"/>
              </w:rPr>
              <w:t>942.5</w:t>
            </w:r>
          </w:p>
        </w:tc>
        <w:tc>
          <w:tcPr>
            <w:tcW w:w="820" w:type="dxa"/>
            <w:vAlign w:val="bottom"/>
            <w:gridSpan w:val="2"/>
            <w:shd w:val="clear" w:color="auto" w:fill="E2EEF6"/>
          </w:tcPr>
          <w:p>
            <w:pPr>
              <w:jc w:val="right"/>
              <w:ind w:right="533"/>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451.3</w:t>
            </w:r>
          </w:p>
        </w:tc>
        <w:tc>
          <w:tcPr>
            <w:tcW w:w="760" w:type="dxa"/>
            <w:vAlign w:val="bottom"/>
            <w:gridSpan w:val="2"/>
            <w:shd w:val="clear" w:color="auto" w:fill="E2EEF6"/>
          </w:tcPr>
          <w:p>
            <w:pPr>
              <w:jc w:val="right"/>
              <w:ind w:right="393"/>
              <w:spacing w:after="0"/>
              <w:rPr>
                <w:sz w:val="20"/>
                <w:szCs w:val="20"/>
                <w:color w:val="auto"/>
              </w:rPr>
            </w:pPr>
            <w:r>
              <w:rPr>
                <w:rFonts w:ascii="Arial" w:cs="Arial" w:eastAsia="Arial" w:hAnsi="Arial"/>
                <w:sz w:val="17"/>
                <w:szCs w:val="17"/>
                <w:color w:val="auto"/>
              </w:rPr>
              <w:t>$</w:t>
            </w:r>
          </w:p>
        </w:tc>
        <w:tc>
          <w:tcPr>
            <w:tcW w:w="14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400" w:type="dxa"/>
            <w:vAlign w:val="bottom"/>
            <w:shd w:val="clear" w:color="auto" w:fill="E2EEF6"/>
          </w:tcPr>
          <w:p>
            <w:pPr>
              <w:jc w:val="right"/>
              <w:spacing w:after="0"/>
              <w:rPr>
                <w:sz w:val="20"/>
                <w:szCs w:val="20"/>
                <w:color w:val="auto"/>
              </w:rPr>
            </w:pPr>
            <w:r>
              <w:rPr>
                <w:rFonts w:ascii="Arial" w:cs="Arial" w:eastAsia="Arial" w:hAnsi="Arial"/>
                <w:sz w:val="17"/>
                <w:szCs w:val="17"/>
                <w:color w:val="auto"/>
                <w:w w:val="89"/>
              </w:rPr>
              <w:t>491.2</w:t>
            </w:r>
          </w:p>
        </w:tc>
        <w:tc>
          <w:tcPr>
            <w:tcW w:w="80" w:type="dxa"/>
            <w:vAlign w:val="bottom"/>
            <w:shd w:val="clear" w:color="auto" w:fill="E2EEF6"/>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640" w:type="dxa"/>
            <w:vAlign w:val="bottom"/>
          </w:tcPr>
          <w:p>
            <w:pPr>
              <w:spacing w:after="0"/>
              <w:rPr>
                <w:sz w:val="20"/>
                <w:szCs w:val="20"/>
                <w:color w:val="auto"/>
              </w:rPr>
            </w:pPr>
          </w:p>
        </w:tc>
        <w:tc>
          <w:tcPr>
            <w:tcW w:w="3100" w:type="dxa"/>
            <w:vAlign w:val="bottom"/>
          </w:tcPr>
          <w:p>
            <w:pPr>
              <w:ind w:left="140"/>
              <w:spacing w:after="0"/>
              <w:rPr>
                <w:sz w:val="20"/>
                <w:szCs w:val="20"/>
                <w:color w:val="auto"/>
              </w:rPr>
            </w:pPr>
            <w:r>
              <w:rPr>
                <w:rFonts w:ascii="Arial" w:cs="Arial" w:eastAsia="Arial" w:hAnsi="Arial"/>
                <w:sz w:val="17"/>
                <w:szCs w:val="17"/>
                <w:color w:val="auto"/>
              </w:rPr>
              <w:t>Total Assets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7"/>
                <w:szCs w:val="17"/>
                <w:color w:val="auto"/>
              </w:rPr>
              <w:t>11,159.2</w:t>
            </w:r>
          </w:p>
        </w:tc>
        <w:tc>
          <w:tcPr>
            <w:tcW w:w="1340" w:type="dxa"/>
            <w:vAlign w:val="bottom"/>
            <w:gridSpan w:val="4"/>
          </w:tcPr>
          <w:p>
            <w:pPr>
              <w:jc w:val="right"/>
              <w:spacing w:after="0"/>
              <w:rPr>
                <w:sz w:val="20"/>
                <w:szCs w:val="20"/>
                <w:color w:val="auto"/>
              </w:rPr>
            </w:pPr>
            <w:r>
              <w:rPr>
                <w:rFonts w:ascii="Arial" w:cs="Arial" w:eastAsia="Arial" w:hAnsi="Arial"/>
                <w:sz w:val="17"/>
                <w:szCs w:val="17"/>
                <w:color w:val="auto"/>
              </w:rPr>
              <w:t>10,758.3</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400.9</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40" w:type="dxa"/>
            <w:vAlign w:val="bottom"/>
          </w:tcPr>
          <w:p>
            <w:pPr>
              <w:spacing w:after="0"/>
              <w:rPr>
                <w:sz w:val="20"/>
                <w:szCs w:val="20"/>
                <w:color w:val="auto"/>
              </w:rPr>
            </w:pPr>
          </w:p>
        </w:tc>
        <w:tc>
          <w:tcPr>
            <w:tcW w:w="3100" w:type="dxa"/>
            <w:vAlign w:val="bottom"/>
            <w:shd w:val="clear" w:color="auto" w:fill="E2EEF6"/>
          </w:tcPr>
          <w:p>
            <w:pPr>
              <w:ind w:left="140"/>
              <w:spacing w:after="0"/>
              <w:rPr>
                <w:sz w:val="20"/>
                <w:szCs w:val="20"/>
                <w:color w:val="auto"/>
              </w:rPr>
            </w:pPr>
            <w:r>
              <w:rPr>
                <w:rFonts w:ascii="Arial" w:cs="Arial" w:eastAsia="Arial" w:hAnsi="Arial"/>
                <w:sz w:val="17"/>
                <w:szCs w:val="17"/>
                <w:color w:val="auto"/>
              </w:rPr>
              <w:t>Total Debt</w:t>
            </w:r>
          </w:p>
        </w:tc>
        <w:tc>
          <w:tcPr>
            <w:tcW w:w="10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88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82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6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200" w:type="dxa"/>
            <w:vAlign w:val="bottom"/>
            <w:gridSpan w:val="4"/>
            <w:shd w:val="clear" w:color="auto" w:fill="E2EEF6"/>
          </w:tcPr>
          <w:p>
            <w:pPr>
              <w:jc w:val="right"/>
              <w:ind w:right="80"/>
              <w:spacing w:after="0"/>
              <w:rPr>
                <w:sz w:val="20"/>
                <w:szCs w:val="20"/>
                <w:color w:val="auto"/>
              </w:rPr>
            </w:pPr>
            <w:r>
              <w:rPr>
                <w:rFonts w:ascii="Arial" w:cs="Arial" w:eastAsia="Arial" w:hAnsi="Arial"/>
                <w:sz w:val="17"/>
                <w:szCs w:val="17"/>
                <w:color w:val="auto"/>
              </w:rPr>
              <w:t>2,193.5</w:t>
            </w:r>
          </w:p>
        </w:tc>
        <w:tc>
          <w:tcPr>
            <w:tcW w:w="120" w:type="dxa"/>
            <w:vAlign w:val="bottom"/>
            <w:shd w:val="clear" w:color="auto" w:fill="E2EEF6"/>
          </w:tcPr>
          <w:p>
            <w:pPr>
              <w:spacing w:after="0"/>
              <w:rPr>
                <w:sz w:val="20"/>
                <w:szCs w:val="20"/>
                <w:color w:val="auto"/>
              </w:rPr>
            </w:pPr>
          </w:p>
        </w:tc>
        <w:tc>
          <w:tcPr>
            <w:tcW w:w="700" w:type="dxa"/>
            <w:vAlign w:val="bottom"/>
            <w:shd w:val="clear" w:color="auto" w:fill="E2EEF6"/>
          </w:tcPr>
          <w:p>
            <w:pPr>
              <w:spacing w:after="0"/>
              <w:rPr>
                <w:sz w:val="20"/>
                <w:szCs w:val="20"/>
                <w:color w:val="auto"/>
              </w:rPr>
            </w:pPr>
          </w:p>
        </w:tc>
        <w:tc>
          <w:tcPr>
            <w:tcW w:w="52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w w:val="88"/>
              </w:rPr>
              <w:t>2,481.5</w:t>
            </w:r>
          </w:p>
        </w:tc>
        <w:tc>
          <w:tcPr>
            <w:tcW w:w="200" w:type="dxa"/>
            <w:vAlign w:val="bottom"/>
            <w:shd w:val="clear" w:color="auto" w:fill="E2EEF6"/>
          </w:tcPr>
          <w:p>
            <w:pPr>
              <w:spacing w:after="0"/>
              <w:rPr>
                <w:sz w:val="20"/>
                <w:szCs w:val="20"/>
                <w:color w:val="auto"/>
              </w:rPr>
            </w:pPr>
          </w:p>
        </w:tc>
        <w:tc>
          <w:tcPr>
            <w:tcW w:w="5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580" w:type="dxa"/>
            <w:vAlign w:val="bottom"/>
            <w:gridSpan w:val="4"/>
            <w:shd w:val="clear" w:color="auto" w:fill="E2EEF6"/>
          </w:tcPr>
          <w:p>
            <w:pPr>
              <w:jc w:val="right"/>
              <w:ind w:right="20"/>
              <w:spacing w:after="0"/>
              <w:rPr>
                <w:sz w:val="20"/>
                <w:szCs w:val="20"/>
                <w:color w:val="auto"/>
              </w:rPr>
            </w:pPr>
            <w:r>
              <w:rPr>
                <w:rFonts w:ascii="Arial" w:cs="Arial" w:eastAsia="Arial" w:hAnsi="Arial"/>
                <w:sz w:val="17"/>
                <w:szCs w:val="17"/>
                <w:color w:val="auto"/>
              </w:rPr>
              <w:t>(288.0)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7"/>
        </w:trPr>
        <w:tc>
          <w:tcPr>
            <w:tcW w:w="64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_____________________</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3740" w:type="dxa"/>
            <w:vAlign w:val="bottom"/>
            <w:gridSpan w:val="2"/>
          </w:tcPr>
          <w:p>
            <w:pPr>
              <w:ind w:left="640"/>
              <w:spacing w:after="0"/>
              <w:rPr>
                <w:sz w:val="20"/>
                <w:szCs w:val="20"/>
                <w:color w:val="auto"/>
              </w:rPr>
            </w:pPr>
            <w:r>
              <w:rPr>
                <w:rFonts w:ascii="Arial" w:cs="Arial" w:eastAsia="Arial" w:hAnsi="Arial"/>
                <w:sz w:val="17"/>
                <w:szCs w:val="17"/>
                <w:color w:val="auto"/>
              </w:rPr>
              <w:t>“N/A” means not applicable.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50" w:lineRule="exact"/>
        <w:rPr>
          <w:sz w:val="20"/>
          <w:szCs w:val="20"/>
          <w:color w:val="auto"/>
        </w:rPr>
      </w:pPr>
    </w:p>
    <w:p>
      <w:pPr>
        <w:ind w:left="1260" w:right="60" w:hanging="628"/>
        <w:spacing w:after="0" w:line="264" w:lineRule="auto"/>
        <w:tabs>
          <w:tab w:leader="none" w:pos="1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Average dayrate is defined as contract drilling revenue earned per revenue earning day. A revenue earning day is defined as a day for which a rig earns dayrate after commencement of operations.</w:t>
      </w:r>
    </w:p>
    <w:p>
      <w:pPr>
        <w:ind w:left="1260" w:hanging="628"/>
        <w:spacing w:after="0"/>
        <w:tabs>
          <w:tab w:leader="none" w:pos="1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Utilization is the total actual number of revenue earning days as a percentage of the total number of calendar days in the period.</w:t>
      </w:r>
    </w:p>
    <w:p>
      <w:pPr>
        <w:spacing w:after="0" w:line="13" w:lineRule="exact"/>
        <w:rPr>
          <w:rFonts w:ascii="Arial" w:cs="Arial" w:eastAsia="Arial" w:hAnsi="Arial"/>
          <w:sz w:val="17"/>
          <w:szCs w:val="17"/>
          <w:color w:val="auto"/>
        </w:rPr>
      </w:pPr>
    </w:p>
    <w:p>
      <w:pPr>
        <w:ind w:left="1260" w:right="80" w:hanging="628"/>
        <w:spacing w:after="0" w:line="308" w:lineRule="auto"/>
        <w:tabs>
          <w:tab w:leader="none" w:pos="12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consolidated TODCO’s (together with its subsidiaries and predecessors, unless the context requires otherwise, “TODCO,” a publicly traded company and a former wholly-owned subsidiary) results of operations and financial condition in our consolidated financial statements through December 16, 2004. We deconsolidated TODCO effective December 17, 2004 and subsequently accounted for our investment in TODCO under the equity method of accounting through May 18, 2005, at which time our ownership interest fell below 20 percent. See “―Significant Events.”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24" w:lineRule="exact"/>
        <w:rPr>
          <w:sz w:val="20"/>
          <w:szCs w:val="20"/>
          <w:color w:val="auto"/>
        </w:rPr>
      </w:pPr>
    </w:p>
    <w:p>
      <w:pPr>
        <w:jc w:val="both"/>
        <w:ind w:firstLine="628"/>
        <w:spacing w:after="0" w:line="289" w:lineRule="auto"/>
        <w:rPr>
          <w:sz w:val="20"/>
          <w:szCs w:val="20"/>
          <w:color w:val="auto"/>
        </w:rPr>
      </w:pPr>
      <w:r>
        <w:rPr>
          <w:rFonts w:ascii="Arial" w:cs="Arial" w:eastAsia="Arial" w:hAnsi="Arial"/>
          <w:sz w:val="16"/>
          <w:szCs w:val="16"/>
          <w:color w:val="auto"/>
        </w:rPr>
        <w:t>2005 began with our industry experiencing strong demand for all major rig types resulting in high utilization and increasing dayrates. As a result, we see an improvement in the outlook for our fleet, especially among our 13 Fifth-Generation Deepwater Floaters, where demand is likely to exceed supply for the next 12 to 24 months. We expect our industry to experience higher costs in 2005 relative to levels seen in the recent past, due in part to higher personnel and vendor costs required to support the increased level of offshore drilling activity, although we anticipate revenue increases to outpace these increased costs.</w:t>
      </w:r>
    </w:p>
    <w:p>
      <w:pPr>
        <w:spacing w:after="0" w:line="213" w:lineRule="exact"/>
        <w:rPr>
          <w:sz w:val="20"/>
          <w:szCs w:val="20"/>
          <w:color w:val="auto"/>
        </w:rPr>
      </w:pPr>
    </w:p>
    <w:p>
      <w:pPr>
        <w:jc w:val="both"/>
        <w:ind w:firstLine="628"/>
        <w:spacing w:after="0" w:line="278" w:lineRule="auto"/>
        <w:rPr>
          <w:sz w:val="20"/>
          <w:szCs w:val="20"/>
          <w:color w:val="auto"/>
        </w:rPr>
      </w:pPr>
      <w:r>
        <w:rPr>
          <w:rFonts w:ascii="Arial" w:cs="Arial" w:eastAsia="Arial" w:hAnsi="Arial"/>
          <w:sz w:val="16"/>
          <w:szCs w:val="16"/>
          <w:color w:val="auto"/>
        </w:rPr>
        <w:t>Our revenues and operating and maintenance expenses for the six months ended June 30, 2005 increased from the prior year due to increased activity and dayrates within our Transocean Drilling fleet, partially offset by the deconsolidation of TODCO effective December 17, 2004 (see “—Operating Results”) and decreased integrated services provided to our clients in the first six months of 2005. Our financial results for the first six months of 2005 included the recognition of our May 2005 public offering (the “May Offering”) and June 2005 sale (the “June Sale,” and, together with the May Offering, the “2005 Offering and Sale”) of TODCO common stock as well as gains from the sale of three rigs, partially offset by a non-cash charge pertaining to a loss on retirement of debt (see “— Significant Events”). Our six months ended June 30, 2004 financial results included a gain recognized on the TODCO initial public offering (“TODCO IPO”), partially offset by a tax valuation allowance adjustment and stock option expense recorded in connection with the TODCO IPO as well as a non-cash charge pertaining to a loss on retirement of debt (see “—Operating Results”). Cash increased during the six months ended June 30, 2005 primarily as a result of proceeds received from the 2005 Offering and Sale, the sale of rigs and exercises of stock options, as well as cash provided by operating activities, partially offset by increased capital expenditures and the early retirement of debt.</w:t>
      </w:r>
    </w:p>
    <w:p>
      <w:pPr>
        <w:spacing w:after="0" w:line="223"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6"/>
          <w:szCs w:val="16"/>
          <w:color w:val="auto"/>
        </w:rPr>
        <w:t>Through December 16, 2004, our operations were aggregated into two reportable segments: (i) Transocean Drilling and (ii) TODCO. The Transocean Drilling segment consists of floaters, jackups and other rigs used in support of offshore drilling activities and offshore support services. The TODCO segment consisted of our interest in TODCO, which conducts jackup, drilling barge, land rig, submersible and other operations in the U.S. Gulf of Mexico and inland waters, Mexico, Trinidad and Venezuela. The organization and aggregation of our business into the two segments were based on differences in economic characteristics, customer base, asset class, contract structure and management structure. In addition, the TODCO segment fleet was highly dependent upon the U.S. natural gas industry while the Transocean Drilling segment’s operations are more dependent upon the worldwide oil industry. As a result of the deconsolidation of TODCO (see “—Operating Results”), we now operate in one business segment, the Transocean Drilling segment.</w:t>
      </w:r>
    </w:p>
    <w:p>
      <w:pPr>
        <w:spacing w:after="0" w:line="219"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Our Transocean Drilling segment fleet operates in what is a single, global market for the provision of contract drilling services. The location of our rigs and the allocation of resources to build or upgrade rigs are determined by the activities and needs of our customers.</w:t>
      </w:r>
    </w:p>
    <w:p>
      <w:pPr>
        <w:spacing w:after="0" w:line="211" w:lineRule="exact"/>
        <w:rPr>
          <w:sz w:val="20"/>
          <w:szCs w:val="20"/>
          <w:color w:val="auto"/>
        </w:rPr>
      </w:pPr>
    </w:p>
    <w:p>
      <w:pPr>
        <w:jc w:val="both"/>
        <w:ind w:firstLine="628"/>
        <w:spacing w:after="0" w:line="277" w:lineRule="auto"/>
        <w:rPr>
          <w:sz w:val="20"/>
          <w:szCs w:val="20"/>
          <w:color w:val="auto"/>
        </w:rPr>
      </w:pPr>
      <w:r>
        <w:rPr>
          <w:rFonts w:ascii="Arial" w:cs="Arial" w:eastAsia="Arial" w:hAnsi="Arial"/>
          <w:sz w:val="16"/>
          <w:szCs w:val="16"/>
          <w:color w:val="auto"/>
        </w:rPr>
        <w:t xml:space="preserve">We categorize our fleet as follows: (i) “High-Specification Floaters”, consisting of our “Fifth-Generation Deepwater Floaters,”“Other Deepwater Floaters” and “Other High-Specification Floaters,” (ii) “Other Floaters,” (iii) “Jackups,” and (iv) “Other Rigs.” Within our High-Specification Floaters category, we consider our Fifth-Generation Deepwater Floaters to be the semisubmersibles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w:t>
      </w:r>
      <w:r>
        <w:rPr>
          <w:rFonts w:ascii="Arial" w:cs="Arial" w:eastAsia="Arial" w:hAnsi="Arial"/>
          <w:sz w:val="16"/>
          <w:szCs w:val="16"/>
          <w:i w:val="1"/>
          <w:iCs w:val="1"/>
          <w:color w:val="auto"/>
        </w:rPr>
        <w:t>Cajun Express</w:t>
      </w:r>
      <w:r>
        <w:rPr>
          <w:rFonts w:ascii="Arial" w:cs="Arial" w:eastAsia="Arial" w:hAnsi="Arial"/>
          <w:sz w:val="16"/>
          <w:szCs w:val="16"/>
          <w:color w:val="auto"/>
        </w:rPr>
        <w:t xml:space="preserve">, </w:t>
      </w:r>
      <w:r>
        <w:rPr>
          <w:rFonts w:ascii="Arial" w:cs="Arial" w:eastAsia="Arial" w:hAnsi="Arial"/>
          <w:sz w:val="16"/>
          <w:szCs w:val="16"/>
          <w:i w:val="1"/>
          <w:iCs w:val="1"/>
          <w:color w:val="auto"/>
        </w:rPr>
        <w:t>Deepwater Nautilus</w:t>
      </w:r>
      <w:r>
        <w:rPr>
          <w:rFonts w:ascii="Arial" w:cs="Arial" w:eastAsia="Arial" w:hAnsi="Arial"/>
          <w:sz w:val="16"/>
          <w:szCs w:val="16"/>
          <w:color w:val="auto"/>
        </w:rPr>
        <w:t xml:space="preserve">, </w:t>
      </w:r>
      <w:r>
        <w:rPr>
          <w:rFonts w:ascii="Arial" w:cs="Arial" w:eastAsia="Arial" w:hAnsi="Arial"/>
          <w:sz w:val="16"/>
          <w:szCs w:val="16"/>
          <w:i w:val="1"/>
          <w:iCs w:val="1"/>
          <w:color w:val="auto"/>
        </w:rPr>
        <w:t>Sedco Energy</w:t>
      </w:r>
      <w:r>
        <w:rPr>
          <w:rFonts w:ascii="Arial" w:cs="Arial" w:eastAsia="Arial" w:hAnsi="Arial"/>
          <w:sz w:val="16"/>
          <w:szCs w:val="16"/>
          <w:color w:val="auto"/>
        </w:rPr>
        <w:t xml:space="preserve"> and </w:t>
      </w:r>
      <w:r>
        <w:rPr>
          <w:rFonts w:ascii="Arial" w:cs="Arial" w:eastAsia="Arial" w:hAnsi="Arial"/>
          <w:sz w:val="16"/>
          <w:szCs w:val="16"/>
          <w:i w:val="1"/>
          <w:iCs w:val="1"/>
          <w:color w:val="auto"/>
        </w:rPr>
        <w:t>Sedco Express</w:t>
      </w:r>
      <w:r>
        <w:rPr>
          <w:rFonts w:ascii="Arial" w:cs="Arial" w:eastAsia="Arial" w:hAnsi="Arial"/>
          <w:sz w:val="16"/>
          <w:szCs w:val="16"/>
          <w:color w:val="auto"/>
        </w:rPr>
        <w:t xml:space="preserve"> and the drillships </w:t>
      </w:r>
      <w:r>
        <w:rPr>
          <w:rFonts w:ascii="Arial" w:cs="Arial" w:eastAsia="Arial" w:hAnsi="Arial"/>
          <w:sz w:val="16"/>
          <w:szCs w:val="16"/>
          <w:i w:val="1"/>
          <w:iCs w:val="1"/>
          <w:color w:val="auto"/>
        </w:rPr>
        <w:t>Deepwater Discovery</w:t>
      </w:r>
      <w:r>
        <w:rPr>
          <w:rFonts w:ascii="Arial" w:cs="Arial" w:eastAsia="Arial" w:hAnsi="Arial"/>
          <w:sz w:val="16"/>
          <w:szCs w:val="16"/>
          <w:color w:val="auto"/>
        </w:rPr>
        <w:t xml:space="preserve">, </w:t>
      </w:r>
      <w:r>
        <w:rPr>
          <w:rFonts w:ascii="Arial" w:cs="Arial" w:eastAsia="Arial" w:hAnsi="Arial"/>
          <w:sz w:val="16"/>
          <w:szCs w:val="16"/>
          <w:i w:val="1"/>
          <w:iCs w:val="1"/>
          <w:color w:val="auto"/>
        </w:rPr>
        <w:t>Deepwater Expedition</w:t>
      </w:r>
      <w:r>
        <w:rPr>
          <w:rFonts w:ascii="Arial" w:cs="Arial" w:eastAsia="Arial" w:hAnsi="Arial"/>
          <w:sz w:val="16"/>
          <w:szCs w:val="16"/>
          <w:color w:val="auto"/>
        </w:rPr>
        <w:t xml:space="preserve">, </w:t>
      </w:r>
      <w:r>
        <w:rPr>
          <w:rFonts w:ascii="Arial" w:cs="Arial" w:eastAsia="Arial" w:hAnsi="Arial"/>
          <w:sz w:val="16"/>
          <w:szCs w:val="16"/>
          <w:i w:val="1"/>
          <w:iCs w:val="1"/>
          <w:color w:val="auto"/>
        </w:rPr>
        <w:t>Deepwater Frontier</w:t>
      </w:r>
      <w:r>
        <w:rPr>
          <w:rFonts w:ascii="Arial" w:cs="Arial" w:eastAsia="Arial" w:hAnsi="Arial"/>
          <w:sz w:val="16"/>
          <w:szCs w:val="16"/>
          <w:color w:val="auto"/>
        </w:rPr>
        <w:t xml:space="preserve">, </w:t>
      </w:r>
      <w:r>
        <w:rPr>
          <w:rFonts w:ascii="Arial" w:cs="Arial" w:eastAsia="Arial" w:hAnsi="Arial"/>
          <w:sz w:val="16"/>
          <w:szCs w:val="16"/>
          <w:i w:val="1"/>
          <w:iCs w:val="1"/>
          <w:color w:val="auto"/>
        </w:rPr>
        <w:t>Deepwater Millennium</w:t>
      </w:r>
      <w:r>
        <w:rPr>
          <w:rFonts w:ascii="Arial" w:cs="Arial" w:eastAsia="Arial" w:hAnsi="Arial"/>
          <w:sz w:val="16"/>
          <w:szCs w:val="16"/>
          <w:color w:val="auto"/>
        </w:rPr>
        <w:t xml:space="preserve">, </w:t>
      </w:r>
      <w:r>
        <w:rPr>
          <w:rFonts w:ascii="Arial" w:cs="Arial" w:eastAsia="Arial" w:hAnsi="Arial"/>
          <w:sz w:val="16"/>
          <w:szCs w:val="16"/>
          <w:i w:val="1"/>
          <w:iCs w:val="1"/>
          <w:color w:val="auto"/>
        </w:rPr>
        <w:t>Deepwater Pathfinder</w:t>
      </w:r>
      <w:r>
        <w:rPr>
          <w:rFonts w:ascii="Arial" w:cs="Arial" w:eastAsia="Arial" w:hAnsi="Arial"/>
          <w:sz w:val="16"/>
          <w:szCs w:val="16"/>
          <w:color w:val="auto"/>
        </w:rPr>
        <w:t xml:space="preserve">, </w:t>
      </w:r>
      <w:r>
        <w:rPr>
          <w:rFonts w:ascii="Arial" w:cs="Arial" w:eastAsia="Arial" w:hAnsi="Arial"/>
          <w:sz w:val="16"/>
          <w:szCs w:val="16"/>
          <w:i w:val="1"/>
          <w:iCs w:val="1"/>
          <w:color w:val="auto"/>
        </w:rPr>
        <w:t>Discoverer Deep Seas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Discoverer Enterprise </w:t>
      </w:r>
      <w:r>
        <w:rPr>
          <w:rFonts w:ascii="Arial" w:cs="Arial" w:eastAsia="Arial" w:hAnsi="Arial"/>
          <w:sz w:val="16"/>
          <w:szCs w:val="16"/>
          <w:color w:val="auto"/>
        </w:rPr>
        <w:t>and</w:t>
      </w:r>
      <w:r>
        <w:rPr>
          <w:rFonts w:ascii="Arial" w:cs="Arial" w:eastAsia="Arial" w:hAnsi="Arial"/>
          <w:sz w:val="16"/>
          <w:szCs w:val="16"/>
          <w:i w:val="1"/>
          <w:iCs w:val="1"/>
          <w:color w:val="auto"/>
        </w:rPr>
        <w:t xml:space="preserve"> Discoverer Spirit</w:t>
      </w:r>
      <w:r>
        <w:rPr>
          <w:rFonts w:ascii="Arial" w:cs="Arial" w:eastAsia="Arial" w:hAnsi="Arial"/>
          <w:sz w:val="16"/>
          <w:szCs w:val="16"/>
          <w:color w:val="auto"/>
        </w:rPr>
        <w:t>. These rigs were built in the last construction cycle (approximately 1996-2001) and have high-pressure mud pumps</w:t>
      </w:r>
      <w:r>
        <w:rPr>
          <w:rFonts w:ascii="Arial" w:cs="Arial" w:eastAsia="Arial" w:hAnsi="Arial"/>
          <w:sz w:val="16"/>
          <w:szCs w:val="16"/>
          <w:i w:val="1"/>
          <w:iCs w:val="1"/>
          <w:color w:val="auto"/>
        </w:rPr>
        <w:t xml:space="preserve"> </w:t>
      </w:r>
      <w:r>
        <w:rPr>
          <w:rFonts w:ascii="Arial" w:cs="Arial" w:eastAsia="Arial" w:hAnsi="Arial"/>
          <w:sz w:val="16"/>
          <w:szCs w:val="16"/>
          <w:color w:val="auto"/>
        </w:rPr>
        <w:t>and a water depth capability of 7,500 feet or greater. The Other Deepwater Floaters are generally those other semisubmersible rigs and drillships that have a water depth capacity of at least 4,500 feet. The Other High-Specification Floaters, built as fourth-generation rigs in the mid to late 1980’s, are capable of drilling in harsh environments and have greater displacement than previously constructed rigs resulting in larger variable load capacity, more useable deck space and better motion characteristics. The Other Floaters category is generally comprised of those non-high-specification floaters with a water depth capacity of less than 4,500 feet. The Jackups category consists of our jackup fleet, and the Other Rigs category consists of other rigs that are of a different type or use. These categories reflect how we view, and how we believe our investors and the industry generally view, our fleet, and reflect our strategic focus on the ownership and operation of premium high-specification floating rigs and jackups.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Events</w:t>
      </w:r>
    </w:p>
    <w:p>
      <w:pPr>
        <w:spacing w:after="0" w:line="276"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i w:val="1"/>
          <w:iCs w:val="1"/>
          <w:color w:val="auto"/>
        </w:rPr>
        <w:t>Asset Acquisition</w:t>
      </w:r>
      <w:r>
        <w:rPr>
          <w:rFonts w:ascii="Arial" w:cs="Arial" w:eastAsia="Arial" w:hAnsi="Arial"/>
          <w:sz w:val="17"/>
          <w:szCs w:val="17"/>
          <w:color w:val="auto"/>
        </w:rPr>
        <w:t>—In May 2005, we purchased the semisubmersible rig</w:t>
      </w:r>
      <w:r>
        <w:rPr>
          <w:rFonts w:ascii="Arial" w:cs="Arial" w:eastAsia="Arial" w:hAnsi="Arial"/>
          <w:sz w:val="17"/>
          <w:szCs w:val="17"/>
          <w:i w:val="1"/>
          <w:iCs w:val="1"/>
          <w:color w:val="auto"/>
        </w:rPr>
        <w:t xml:space="preserve"> M. G. Hulme, Jr</w:t>
      </w:r>
      <w:r>
        <w:rPr>
          <w:rFonts w:ascii="Arial" w:cs="Arial" w:eastAsia="Arial" w:hAnsi="Arial"/>
          <w:sz w:val="17"/>
          <w:szCs w:val="17"/>
          <w:color w:val="auto"/>
        </w:rPr>
        <w:t>., which we had previously operated under a lease</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See “—Off-Balance Sheet Arrangement.”</w:t>
      </w:r>
    </w:p>
    <w:p>
      <w:pPr>
        <w:spacing w:after="0" w:line="211"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i w:val="1"/>
          <w:iCs w:val="1"/>
          <w:color w:val="auto"/>
        </w:rPr>
        <w:t>Asset Dispositions</w:t>
      </w:r>
      <w:r>
        <w:rPr>
          <w:rFonts w:ascii="Arial" w:cs="Arial" w:eastAsia="Arial" w:hAnsi="Arial"/>
          <w:sz w:val="17"/>
          <w:szCs w:val="17"/>
          <w:color w:val="auto"/>
        </w:rPr>
        <w:t>—In January 2005, we completed the sale of the semisubmersible rig</w:t>
      </w:r>
      <w:r>
        <w:rPr>
          <w:rFonts w:ascii="Arial" w:cs="Arial" w:eastAsia="Arial" w:hAnsi="Arial"/>
          <w:sz w:val="17"/>
          <w:szCs w:val="17"/>
          <w:i w:val="1"/>
          <w:iCs w:val="1"/>
          <w:color w:val="auto"/>
        </w:rPr>
        <w:t xml:space="preserve"> Sedco 600 </w:t>
      </w:r>
      <w:r>
        <w:rPr>
          <w:rFonts w:ascii="Arial" w:cs="Arial" w:eastAsia="Arial" w:hAnsi="Arial"/>
          <w:sz w:val="17"/>
          <w:szCs w:val="17"/>
          <w:color w:val="auto"/>
        </w:rPr>
        <w:t>for net proceeds of $24.9 million and recognized a gain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 the sale of $18.8 million. In June 2005, we sold the jackup rig </w:t>
      </w:r>
      <w:r>
        <w:rPr>
          <w:rFonts w:ascii="Arial" w:cs="Arial" w:eastAsia="Arial" w:hAnsi="Arial"/>
          <w:sz w:val="17"/>
          <w:szCs w:val="17"/>
          <w:i w:val="1"/>
          <w:iCs w:val="1"/>
          <w:color w:val="auto"/>
        </w:rPr>
        <w:t>Transocean Jupiter</w:t>
      </w:r>
      <w:r>
        <w:rPr>
          <w:rFonts w:ascii="Arial" w:cs="Arial" w:eastAsia="Arial" w:hAnsi="Arial"/>
          <w:sz w:val="17"/>
          <w:szCs w:val="17"/>
          <w:color w:val="auto"/>
        </w:rPr>
        <w:t xml:space="preserve"> and a land rig for net proceeds of $23.5 million and recognized a gain on the sale of $14.0 million in the second quarter of 2005.</w:t>
      </w:r>
    </w:p>
    <w:p>
      <w:pPr>
        <w:spacing w:after="0" w:line="225"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i w:val="1"/>
          <w:iCs w:val="1"/>
          <w:color w:val="auto"/>
        </w:rPr>
        <w:t>Debt Redemption</w:t>
      </w:r>
      <w:r>
        <w:rPr>
          <w:rFonts w:ascii="Arial" w:cs="Arial" w:eastAsia="Arial" w:hAnsi="Arial"/>
          <w:sz w:val="17"/>
          <w:szCs w:val="17"/>
          <w:color w:val="auto"/>
        </w:rPr>
        <w:t>—In March 2005, we redeemed our $247.8 million aggregate principal amount outstanding 6.95% Senior Notes due April 2008 at the</w:t>
      </w:r>
      <w:r>
        <w:rPr>
          <w:rFonts w:ascii="Arial" w:cs="Arial" w:eastAsia="Arial" w:hAnsi="Arial"/>
          <w:sz w:val="17"/>
          <w:szCs w:val="17"/>
          <w:i w:val="1"/>
          <w:iCs w:val="1"/>
          <w:color w:val="auto"/>
        </w:rPr>
        <w:t xml:space="preserve"> </w:t>
      </w:r>
      <w:r>
        <w:rPr>
          <w:rFonts w:ascii="Arial" w:cs="Arial" w:eastAsia="Arial" w:hAnsi="Arial"/>
          <w:sz w:val="17"/>
          <w:szCs w:val="17"/>
          <w:color w:val="auto"/>
        </w:rPr>
        <w:t>make-whole premium price provided in the indenture. We redeemed these notes at 108.259 percent of face value or $268.2 million, plus accrued and unpaid interest. In the first quarter of 2005, we recognized a loss on the redemption of debt of $6.7 million, which reflected adjustments for fair value of the debt at the date of the merger (“R&amp;B Falcon merger”) with R&amp;B Falcon Corporation (“R&amp;B Falcon”) and the unamortized fair value adjustment on a previously terminated interest rate swap. We funded the redemption with existing cash balances.</w:t>
      </w:r>
    </w:p>
    <w:p>
      <w:pPr>
        <w:spacing w:after="0" w:line="233" w:lineRule="exact"/>
        <w:rPr>
          <w:sz w:val="20"/>
          <w:szCs w:val="20"/>
          <w:color w:val="auto"/>
        </w:rPr>
      </w:pPr>
    </w:p>
    <w:p>
      <w:pPr>
        <w:jc w:val="both"/>
        <w:ind w:firstLine="628"/>
        <w:spacing w:after="0" w:line="297" w:lineRule="auto"/>
        <w:rPr>
          <w:sz w:val="20"/>
          <w:szCs w:val="20"/>
          <w:color w:val="auto"/>
        </w:rPr>
      </w:pPr>
      <w:r>
        <w:rPr>
          <w:rFonts w:ascii="Arial" w:cs="Arial" w:eastAsia="Arial" w:hAnsi="Arial"/>
          <w:sz w:val="16"/>
          <w:szCs w:val="16"/>
          <w:i w:val="1"/>
          <w:iCs w:val="1"/>
          <w:color w:val="auto"/>
        </w:rPr>
        <w:t>Revolving Credit Agreement</w:t>
      </w:r>
      <w:r>
        <w:rPr>
          <w:rFonts w:ascii="Arial" w:cs="Arial" w:eastAsia="Arial" w:hAnsi="Arial"/>
          <w:sz w:val="16"/>
          <w:szCs w:val="16"/>
          <w:color w:val="auto"/>
        </w:rPr>
        <w:t>—In July 2005, we entered into a $500.0 million, five-year revolving credit agreement dated July 8, 2005 (the “Revolving</w:t>
      </w:r>
      <w:r>
        <w:rPr>
          <w:rFonts w:ascii="Arial" w:cs="Arial" w:eastAsia="Arial" w:hAnsi="Arial"/>
          <w:sz w:val="16"/>
          <w:szCs w:val="16"/>
          <w:i w:val="1"/>
          <w:iCs w:val="1"/>
          <w:color w:val="auto"/>
        </w:rPr>
        <w:t xml:space="preserve"> </w:t>
      </w:r>
      <w:r>
        <w:rPr>
          <w:rFonts w:ascii="Arial" w:cs="Arial" w:eastAsia="Arial" w:hAnsi="Arial"/>
          <w:sz w:val="16"/>
          <w:szCs w:val="16"/>
          <w:color w:val="auto"/>
        </w:rPr>
        <w:t>Credit Agreement”). In conjunction with the activation of this facility, we terminated our $800.0 million five-year revolving credit agreement dated December 16, 2003 and we expect to recognize a loss on the termination of this agreement of approximately $0.8 million in the third quarter of 2005.</w:t>
      </w:r>
    </w:p>
    <w:p>
      <w:pPr>
        <w:spacing w:after="0" w:line="206"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i w:val="1"/>
          <w:iCs w:val="1"/>
          <w:color w:val="auto"/>
        </w:rPr>
        <w:t>Tender Offer—</w:t>
      </w:r>
      <w:r>
        <w:rPr>
          <w:rFonts w:ascii="Arial" w:cs="Arial" w:eastAsia="Arial" w:hAnsi="Arial"/>
          <w:sz w:val="17"/>
          <w:szCs w:val="17"/>
          <w:color w:val="auto"/>
        </w:rPr>
        <w:t>In July 2005, we acquired, pursuant to a tender offer, a total of $534.4 million, or approximately 76.3 percent of the aggregate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our 6.625% Notes due April 2011 at 110.578 percent of face value, or $590.9 million, plus accrued and unpaid interest. We expect to recognize a gain on the repurchase of $0.3 million in the third quarter of 2005. We funded the repurchase with existing cash balances.</w:t>
      </w:r>
    </w:p>
    <w:p>
      <w:pPr>
        <w:spacing w:after="0" w:line="225"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6"/>
          <w:szCs w:val="16"/>
          <w:i w:val="1"/>
          <w:iCs w:val="1"/>
          <w:color w:val="auto"/>
        </w:rPr>
        <w:t>TODCO</w:t>
      </w:r>
      <w:r>
        <w:rPr>
          <w:rFonts w:ascii="Arial" w:cs="Arial" w:eastAsia="Arial" w:hAnsi="Arial"/>
          <w:sz w:val="16"/>
          <w:szCs w:val="16"/>
          <w:color w:val="auto"/>
        </w:rPr>
        <w:t>—We sold 12.0 million shares of TODCO’s class A common stock representing 20 percent of TODCO’s total outstanding shares at $20.50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in the May Offering. We sold our remaining 1.3 million shares of TODCO’s class A common stock representing 2 percent of TODCO’s total outstanding shares at $23.57 in the June Sale pursuant to Rule 144 under the Securities Act of 1933, as amended. As a result of the May Offering, we accounted for our remaining investment using the cost method of accounting. As a result of the June Sale, we no longer own any shares of TODCO’s common stock. In the second quarter of 2005, we received net proceeds of $271.9 million from the 2005 Offering and Sale and recognized a gain of $165.0 million, which had no tax effect and represented the excess of net proceeds received over the net book value of the shares sold in the 2005 Offering and Sale. We refer collectively to the 2005 Offering and Sale and the public offerings of TODCO Class A common stock in 2004 as the “TODCO Stock Sales.”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281"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i w:val="1"/>
          <w:iCs w:val="1"/>
          <w:color w:val="auto"/>
        </w:rPr>
        <w:t>Drilling Market</w:t>
      </w:r>
      <w:r>
        <w:rPr>
          <w:rFonts w:ascii="Arial" w:cs="Arial" w:eastAsia="Arial" w:hAnsi="Arial"/>
          <w:sz w:val="17"/>
          <w:szCs w:val="17"/>
          <w:color w:val="auto"/>
        </w:rPr>
        <w:t>—Oil prices remain strong, and we expect prices to remain high in the near future. Future price expectations have historically been a key</w:t>
      </w:r>
      <w:r>
        <w:rPr>
          <w:rFonts w:ascii="Arial" w:cs="Arial" w:eastAsia="Arial" w:hAnsi="Arial"/>
          <w:sz w:val="17"/>
          <w:szCs w:val="17"/>
          <w:i w:val="1"/>
          <w:iCs w:val="1"/>
          <w:color w:val="auto"/>
        </w:rPr>
        <w:t xml:space="preserve"> </w:t>
      </w:r>
      <w:r>
        <w:rPr>
          <w:rFonts w:ascii="Arial" w:cs="Arial" w:eastAsia="Arial" w:hAnsi="Arial"/>
          <w:sz w:val="17"/>
          <w:szCs w:val="17"/>
          <w:color w:val="auto"/>
        </w:rPr>
        <w:t>driver for offshore drilling demand. However, the availability of quality drilling prospects, exploration success, relative production costs, the stage of reservoir development and political and regulatory environments also affect our customers’ drilling programs.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24" w:lineRule="exact"/>
        <w:rPr>
          <w:sz w:val="20"/>
          <w:szCs w:val="20"/>
          <w:color w:val="auto"/>
        </w:rPr>
      </w:pPr>
    </w:p>
    <w:p>
      <w:pPr>
        <w:jc w:val="both"/>
        <w:ind w:firstLine="628"/>
        <w:spacing w:after="0" w:line="278" w:lineRule="auto"/>
        <w:rPr>
          <w:sz w:val="20"/>
          <w:szCs w:val="20"/>
          <w:color w:val="auto"/>
        </w:rPr>
      </w:pPr>
      <w:r>
        <w:rPr>
          <w:rFonts w:ascii="Arial" w:cs="Arial" w:eastAsia="Arial" w:hAnsi="Arial"/>
          <w:sz w:val="16"/>
          <w:szCs w:val="16"/>
          <w:color w:val="auto"/>
        </w:rPr>
        <w:t xml:space="preserve">Prospects for our 32 High-Specification Floaters have improved substantially, with new and expected contracts resulting in a tight supply among this fleet during 2005. We have signed a number of new contracts or extensions for our High-Specification Floaters that reflect the increased activity in this sector. We entered into contract extensions for a five year program for the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a 340 day program for the </w:t>
      </w:r>
      <w:r>
        <w:rPr>
          <w:rFonts w:ascii="Arial" w:cs="Arial" w:eastAsia="Arial" w:hAnsi="Arial"/>
          <w:sz w:val="16"/>
          <w:szCs w:val="16"/>
          <w:i w:val="1"/>
          <w:iCs w:val="1"/>
          <w:color w:val="auto"/>
        </w:rPr>
        <w:t>Transocean Marianas</w:t>
      </w:r>
      <w:r>
        <w:rPr>
          <w:rFonts w:ascii="Arial" w:cs="Arial" w:eastAsia="Arial" w:hAnsi="Arial"/>
          <w:sz w:val="16"/>
          <w:szCs w:val="16"/>
          <w:color w:val="auto"/>
        </w:rPr>
        <w:t xml:space="preserve"> and a two year program for the </w:t>
      </w:r>
      <w:r>
        <w:rPr>
          <w:rFonts w:ascii="Arial" w:cs="Arial" w:eastAsia="Arial" w:hAnsi="Arial"/>
          <w:sz w:val="16"/>
          <w:szCs w:val="16"/>
          <w:i w:val="1"/>
          <w:iCs w:val="1"/>
          <w:color w:val="auto"/>
        </w:rPr>
        <w:t>Deepwater Millennium</w:t>
      </w:r>
      <w:r>
        <w:rPr>
          <w:rFonts w:ascii="Arial" w:cs="Arial" w:eastAsia="Arial" w:hAnsi="Arial"/>
          <w:sz w:val="16"/>
          <w:szCs w:val="16"/>
          <w:color w:val="auto"/>
        </w:rPr>
        <w:t xml:space="preserve">. We were also awarded two year contracts for both the </w:t>
      </w:r>
      <w:r>
        <w:rPr>
          <w:rFonts w:ascii="Arial" w:cs="Arial" w:eastAsia="Arial" w:hAnsi="Arial"/>
          <w:sz w:val="16"/>
          <w:szCs w:val="16"/>
          <w:i w:val="1"/>
          <w:iCs w:val="1"/>
          <w:color w:val="auto"/>
        </w:rPr>
        <w:t>Deepwater Discovery</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Deepwater Frontier</w:t>
      </w:r>
      <w:r>
        <w:rPr>
          <w:rFonts w:ascii="Arial" w:cs="Arial" w:eastAsia="Arial" w:hAnsi="Arial"/>
          <w:sz w:val="16"/>
          <w:szCs w:val="16"/>
          <w:color w:val="auto"/>
        </w:rPr>
        <w:t xml:space="preserve">, a four month contract for the </w:t>
      </w:r>
      <w:r>
        <w:rPr>
          <w:rFonts w:ascii="Arial" w:cs="Arial" w:eastAsia="Arial" w:hAnsi="Arial"/>
          <w:sz w:val="16"/>
          <w:szCs w:val="16"/>
          <w:i w:val="1"/>
          <w:iCs w:val="1"/>
          <w:color w:val="auto"/>
        </w:rPr>
        <w:t xml:space="preserve">Deepwater Expedition </w:t>
      </w:r>
      <w:r>
        <w:rPr>
          <w:rFonts w:ascii="Arial" w:cs="Arial" w:eastAsia="Arial" w:hAnsi="Arial"/>
          <w:sz w:val="16"/>
          <w:szCs w:val="16"/>
          <w:color w:val="auto"/>
        </w:rPr>
        <w:t>and a number of short-term contracts for the</w:t>
      </w:r>
      <w:r>
        <w:rPr>
          <w:rFonts w:ascii="Arial" w:cs="Arial" w:eastAsia="Arial" w:hAnsi="Arial"/>
          <w:sz w:val="16"/>
          <w:szCs w:val="16"/>
          <w:i w:val="1"/>
          <w:iCs w:val="1"/>
          <w:color w:val="auto"/>
        </w:rPr>
        <w:t xml:space="preserve"> Sedco 709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Deepwater Discovery</w:t>
      </w:r>
      <w:r>
        <w:rPr>
          <w:rFonts w:ascii="Arial" w:cs="Arial" w:eastAsia="Arial" w:hAnsi="Arial"/>
          <w:sz w:val="16"/>
          <w:szCs w:val="16"/>
          <w:color w:val="auto"/>
        </w:rPr>
        <w:t>. In addition, Petrobras’ board of directors approved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award of contracts for the </w:t>
      </w:r>
      <w:r>
        <w:rPr>
          <w:rFonts w:ascii="Arial" w:cs="Arial" w:eastAsia="Arial" w:hAnsi="Arial"/>
          <w:sz w:val="16"/>
          <w:szCs w:val="16"/>
          <w:i w:val="1"/>
          <w:iCs w:val="1"/>
          <w:color w:val="auto"/>
        </w:rPr>
        <w:t>Deepwater Navigator</w:t>
      </w:r>
      <w:r>
        <w:rPr>
          <w:rFonts w:ascii="Arial" w:cs="Arial" w:eastAsia="Arial" w:hAnsi="Arial"/>
          <w:sz w:val="16"/>
          <w:szCs w:val="16"/>
          <w:color w:val="auto"/>
        </w:rPr>
        <w:t xml:space="preserve">, </w:t>
      </w:r>
      <w:r>
        <w:rPr>
          <w:rFonts w:ascii="Arial" w:cs="Arial" w:eastAsia="Arial" w:hAnsi="Arial"/>
          <w:sz w:val="16"/>
          <w:szCs w:val="16"/>
          <w:i w:val="1"/>
          <w:iCs w:val="1"/>
          <w:color w:val="auto"/>
        </w:rPr>
        <w:t>Sedco 707</w:t>
      </w:r>
      <w:r>
        <w:rPr>
          <w:rFonts w:ascii="Arial" w:cs="Arial" w:eastAsia="Arial" w:hAnsi="Arial"/>
          <w:sz w:val="16"/>
          <w:szCs w:val="16"/>
          <w:color w:val="auto"/>
        </w:rPr>
        <w:t xml:space="preserve">, </w:t>
      </w:r>
      <w:r>
        <w:rPr>
          <w:rFonts w:ascii="Arial" w:cs="Arial" w:eastAsia="Arial" w:hAnsi="Arial"/>
          <w:sz w:val="16"/>
          <w:szCs w:val="16"/>
          <w:i w:val="1"/>
          <w:iCs w:val="1"/>
          <w:color w:val="auto"/>
        </w:rPr>
        <w:t>Sedco 710</w:t>
      </w:r>
      <w:r>
        <w:rPr>
          <w:rFonts w:ascii="Arial" w:cs="Arial" w:eastAsia="Arial" w:hAnsi="Arial"/>
          <w:sz w:val="16"/>
          <w:szCs w:val="16"/>
          <w:color w:val="auto"/>
        </w:rPr>
        <w:t xml:space="preserve">, </w:t>
      </w:r>
      <w:r>
        <w:rPr>
          <w:rFonts w:ascii="Arial" w:cs="Arial" w:eastAsia="Arial" w:hAnsi="Arial"/>
          <w:sz w:val="16"/>
          <w:szCs w:val="16"/>
          <w:i w:val="1"/>
          <w:iCs w:val="1"/>
          <w:color w:val="auto"/>
        </w:rPr>
        <w:t>Transocean Driller</w:t>
      </w:r>
      <w:r>
        <w:rPr>
          <w:rFonts w:ascii="Arial" w:cs="Arial" w:eastAsia="Arial" w:hAnsi="Arial"/>
          <w:sz w:val="16"/>
          <w:szCs w:val="16"/>
          <w:color w:val="auto"/>
        </w:rPr>
        <w:t xml:space="preserve"> and </w:t>
      </w:r>
      <w:r>
        <w:rPr>
          <w:rFonts w:ascii="Arial" w:cs="Arial" w:eastAsia="Arial" w:hAnsi="Arial"/>
          <w:sz w:val="16"/>
          <w:szCs w:val="16"/>
          <w:i w:val="1"/>
          <w:iCs w:val="1"/>
          <w:color w:val="auto"/>
        </w:rPr>
        <w:t>Peregrine I</w:t>
      </w:r>
      <w:r>
        <w:rPr>
          <w:rFonts w:ascii="Arial" w:cs="Arial" w:eastAsia="Arial" w:hAnsi="Arial"/>
          <w:sz w:val="16"/>
          <w:szCs w:val="16"/>
          <w:color w:val="auto"/>
        </w:rPr>
        <w:t xml:space="preserve"> for a combined total of 19 rig years, although the drilling contracts have not yet been executed. We continue to believe that, over the long term, deepwater exploration and development drilling opportunities in the Gulf of Mexico, West Africa, India and other market sectors represent a significant source of future deepwater rig demand. We continue to see a strong customer preference for using fifth-generation equipment in these deepwater areas, which we believe has led to a near-term shortage of these highest specification rigs. At August 2, 2005, 63 percent of our High-Specification Floater fleet days are contracted in 2006.</w:t>
      </w:r>
    </w:p>
    <w:p>
      <w:pPr>
        <w:spacing w:after="0" w:line="223" w:lineRule="exact"/>
        <w:rPr>
          <w:sz w:val="20"/>
          <w:szCs w:val="20"/>
          <w:color w:val="auto"/>
        </w:rPr>
      </w:pPr>
    </w:p>
    <w:p>
      <w:pPr>
        <w:jc w:val="both"/>
        <w:ind w:firstLine="628"/>
        <w:spacing w:after="0" w:line="285" w:lineRule="auto"/>
        <w:rPr>
          <w:sz w:val="20"/>
          <w:szCs w:val="20"/>
          <w:color w:val="auto"/>
        </w:rPr>
      </w:pPr>
      <w:r>
        <w:rPr>
          <w:rFonts w:ascii="Arial" w:cs="Arial" w:eastAsia="Arial" w:hAnsi="Arial"/>
          <w:sz w:val="16"/>
          <w:szCs w:val="16"/>
          <w:color w:val="auto"/>
        </w:rPr>
        <w:t>Our Other Floaters fleet, comprised of 23 semisubmersible rigs and one drillship, continues to benefit from improving activity levels in all regions. In the U.K. sector of the North Sea, five of our semisubmersible rigs have been recently contracted for durations of six months to 12 months and at dayrates ranging from $140,000 to $200,000. Customer activity levels outside of the U.K. sector of the North Sea are expected to be stable to higher through 2006. We continue to evaluate contract opportunities that could result in the reactivation of up to three of our idle rigs. Should a decision be made to reactivate any of the idle units, they are not expected to be operational before 2006. At August 2, 2005, approximately 47% of our Other Floater fleet days are contracted in 2006.</w:t>
      </w:r>
    </w:p>
    <w:p>
      <w:pPr>
        <w:spacing w:after="0" w:line="216" w:lineRule="exact"/>
        <w:rPr>
          <w:sz w:val="20"/>
          <w:szCs w:val="20"/>
          <w:color w:val="auto"/>
        </w:rPr>
      </w:pPr>
    </w:p>
    <w:p>
      <w:pPr>
        <w:jc w:val="both"/>
        <w:ind w:firstLine="628"/>
        <w:spacing w:after="0" w:line="297" w:lineRule="auto"/>
        <w:rPr>
          <w:sz w:val="20"/>
          <w:szCs w:val="20"/>
          <w:color w:val="auto"/>
        </w:rPr>
      </w:pPr>
      <w:r>
        <w:rPr>
          <w:rFonts w:ascii="Arial" w:cs="Arial" w:eastAsia="Arial" w:hAnsi="Arial"/>
          <w:sz w:val="16"/>
          <w:szCs w:val="16"/>
          <w:color w:val="auto"/>
        </w:rPr>
        <w:t>The outlook for activity for the jackup market sector continues to remain strong, particularly in South East Asia, India and West Africa. We expect to remain at or near full utilization for our Jackup fleet in the near term. However, we continue to monitor the potential effect of newbuild jackups, the majority of which are scheduled for delivery beginning in late 2006 and into 2007. At August 2, 2005, 50 percent of the Jackup fleet days are contracted in 2006.</w:t>
      </w:r>
    </w:p>
    <w:p>
      <w:pPr>
        <w:spacing w:after="0" w:line="206"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The increase in demand, particularly in our High-Specification Floater fleet, has produced a significant increase in our revenue backlog in 2005. This increase is driven by both increased dayrates and a number of long-term contracts we have been able to secure.</w:t>
      </w:r>
    </w:p>
    <w:p>
      <w:pPr>
        <w:spacing w:after="0" w:line="211"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 xml:space="preserve">We expect downtime during the third quarter of 2005 to result from planned shipyard projects and/or mobilizations for the </w:t>
      </w:r>
      <w:r>
        <w:rPr>
          <w:rFonts w:ascii="Arial" w:cs="Arial" w:eastAsia="Arial" w:hAnsi="Arial"/>
          <w:sz w:val="17"/>
          <w:szCs w:val="17"/>
          <w:i w:val="1"/>
          <w:iCs w:val="1"/>
          <w:color w:val="auto"/>
        </w:rPr>
        <w:t>Sedco Energy</w:t>
      </w:r>
      <w:r>
        <w:rPr>
          <w:rFonts w:ascii="Arial" w:cs="Arial" w:eastAsia="Arial" w:hAnsi="Arial"/>
          <w:sz w:val="17"/>
          <w:szCs w:val="17"/>
          <w:color w:val="auto"/>
        </w:rPr>
        <w:t xml:space="preserve"> and </w:t>
      </w:r>
      <w:r>
        <w:rPr>
          <w:rFonts w:ascii="Arial" w:cs="Arial" w:eastAsia="Arial" w:hAnsi="Arial"/>
          <w:sz w:val="17"/>
          <w:szCs w:val="17"/>
          <w:i w:val="1"/>
          <w:iCs w:val="1"/>
          <w:color w:val="auto"/>
        </w:rPr>
        <w:t>Deepwater</w:t>
      </w:r>
      <w:r>
        <w:rPr>
          <w:rFonts w:ascii="Arial" w:cs="Arial" w:eastAsia="Arial" w:hAnsi="Arial"/>
          <w:sz w:val="17"/>
          <w:szCs w:val="17"/>
          <w:color w:val="auto"/>
        </w:rPr>
        <w:t xml:space="preserve"> </w:t>
      </w:r>
      <w:r>
        <w:rPr>
          <w:rFonts w:ascii="Arial" w:cs="Arial" w:eastAsia="Arial" w:hAnsi="Arial"/>
          <w:sz w:val="17"/>
          <w:szCs w:val="17"/>
          <w:i w:val="1"/>
          <w:iCs w:val="1"/>
          <w:color w:val="auto"/>
        </w:rPr>
        <w:t>Navigator</w:t>
      </w:r>
      <w:r>
        <w:rPr>
          <w:rFonts w:ascii="Arial" w:cs="Arial" w:eastAsia="Arial" w:hAnsi="Arial"/>
          <w:sz w:val="17"/>
          <w:szCs w:val="17"/>
          <w:color w:val="auto"/>
        </w:rPr>
        <w:t>. These rig mobilizations and shipyard projects are expected to have an impact on revenues and operating income. In addition, the increase in activity,</w:t>
      </w:r>
      <w:r>
        <w:rPr>
          <w:rFonts w:ascii="Arial" w:cs="Arial" w:eastAsia="Arial" w:hAnsi="Arial"/>
          <w:sz w:val="17"/>
          <w:szCs w:val="17"/>
          <w:i w:val="1"/>
          <w:iCs w:val="1"/>
          <w:color w:val="auto"/>
        </w:rPr>
        <w:t xml:space="preserve"> </w:t>
      </w:r>
      <w:r>
        <w:rPr>
          <w:rFonts w:ascii="Arial" w:cs="Arial" w:eastAsia="Arial" w:hAnsi="Arial"/>
          <w:sz w:val="17"/>
          <w:szCs w:val="17"/>
          <w:color w:val="auto"/>
        </w:rPr>
        <w:t>vendor price increases and rising labor costs are expected to increase operating and maintenance costs. The combination of these trends is expected to lead to a level of operating and maintenance costs in the third quarter that is slightly higher than the second quarter.</w:t>
      </w:r>
    </w:p>
    <w:p>
      <w:pPr>
        <w:spacing w:after="0" w:line="229"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We also expect that a number of pre-existing, fixed-price contract options will be exercised by our customers, which will preclude us from taking full advantage of increased market rates for those rigs subject to these contract options. We have 10 existing contracts with fixed-priced or capped options for dayrates that we believe are or could reasonably be less than current market dayrates.</w:t>
      </w:r>
    </w:p>
    <w:p>
      <w:pPr>
        <w:spacing w:after="0" w:line="225"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color w:val="auto"/>
        </w:rPr>
        <w:t>The offshore contract drilling market remains highly competitive and cyclical, and it has been historically difficult to forecast future market conditions. Declines in oil and/or gas prices and other risks may reduce rig demand and adversely affect utilization and dayrates. Major operator and national oil company capital budgets are key drivers of the overall business climate, and these may change within a fiscal year depending on exploration results and other factors. Additionally, increased competition for our customers’ drilling budgets could come from, among other areas, land-based energy markets in Africa, Russia, other former Soviet Union States, the Middle East and Alaska.</w:t>
      </w:r>
    </w:p>
    <w:p>
      <w:pPr>
        <w:spacing w:after="0" w:line="233"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Our operations are geographically dispersed in oil and gas exploration and development areas throughout the world. Rigs can be moved from one region to another, but the cost of moving a rig and the availability of rig-moving vessels may cause the supply and demand balance to vary somewhat between regions. However, significant variations between regions do not tend to persist long-term because of rig mobility. Consequently, we operate in a single, global offshore drilling market.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24"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As of August 2, 2005, approximately 77 percent of our total fleet days were committed for the remainder of 2005 and approximately 52 percent for the year 2006.</w:t>
      </w:r>
    </w:p>
    <w:p>
      <w:pPr>
        <w:spacing w:after="0" w:line="211"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i w:val="1"/>
          <w:iCs w:val="1"/>
          <w:color w:val="auto"/>
        </w:rPr>
        <w:t>Insurance</w:t>
      </w:r>
      <w:r>
        <w:rPr>
          <w:rFonts w:ascii="Arial" w:cs="Arial" w:eastAsia="Arial" w:hAnsi="Arial"/>
          <w:sz w:val="17"/>
          <w:szCs w:val="17"/>
          <w:color w:val="auto"/>
        </w:rPr>
        <w:t>—We have renewed our insurance policy for 12 months effective May 1, 2005, with terms similar to those under our prior policy.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maintained a per occurrence insurance deductible of $10 million on our hull and machinery and our protection and indemnity policies. We also have an additional aggregate deductible of $20 million that is applied to each hull and machinery occurrence until it has been exhausted over one or more occurrences. After the $20 million aggregate deductible is fully exhausted, the hull and machinery deductible reverts to $10 million per occurrence.</w:t>
      </w:r>
    </w:p>
    <w:p>
      <w:pPr>
        <w:spacing w:after="0" w:line="229"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i w:val="1"/>
          <w:iCs w:val="1"/>
          <w:color w:val="auto"/>
        </w:rPr>
        <w:t>Tax Matters</w:t>
      </w:r>
      <w:r>
        <w:rPr>
          <w:rFonts w:ascii="Arial" w:cs="Arial" w:eastAsia="Arial" w:hAnsi="Arial"/>
          <w:sz w:val="17"/>
          <w:szCs w:val="17"/>
          <w:color w:val="auto"/>
        </w:rPr>
        <w:t>—We are a Cayman Islands company registered in Barbados. We operate through our various subsidiaries in a number of countries throughout</w:t>
      </w:r>
      <w:r>
        <w:rPr>
          <w:rFonts w:ascii="Arial" w:cs="Arial" w:eastAsia="Arial" w:hAnsi="Arial"/>
          <w:sz w:val="17"/>
          <w:szCs w:val="17"/>
          <w:i w:val="1"/>
          <w:iCs w:val="1"/>
          <w:color w:val="auto"/>
        </w:rPr>
        <w:t xml:space="preserve"> </w:t>
      </w:r>
      <w:r>
        <w:rPr>
          <w:rFonts w:ascii="Arial" w:cs="Arial" w:eastAsia="Arial" w:hAnsi="Arial"/>
          <w:sz w:val="17"/>
          <w:szCs w:val="17"/>
          <w:color w:val="auto"/>
        </w:rPr>
        <w:t>the world. Consequently, we are subject to changes in tax laws, treaties and regulations in and between the countries in which we operate, including treaties that the U.S. has with other nations. A material change in these tax laws, treaties or regulations, including those in and involving the U.S., could result in a higher effective tax rate on our worldwide earnings.</w:t>
      </w:r>
    </w:p>
    <w:p>
      <w:pPr>
        <w:spacing w:after="0" w:line="229" w:lineRule="exact"/>
        <w:rPr>
          <w:sz w:val="20"/>
          <w:szCs w:val="20"/>
          <w:color w:val="auto"/>
        </w:rPr>
      </w:pPr>
    </w:p>
    <w:p>
      <w:pPr>
        <w:jc w:val="both"/>
        <w:ind w:firstLine="628"/>
        <w:spacing w:after="0" w:line="262" w:lineRule="auto"/>
        <w:rPr>
          <w:sz w:val="20"/>
          <w:szCs w:val="20"/>
          <w:color w:val="auto"/>
        </w:rPr>
      </w:pPr>
      <w:r>
        <w:rPr>
          <w:rFonts w:ascii="Arial" w:cs="Arial" w:eastAsia="Arial" w:hAnsi="Arial"/>
          <w:sz w:val="17"/>
          <w:szCs w:val="17"/>
          <w:color w:val="auto"/>
        </w:rPr>
        <w:t>Our income tax returns are subject to review and examination in the various jurisdictions in which we operate. In October 2004, we received from the U.S. Internal Revenue Service (“IRS”) examination reports setting forth proposed changes to the U.S. federal income tax reported for the period 1999-2000. The maximum amount of additional tax based on the proposed changes would be approximately $195 million, exclusive of interest. While we have agreed to certain non-material adjustments, we believe our returns are materially correct as filed and intend to defend ourselves vigorously. The IRS is currently auditing our 2002 and 2003 tax years. No examination report has been received at this time. While we cannot predict or provide assurance as to the final outcome, we do not expect the liability, if any, resulting from the proposed changes to have a material adverse effect on our consolidated financial position or results of operations although it may have such an effect on our consolidated cash flows.</w:t>
      </w:r>
    </w:p>
    <w:p>
      <w:pPr>
        <w:spacing w:after="0" w:line="233"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In September 2004, the Norwegian tax authorities initiated inquiries related to a restructuring transaction undertaken in 2001 and 2002 and a dividend payment made during 2001. In February 2005, we filed a response to these inquiries. In March 2005, pursuant to court orders, the Norwegian tax authorities took action to obtain additional information regarding these transactions. Based on these inquiries, we believe the Norwegian authorities are contemplating a tax assessment on the dividend of approximately $106 million, plus penalty and interest. No assessment has been made, and we believe such an assessment would be without merit. While we cannot predict or provide assurance as to the final outcome, we do not expect the liability, if any, resulting from the inquiry to have a material adverse effect on our consolidated financial position, results of operations and cash flows.</w:t>
      </w:r>
    </w:p>
    <w:p>
      <w:pPr>
        <w:spacing w:after="0" w:line="232"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In addition, other tax authorities have examined the amounts of income and expense subject to tax in their jurisdiction for prior periods. We are currently contesting various non-U.S. assessments that have been asserted and would expect to contest any future U.S. or non-U.S. assessments. We do not expect the liability, if any, resulting from existing or future assessments to have a material adverse effect on our current consolidated financial position, results of operations and cash flows. We cannot predict with certainty the outcome or effect of any of the tax assessments described herein. There can be no assurance that our beliefs or expectations as to the outcome or effect of any tax assessment we are contesting will prove correct and the eventual outcome of these matters could materially differ from management's current estimates.</w:t>
      </w:r>
    </w:p>
    <w:p>
      <w:pPr>
        <w:spacing w:after="0" w:line="232" w:lineRule="exact"/>
        <w:rPr>
          <w:sz w:val="20"/>
          <w:szCs w:val="20"/>
          <w:color w:val="auto"/>
        </w:rPr>
      </w:pPr>
    </w:p>
    <w:p>
      <w:pPr>
        <w:jc w:val="both"/>
        <w:ind w:firstLine="628"/>
        <w:spacing w:after="0" w:line="261" w:lineRule="auto"/>
        <w:rPr>
          <w:sz w:val="20"/>
          <w:szCs w:val="20"/>
          <w:color w:val="auto"/>
        </w:rPr>
      </w:pPr>
      <w:r>
        <w:rPr>
          <w:rFonts w:ascii="Arial" w:cs="Arial" w:eastAsia="Arial" w:hAnsi="Arial"/>
          <w:sz w:val="17"/>
          <w:szCs w:val="17"/>
          <w:color w:val="auto"/>
        </w:rPr>
        <w:t xml:space="preserve">As a result of the deconsolidation of TODCO from our other U.S. subsidiaries for U.S. federal income tax purposes in conjunction with the TODCO IPO, we established an initial valuation allowance in the first quarter of 2004 of approximately $31.0 million against the estimated deferred tax assets of TODCO in excess of its deferred tax liabilities, taking into account prudent and feasible tax planning strategies as required by the Financial Accounting Standards Board’s (“FASB”) Statement of Financial Accounting Standard (“SFAS”)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We adjusted the initial valuation allowance during 2004 to reflect changes in our estimate of the ultimate amount of TODCO’s deferred tax assets. An allocation of tax benefits between TODCO and our other U.S. subsidiaries will occur in 2005 upon the filing of our 2004 U.S. consolidated federal income tax return. This allocation is subject to potential revision upon subsequent IRS audit of our tax return. This final allocation of tax benefits could impact our effective tax rate for 2005 or future years as well as the ultimate amount of payments by TODCO under the tax sharing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24" w:lineRule="exact"/>
        <w:rPr>
          <w:sz w:val="20"/>
          <w:szCs w:val="20"/>
          <w:color w:val="auto"/>
        </w:rPr>
      </w:pPr>
    </w:p>
    <w:p>
      <w:pPr>
        <w:jc w:val="both"/>
        <w:ind w:firstLine="628"/>
        <w:spacing w:after="0" w:line="295" w:lineRule="auto"/>
        <w:rPr>
          <w:sz w:val="20"/>
          <w:szCs w:val="20"/>
          <w:color w:val="auto"/>
        </w:rPr>
      </w:pPr>
      <w:r>
        <w:rPr>
          <w:rFonts w:ascii="Arial" w:cs="Arial" w:eastAsia="Arial" w:hAnsi="Arial"/>
          <w:sz w:val="15"/>
          <w:szCs w:val="15"/>
          <w:color w:val="auto"/>
        </w:rPr>
        <w:t>Under the tax sharing agreement entered into between us and TODCO in connection with the TODCO IPO, we are entitled to receive from TODCO payment for most of the tax benefits generated prior to the TODCO IPO that TODCO utilizes subsequent to the TODCO IPO. As long as TODCO was our consolidated subsidiary, we followed the provisions of SFAS 109, which allowed us to evaluate the recoverability of the deferred tax assets associated with the tax sharing agreement considering the deferred tax liabilities of TODCO. We recorded a valuation allowance for the excess of these deferred tax assets over the deferred tax liabilities of TODCO, also taking into account prudent and feasible tax planning strategies as required by SFAS 109. Because we no longer have a majority ownership or voting interest in TODCO, we no longer include TODCO as a consolidated subsidiary in our financial statements and we are no longer able to apply the provisions of SFAS 109 in accounting for the utilization of these deferred tax assets. As a result, we recorded a non-cash charge of $167.1 million, which had no tax effect, in the fourth quarter of 2004 related to contingent amounts due from TODCO under the tax sharing agreement. In future years, as TODCO generates income and utilizes its pre-TODCO IPO tax assets, TODCO is required to pay us for the benefits received in accordance with the provisions of the tax sharing agreement. We will recognize those amounts as other income as those amounts are realized, which is based on when TODCO files its annual tax returns. We received $30.0 million in 2005, of which $18.2 million was received in the six months ended June 30, 2005, in estimated payments from TODCO related to TODCO’s expected utilization of such tax benefits for the 2004 and 2005 tax years. Of the $30.0 million received, $8.5 million and $21.5 million was received for the 2004 tax year and a portion of the 2005 tax year, respectively. These amounts were deferred in other current liabilities and other long-term liabilities in our consolidated balance sheet. We will recognize these estimated payments as other income when TODCO finalizes and files its 2004 and 2005 tax returns. Estimated tax benefits in excess of $300 million remain to be utilized by TODCO under the tax sharing agreement, although the ultimate amount and timing of the utilization is highly contingent on a variety of factors including the filing of the final 2004 Transocean tax returns, potential revisions to the tax benefits upon examination by the IRS, which is currently reviewing our 2002 and 2003 tax years, and the amount of taxable income that TODCO realizes in future years.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and Other Key Indicators</w:t>
      </w:r>
    </w:p>
    <w:p>
      <w:pPr>
        <w:spacing w:after="0" w:line="281"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i w:val="1"/>
          <w:iCs w:val="1"/>
          <w:color w:val="auto"/>
        </w:rPr>
        <w:t>Fleet Utilization and Dayrates</w:t>
      </w:r>
      <w:r>
        <w:rPr>
          <w:rFonts w:ascii="Arial" w:cs="Arial" w:eastAsia="Arial" w:hAnsi="Arial"/>
          <w:sz w:val="17"/>
          <w:szCs w:val="17"/>
          <w:color w:val="auto"/>
        </w:rPr>
        <w:t>—The following table shows our average dayrates and utilization for the quarterly periods ended on or prior to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2005. We consolidated TODCO’s results of operations and financial condition in our condensed consolidated financial statements through December 16, 2004 (see “—Operating Results”). See “—Overview” for a definition of average dayrate, revenue earning day and utilization.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6"/>
              </w:rPr>
              <w:t>Three Months Ended</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160"/>
              <w:spacing w:after="0" w:line="190" w:lineRule="exact"/>
              <w:rPr>
                <w:sz w:val="20"/>
                <w:szCs w:val="20"/>
                <w:color w:val="auto"/>
              </w:rPr>
            </w:pPr>
            <w:r>
              <w:rPr>
                <w:rFonts w:ascii="Arial" w:cs="Arial" w:eastAsia="Arial" w:hAnsi="Arial"/>
                <w:sz w:val="17"/>
                <w:szCs w:val="17"/>
                <w:color w:val="auto"/>
              </w:rPr>
              <w:t>June 30,</w:t>
            </w:r>
          </w:p>
        </w:tc>
        <w:tc>
          <w:tcPr>
            <w:tcW w:w="200" w:type="dxa"/>
            <w:vAlign w:val="bottom"/>
          </w:tcPr>
          <w:p>
            <w:pPr>
              <w:spacing w:after="0"/>
              <w:rPr>
                <w:sz w:val="16"/>
                <w:szCs w:val="16"/>
                <w:color w:val="auto"/>
              </w:rPr>
            </w:pPr>
          </w:p>
        </w:tc>
        <w:tc>
          <w:tcPr>
            <w:tcW w:w="1380" w:type="dxa"/>
            <w:vAlign w:val="bottom"/>
            <w:gridSpan w:val="2"/>
          </w:tcPr>
          <w:p>
            <w:pPr>
              <w:ind w:left="120"/>
              <w:spacing w:after="0" w:line="190" w:lineRule="exact"/>
              <w:rPr>
                <w:sz w:val="20"/>
                <w:szCs w:val="20"/>
                <w:color w:val="auto"/>
              </w:rPr>
            </w:pPr>
            <w:r>
              <w:rPr>
                <w:rFonts w:ascii="Arial" w:cs="Arial" w:eastAsia="Arial" w:hAnsi="Arial"/>
                <w:sz w:val="17"/>
                <w:szCs w:val="17"/>
                <w:color w:val="auto"/>
              </w:rPr>
              <w:t>March 31,</w:t>
            </w:r>
          </w:p>
        </w:tc>
        <w:tc>
          <w:tcPr>
            <w:tcW w:w="240" w:type="dxa"/>
            <w:vAlign w:val="bottom"/>
          </w:tcPr>
          <w:p>
            <w:pPr>
              <w:spacing w:after="0"/>
              <w:rPr>
                <w:sz w:val="16"/>
                <w:szCs w:val="16"/>
                <w:color w:val="auto"/>
              </w:rPr>
            </w:pPr>
          </w:p>
        </w:tc>
        <w:tc>
          <w:tcPr>
            <w:tcW w:w="1120" w:type="dxa"/>
            <w:vAlign w:val="bottom"/>
          </w:tcPr>
          <w:p>
            <w:pPr>
              <w:jc w:val="right"/>
              <w:ind w:right="313"/>
              <w:spacing w:after="0" w:line="190" w:lineRule="exact"/>
              <w:rPr>
                <w:sz w:val="20"/>
                <w:szCs w:val="20"/>
                <w:color w:val="auto"/>
              </w:rPr>
            </w:pPr>
            <w:r>
              <w:rPr>
                <w:rFonts w:ascii="Arial" w:cs="Arial" w:eastAsia="Arial" w:hAnsi="Arial"/>
                <w:sz w:val="17"/>
                <w:szCs w:val="17"/>
                <w:color w:val="auto"/>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rPr>
              <w:t>2005</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color w:val="auto"/>
              </w:rPr>
              <w:t>2005</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rPr>
              <w:t>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gridSpan w:val="2"/>
          </w:tcPr>
          <w:p>
            <w:pPr>
              <w:spacing w:after="0"/>
              <w:rPr>
                <w:sz w:val="20"/>
                <w:szCs w:val="20"/>
                <w:color w:val="auto"/>
              </w:rPr>
            </w:pPr>
            <w:r>
              <w:rPr>
                <w:rFonts w:ascii="Arial" w:cs="Arial" w:eastAsia="Arial" w:hAnsi="Arial"/>
                <w:sz w:val="17"/>
                <w:szCs w:val="17"/>
                <w:color w:val="auto"/>
              </w:rPr>
              <w:t>Average Dayrates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1"/>
        </w:trPr>
        <w:tc>
          <w:tcPr>
            <w:tcW w:w="6520" w:type="dxa"/>
            <w:vAlign w:val="bottom"/>
            <w:gridSpan w:val="2"/>
          </w:tcPr>
          <w:p>
            <w:pPr>
              <w:spacing w:after="0"/>
              <w:rPr>
                <w:sz w:val="20"/>
                <w:szCs w:val="20"/>
                <w:color w:val="auto"/>
              </w:rPr>
            </w:pPr>
            <w:r>
              <w:rPr>
                <w:rFonts w:ascii="Arial" w:cs="Arial" w:eastAsia="Arial" w:hAnsi="Arial"/>
                <w:sz w:val="17"/>
                <w:szCs w:val="17"/>
                <w:i w:val="1"/>
                <w:iCs w:val="1"/>
                <w:color w:val="auto"/>
              </w:rPr>
              <w:t>Transocean Drilling Segment:</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00" w:type="dxa"/>
            <w:vAlign w:val="bottom"/>
          </w:tcPr>
          <w:p>
            <w:pPr>
              <w:ind w:left="140"/>
              <w:spacing w:after="0"/>
              <w:rPr>
                <w:sz w:val="20"/>
                <w:szCs w:val="20"/>
                <w:color w:val="auto"/>
              </w:rPr>
            </w:pPr>
            <w:r>
              <w:rPr>
                <w:rFonts w:ascii="Arial" w:cs="Arial" w:eastAsia="Arial" w:hAnsi="Arial"/>
                <w:sz w:val="17"/>
                <w:szCs w:val="17"/>
                <w:color w:val="auto"/>
              </w:rPr>
              <w:t>High-Specification Floaters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00" w:type="dxa"/>
            <w:vAlign w:val="bottom"/>
            <w:shd w:val="clear" w:color="auto" w:fill="E2EEF6"/>
          </w:tcPr>
          <w:p>
            <w:pPr>
              <w:ind w:left="300"/>
              <w:spacing w:after="0"/>
              <w:rPr>
                <w:sz w:val="20"/>
                <w:szCs w:val="20"/>
                <w:color w:val="auto"/>
              </w:rPr>
            </w:pPr>
            <w:r>
              <w:rPr>
                <w:rFonts w:ascii="Arial" w:cs="Arial" w:eastAsia="Arial" w:hAnsi="Arial"/>
                <w:sz w:val="17"/>
                <w:szCs w:val="17"/>
                <w:color w:val="auto"/>
              </w:rPr>
              <w:t>Fifth-Generation Deepwater Floaters</w:t>
            </w:r>
          </w:p>
        </w:tc>
        <w:tc>
          <w:tcPr>
            <w:tcW w:w="4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7"/>
                <w:szCs w:val="17"/>
                <w:color w:val="auto"/>
              </w:rPr>
              <w:t>197,100</w:t>
            </w:r>
          </w:p>
        </w:tc>
        <w:tc>
          <w:tcPr>
            <w:tcW w:w="180" w:type="dxa"/>
            <w:vAlign w:val="bottom"/>
            <w:tcBorders>
              <w:right w:val="single" w:sz="8" w:color="E2EEF6"/>
            </w:tcBorders>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r>
              <w:rPr>
                <w:rFonts w:ascii="Arial" w:cs="Arial" w:eastAsia="Arial" w:hAnsi="Arial"/>
                <w:sz w:val="17"/>
                <w:szCs w:val="17"/>
                <w:color w:val="auto"/>
              </w:rPr>
              <w:t>$</w:t>
            </w:r>
          </w:p>
        </w:tc>
        <w:tc>
          <w:tcPr>
            <w:tcW w:w="122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7"/>
                <w:szCs w:val="17"/>
                <w:color w:val="auto"/>
              </w:rPr>
              <w:t>182,300</w:t>
            </w:r>
          </w:p>
        </w:tc>
        <w:tc>
          <w:tcPr>
            <w:tcW w:w="160" w:type="dxa"/>
            <w:vAlign w:val="bottom"/>
            <w:tcBorders>
              <w:right w:val="single" w:sz="8" w:color="E2EEF6"/>
            </w:tcBorders>
            <w:shd w:val="clear" w:color="auto" w:fill="E2EEF6"/>
          </w:tcPr>
          <w:p>
            <w:pPr>
              <w:spacing w:after="0"/>
              <w:rPr>
                <w:sz w:val="20"/>
                <w:szCs w:val="20"/>
                <w:color w:val="auto"/>
              </w:rPr>
            </w:pPr>
          </w:p>
        </w:tc>
        <w:tc>
          <w:tcPr>
            <w:tcW w:w="240" w:type="dxa"/>
            <w:vAlign w:val="bottom"/>
            <w:shd w:val="clear" w:color="auto" w:fill="E2EEF6"/>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177,800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Other Deepwater Floaters</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132,700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124,500</w:t>
            </w:r>
          </w:p>
        </w:tc>
        <w:tc>
          <w:tcPr>
            <w:tcW w:w="160" w:type="dxa"/>
            <w:vAlign w:val="bottom"/>
          </w:tcPr>
          <w:p>
            <w:pPr>
              <w:spacing w:after="0"/>
              <w:rPr>
                <w:sz w:val="20"/>
                <w:szCs w:val="20"/>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107,800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00" w:type="dxa"/>
            <w:vAlign w:val="bottom"/>
            <w:shd w:val="clear" w:color="auto" w:fill="E2EEF6"/>
          </w:tcPr>
          <w:p>
            <w:pPr>
              <w:ind w:left="300"/>
              <w:spacing w:after="0"/>
              <w:rPr>
                <w:sz w:val="20"/>
                <w:szCs w:val="20"/>
                <w:color w:val="auto"/>
              </w:rPr>
            </w:pPr>
            <w:r>
              <w:rPr>
                <w:rFonts w:ascii="Arial" w:cs="Arial" w:eastAsia="Arial" w:hAnsi="Arial"/>
                <w:sz w:val="17"/>
                <w:szCs w:val="17"/>
                <w:color w:val="auto"/>
              </w:rPr>
              <w:t>Other High-Specification Floaters</w:t>
            </w:r>
          </w:p>
        </w:tc>
        <w:tc>
          <w:tcPr>
            <w:tcW w:w="4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7"/>
                <w:szCs w:val="17"/>
                <w:color w:val="auto"/>
              </w:rPr>
              <w:t>170,500</w:t>
            </w:r>
          </w:p>
        </w:tc>
        <w:tc>
          <w:tcPr>
            <w:tcW w:w="180" w:type="dxa"/>
            <w:vAlign w:val="bottom"/>
            <w:tcBorders>
              <w:right w:val="single" w:sz="8" w:color="E2EEF6"/>
            </w:tcBorders>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r>
              <w:rPr>
                <w:rFonts w:ascii="Arial" w:cs="Arial" w:eastAsia="Arial" w:hAnsi="Arial"/>
                <w:sz w:val="17"/>
                <w:szCs w:val="17"/>
                <w:color w:val="auto"/>
              </w:rPr>
              <w:t>$</w:t>
            </w:r>
          </w:p>
        </w:tc>
        <w:tc>
          <w:tcPr>
            <w:tcW w:w="122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7"/>
                <w:szCs w:val="17"/>
                <w:color w:val="auto"/>
              </w:rPr>
              <w:t>153,000</w:t>
            </w:r>
          </w:p>
        </w:tc>
        <w:tc>
          <w:tcPr>
            <w:tcW w:w="160" w:type="dxa"/>
            <w:vAlign w:val="bottom"/>
            <w:tcBorders>
              <w:right w:val="single" w:sz="8" w:color="E2EEF6"/>
            </w:tcBorders>
            <w:shd w:val="clear" w:color="auto" w:fill="E2EEF6"/>
          </w:tcPr>
          <w:p>
            <w:pPr>
              <w:spacing w:after="0"/>
              <w:rPr>
                <w:sz w:val="20"/>
                <w:szCs w:val="20"/>
                <w:color w:val="auto"/>
              </w:rPr>
            </w:pPr>
          </w:p>
        </w:tc>
        <w:tc>
          <w:tcPr>
            <w:tcW w:w="240" w:type="dxa"/>
            <w:vAlign w:val="bottom"/>
            <w:shd w:val="clear" w:color="auto" w:fill="E2EEF6"/>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115,500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500" w:type="dxa"/>
            <w:vAlign w:val="bottom"/>
          </w:tcPr>
          <w:p>
            <w:pPr>
              <w:ind w:left="140"/>
              <w:spacing w:after="0"/>
              <w:rPr>
                <w:sz w:val="20"/>
                <w:szCs w:val="20"/>
                <w:color w:val="auto"/>
              </w:rPr>
            </w:pPr>
            <w:r>
              <w:rPr>
                <w:rFonts w:ascii="Arial" w:cs="Arial" w:eastAsia="Arial" w:hAnsi="Arial"/>
                <w:sz w:val="17"/>
                <w:szCs w:val="17"/>
                <w:color w:val="auto"/>
              </w:rPr>
              <w:t>Total High-Specification Floaters</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165,500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153,900</w:t>
            </w:r>
          </w:p>
        </w:tc>
        <w:tc>
          <w:tcPr>
            <w:tcW w:w="160" w:type="dxa"/>
            <w:vAlign w:val="bottom"/>
          </w:tcPr>
          <w:p>
            <w:pPr>
              <w:spacing w:after="0"/>
              <w:rPr>
                <w:sz w:val="20"/>
                <w:szCs w:val="20"/>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141,100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00" w:type="dxa"/>
            <w:vAlign w:val="bottom"/>
            <w:shd w:val="clear" w:color="auto" w:fill="E2EEF6"/>
          </w:tcPr>
          <w:p>
            <w:pPr>
              <w:ind w:left="140"/>
              <w:spacing w:after="0"/>
              <w:rPr>
                <w:sz w:val="20"/>
                <w:szCs w:val="20"/>
                <w:color w:val="auto"/>
              </w:rPr>
            </w:pPr>
            <w:r>
              <w:rPr>
                <w:rFonts w:ascii="Arial" w:cs="Arial" w:eastAsia="Arial" w:hAnsi="Arial"/>
                <w:sz w:val="17"/>
                <w:szCs w:val="17"/>
                <w:color w:val="auto"/>
              </w:rPr>
              <w:t>Other Floaters</w:t>
            </w:r>
          </w:p>
        </w:tc>
        <w:tc>
          <w:tcPr>
            <w:tcW w:w="4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7"/>
                <w:szCs w:val="17"/>
                <w:color w:val="auto"/>
              </w:rPr>
              <w:t>82,400</w:t>
            </w:r>
          </w:p>
        </w:tc>
        <w:tc>
          <w:tcPr>
            <w:tcW w:w="180" w:type="dxa"/>
            <w:vAlign w:val="bottom"/>
            <w:tcBorders>
              <w:right w:val="single" w:sz="8" w:color="E2EEF6"/>
            </w:tcBorders>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r>
              <w:rPr>
                <w:rFonts w:ascii="Arial" w:cs="Arial" w:eastAsia="Arial" w:hAnsi="Arial"/>
                <w:sz w:val="17"/>
                <w:szCs w:val="17"/>
                <w:color w:val="auto"/>
              </w:rPr>
              <w:t>$</w:t>
            </w:r>
          </w:p>
        </w:tc>
        <w:tc>
          <w:tcPr>
            <w:tcW w:w="122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7"/>
                <w:szCs w:val="17"/>
                <w:color w:val="auto"/>
              </w:rPr>
              <w:t>71,200</w:t>
            </w:r>
          </w:p>
        </w:tc>
        <w:tc>
          <w:tcPr>
            <w:tcW w:w="160" w:type="dxa"/>
            <w:vAlign w:val="bottom"/>
            <w:tcBorders>
              <w:right w:val="single" w:sz="8" w:color="E2EEF6"/>
            </w:tcBorders>
            <w:shd w:val="clear" w:color="auto" w:fill="E2EEF6"/>
          </w:tcPr>
          <w:p>
            <w:pPr>
              <w:spacing w:after="0"/>
              <w:rPr>
                <w:sz w:val="20"/>
                <w:szCs w:val="20"/>
                <w:color w:val="auto"/>
              </w:rPr>
            </w:pPr>
          </w:p>
        </w:tc>
        <w:tc>
          <w:tcPr>
            <w:tcW w:w="240" w:type="dxa"/>
            <w:vAlign w:val="bottom"/>
            <w:shd w:val="clear" w:color="auto" w:fill="E2EEF6"/>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65,000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500" w:type="dxa"/>
            <w:vAlign w:val="bottom"/>
          </w:tcPr>
          <w:p>
            <w:pPr>
              <w:ind w:left="140"/>
              <w:spacing w:after="0"/>
              <w:rPr>
                <w:sz w:val="20"/>
                <w:szCs w:val="20"/>
                <w:color w:val="auto"/>
              </w:rPr>
            </w:pPr>
            <w:r>
              <w:rPr>
                <w:rFonts w:ascii="Arial" w:cs="Arial" w:eastAsia="Arial" w:hAnsi="Arial"/>
                <w:sz w:val="17"/>
                <w:szCs w:val="17"/>
                <w:color w:val="auto"/>
              </w:rPr>
              <w:t>Jackups</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58,200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57,600</w:t>
            </w:r>
          </w:p>
        </w:tc>
        <w:tc>
          <w:tcPr>
            <w:tcW w:w="160" w:type="dxa"/>
            <w:vAlign w:val="bottom"/>
          </w:tcPr>
          <w:p>
            <w:pPr>
              <w:spacing w:after="0"/>
              <w:rPr>
                <w:sz w:val="20"/>
                <w:szCs w:val="20"/>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52,700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00" w:type="dxa"/>
            <w:vAlign w:val="bottom"/>
            <w:tcBorders>
              <w:bottom w:val="single" w:sz="8" w:color="E2EEF6"/>
            </w:tcBorders>
            <w:shd w:val="clear" w:color="auto" w:fill="E2EEF6"/>
          </w:tcPr>
          <w:p>
            <w:pPr>
              <w:ind w:left="140"/>
              <w:spacing w:after="0"/>
              <w:rPr>
                <w:sz w:val="20"/>
                <w:szCs w:val="20"/>
                <w:color w:val="auto"/>
              </w:rPr>
            </w:pPr>
            <w:r>
              <w:rPr>
                <w:rFonts w:ascii="Arial" w:cs="Arial" w:eastAsia="Arial" w:hAnsi="Arial"/>
                <w:sz w:val="17"/>
                <w:szCs w:val="17"/>
                <w:color w:val="auto"/>
              </w:rPr>
              <w:t>Other Rigs</w:t>
            </w:r>
          </w:p>
        </w:tc>
        <w:tc>
          <w:tcPr>
            <w:tcW w:w="480" w:type="dxa"/>
            <w:vAlign w:val="bottom"/>
            <w:tcBorders>
              <w:bottom w:val="single" w:sz="8" w:color="E2EEF6"/>
            </w:tcBorders>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E2EEF6"/>
              <w:right w:val="single" w:sz="8" w:color="E2EEF6"/>
            </w:tcBorders>
            <w:shd w:val="clear" w:color="auto" w:fill="E2EEF6"/>
          </w:tcPr>
          <w:p>
            <w:pPr>
              <w:jc w:val="right"/>
              <w:spacing w:after="0"/>
              <w:rPr>
                <w:sz w:val="20"/>
                <w:szCs w:val="20"/>
                <w:color w:val="auto"/>
              </w:rPr>
            </w:pPr>
            <w:r>
              <w:rPr>
                <w:rFonts w:ascii="Arial" w:cs="Arial" w:eastAsia="Arial" w:hAnsi="Arial"/>
                <w:sz w:val="17"/>
                <w:szCs w:val="17"/>
                <w:color w:val="auto"/>
              </w:rPr>
              <w:t>47,000</w:t>
            </w:r>
          </w:p>
        </w:tc>
        <w:tc>
          <w:tcPr>
            <w:tcW w:w="180" w:type="dxa"/>
            <w:vAlign w:val="bottom"/>
            <w:tcBorders>
              <w:bottom w:val="single" w:sz="8" w:color="E2EEF6"/>
              <w:right w:val="single" w:sz="8" w:color="E2EEF6"/>
            </w:tcBorders>
            <w:shd w:val="clear" w:color="auto" w:fill="E2EEF6"/>
          </w:tcPr>
          <w:p>
            <w:pPr>
              <w:spacing w:after="0"/>
              <w:rPr>
                <w:sz w:val="21"/>
                <w:szCs w:val="21"/>
                <w:color w:val="auto"/>
              </w:rPr>
            </w:pPr>
          </w:p>
        </w:tc>
        <w:tc>
          <w:tcPr>
            <w:tcW w:w="20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E2EEF6"/>
              <w:right w:val="single" w:sz="8" w:color="E2EEF6"/>
            </w:tcBorders>
            <w:shd w:val="clear" w:color="auto" w:fill="E2EEF6"/>
          </w:tcPr>
          <w:p>
            <w:pPr>
              <w:jc w:val="right"/>
              <w:spacing w:after="0"/>
              <w:rPr>
                <w:sz w:val="20"/>
                <w:szCs w:val="20"/>
                <w:color w:val="auto"/>
              </w:rPr>
            </w:pPr>
            <w:r>
              <w:rPr>
                <w:rFonts w:ascii="Arial" w:cs="Arial" w:eastAsia="Arial" w:hAnsi="Arial"/>
                <w:sz w:val="17"/>
                <w:szCs w:val="17"/>
                <w:color w:val="auto"/>
              </w:rPr>
              <w:t>45,800</w:t>
            </w:r>
          </w:p>
        </w:tc>
        <w:tc>
          <w:tcPr>
            <w:tcW w:w="160" w:type="dxa"/>
            <w:vAlign w:val="bottom"/>
            <w:tcBorders>
              <w:bottom w:val="single" w:sz="8" w:color="E2EEF6"/>
              <w:right w:val="single" w:sz="8" w:color="E2EEF6"/>
            </w:tcBorders>
            <w:shd w:val="clear" w:color="auto" w:fill="E2EEF6"/>
          </w:tcPr>
          <w:p>
            <w:pPr>
              <w:spacing w:after="0"/>
              <w:rPr>
                <w:sz w:val="21"/>
                <w:szCs w:val="21"/>
                <w:color w:val="auto"/>
              </w:rPr>
            </w:pPr>
          </w:p>
        </w:tc>
        <w:tc>
          <w:tcPr>
            <w:tcW w:w="240" w:type="dxa"/>
            <w:vAlign w:val="bottom"/>
            <w:tcBorders>
              <w:bottom w:val="single" w:sz="8" w:color="E2EEF6"/>
            </w:tcBorders>
            <w:shd w:val="clear" w:color="auto" w:fill="E2EEF6"/>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E2EEF6"/>
            </w:tcBorders>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43,300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00" w:type="dxa"/>
            <w:vAlign w:val="bottom"/>
            <w:shd w:val="clear" w:color="auto" w:fill="E2EEF6"/>
          </w:tcPr>
          <w:p>
            <w:pPr>
              <w:spacing w:after="0" w:line="20" w:lineRule="exact"/>
              <w:rPr>
                <w:sz w:val="1"/>
                <w:szCs w:val="1"/>
                <w:color w:val="auto"/>
              </w:rPr>
            </w:pPr>
          </w:p>
        </w:tc>
        <w:tc>
          <w:tcPr>
            <w:tcW w:w="240" w:type="dxa"/>
            <w:vAlign w:val="bottom"/>
            <w:tcBorders>
              <w:right w:val="single" w:sz="8" w:color="E2EEF6"/>
            </w:tcBorders>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tcBorders>
              <w:right w:val="single" w:sz="8" w:color="E2EEF6"/>
            </w:tcBorders>
            <w:shd w:val="clear" w:color="auto" w:fill="000000"/>
          </w:tcPr>
          <w:p>
            <w:pPr>
              <w:spacing w:after="0" w:line="20" w:lineRule="exact"/>
              <w:rPr>
                <w:sz w:val="1"/>
                <w:szCs w:val="1"/>
                <w:color w:val="auto"/>
              </w:rPr>
            </w:pPr>
          </w:p>
        </w:tc>
        <w:tc>
          <w:tcPr>
            <w:tcW w:w="180" w:type="dxa"/>
            <w:vAlign w:val="bottom"/>
            <w:tcBorders>
              <w:right w:val="single" w:sz="8" w:color="E2EEF6"/>
            </w:tcBorders>
            <w:shd w:val="clear" w:color="auto" w:fill="E2EEF6"/>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tcBorders>
              <w:right w:val="single" w:sz="8" w:color="E2EEF6"/>
            </w:tcBorders>
            <w:shd w:val="clear" w:color="auto" w:fill="000000"/>
          </w:tcPr>
          <w:p>
            <w:pPr>
              <w:spacing w:after="0" w:line="20" w:lineRule="exact"/>
              <w:rPr>
                <w:sz w:val="1"/>
                <w:szCs w:val="1"/>
                <w:color w:val="auto"/>
              </w:rPr>
            </w:pPr>
          </w:p>
        </w:tc>
        <w:tc>
          <w:tcPr>
            <w:tcW w:w="160" w:type="dxa"/>
            <w:vAlign w:val="bottom"/>
            <w:tcBorders>
              <w:right w:val="single" w:sz="8" w:color="E2EEF6"/>
            </w:tcBorders>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7"/>
                <w:szCs w:val="17"/>
                <w:color w:val="auto"/>
              </w:rPr>
              <w:t>Segment Total</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103,100</w:t>
            </w:r>
          </w:p>
        </w:tc>
        <w:tc>
          <w:tcPr>
            <w:tcW w:w="1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96,600</w:t>
            </w:r>
          </w:p>
        </w:tc>
        <w:tc>
          <w:tcPr>
            <w:tcW w:w="16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89,100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500" w:type="dxa"/>
            <w:vAlign w:val="bottom"/>
            <w:tcBorders>
              <w:bottom w:val="single" w:sz="8" w:color="E2EEF6"/>
            </w:tcBorders>
            <w:shd w:val="clear" w:color="auto" w:fill="E2EEF6"/>
          </w:tcPr>
          <w:p>
            <w:pPr>
              <w:spacing w:after="0"/>
              <w:rPr>
                <w:sz w:val="22"/>
                <w:szCs w:val="22"/>
                <w:color w:val="auto"/>
              </w:rPr>
            </w:pPr>
          </w:p>
        </w:tc>
        <w:tc>
          <w:tcPr>
            <w:tcW w:w="240" w:type="dxa"/>
            <w:vAlign w:val="bottom"/>
            <w:tcBorders>
              <w:bottom w:val="single" w:sz="8" w:color="E2EEF6"/>
              <w:right w:val="single" w:sz="8" w:color="E2EEF6"/>
            </w:tcBorders>
            <w:shd w:val="clear" w:color="auto" w:fill="E2EEF6"/>
          </w:tcPr>
          <w:p>
            <w:pPr>
              <w:spacing w:after="0"/>
              <w:rPr>
                <w:sz w:val="22"/>
                <w:szCs w:val="22"/>
                <w:color w:val="auto"/>
              </w:rPr>
            </w:pPr>
          </w:p>
        </w:tc>
        <w:tc>
          <w:tcPr>
            <w:tcW w:w="240" w:type="dxa"/>
            <w:vAlign w:val="bottom"/>
            <w:tcBorders>
              <w:top w:val="single" w:sz="8" w:color="auto"/>
              <w:bottom w:val="single" w:sz="8" w:color="auto"/>
            </w:tcBorders>
            <w:shd w:val="clear" w:color="auto" w:fill="E2EEF6"/>
          </w:tcPr>
          <w:p>
            <w:pPr>
              <w:spacing w:after="0"/>
              <w:rPr>
                <w:sz w:val="22"/>
                <w:szCs w:val="22"/>
                <w:color w:val="auto"/>
              </w:rPr>
            </w:pPr>
          </w:p>
        </w:tc>
        <w:tc>
          <w:tcPr>
            <w:tcW w:w="1200" w:type="dxa"/>
            <w:vAlign w:val="bottom"/>
            <w:tcBorders>
              <w:top w:val="single" w:sz="8" w:color="auto"/>
              <w:bottom w:val="single" w:sz="8" w:color="auto"/>
              <w:right w:val="single" w:sz="8" w:color="E2EEF6"/>
            </w:tcBorders>
            <w:shd w:val="clear" w:color="auto" w:fill="E2EEF6"/>
          </w:tcPr>
          <w:p>
            <w:pPr>
              <w:spacing w:after="0"/>
              <w:rPr>
                <w:sz w:val="22"/>
                <w:szCs w:val="22"/>
                <w:color w:val="auto"/>
              </w:rPr>
            </w:pPr>
          </w:p>
        </w:tc>
        <w:tc>
          <w:tcPr>
            <w:tcW w:w="180" w:type="dxa"/>
            <w:vAlign w:val="bottom"/>
            <w:tcBorders>
              <w:bottom w:val="single" w:sz="8" w:color="E2EEF6"/>
              <w:right w:val="single" w:sz="8" w:color="E2EEF6"/>
            </w:tcBorders>
            <w:shd w:val="clear" w:color="auto" w:fill="E2EEF6"/>
          </w:tcPr>
          <w:p>
            <w:pPr>
              <w:spacing w:after="0"/>
              <w:rPr>
                <w:sz w:val="22"/>
                <w:szCs w:val="22"/>
                <w:color w:val="auto"/>
              </w:rPr>
            </w:pPr>
          </w:p>
        </w:tc>
        <w:tc>
          <w:tcPr>
            <w:tcW w:w="200" w:type="dxa"/>
            <w:vAlign w:val="bottom"/>
            <w:tcBorders>
              <w:top w:val="single" w:sz="8" w:color="auto"/>
              <w:bottom w:val="single" w:sz="8" w:color="auto"/>
            </w:tcBorders>
            <w:shd w:val="clear" w:color="auto" w:fill="E2EEF6"/>
          </w:tcPr>
          <w:p>
            <w:pPr>
              <w:spacing w:after="0"/>
              <w:rPr>
                <w:sz w:val="22"/>
                <w:szCs w:val="22"/>
                <w:color w:val="auto"/>
              </w:rPr>
            </w:pPr>
          </w:p>
        </w:tc>
        <w:tc>
          <w:tcPr>
            <w:tcW w:w="1220" w:type="dxa"/>
            <w:vAlign w:val="bottom"/>
            <w:tcBorders>
              <w:top w:val="single" w:sz="8" w:color="auto"/>
              <w:bottom w:val="single" w:sz="8" w:color="auto"/>
              <w:right w:val="single" w:sz="8" w:color="E2EEF6"/>
            </w:tcBorders>
            <w:shd w:val="clear" w:color="auto" w:fill="E2EEF6"/>
          </w:tcPr>
          <w:p>
            <w:pPr>
              <w:spacing w:after="0"/>
              <w:rPr>
                <w:sz w:val="22"/>
                <w:szCs w:val="22"/>
                <w:color w:val="auto"/>
              </w:rPr>
            </w:pPr>
          </w:p>
        </w:tc>
        <w:tc>
          <w:tcPr>
            <w:tcW w:w="160" w:type="dxa"/>
            <w:vAlign w:val="bottom"/>
            <w:tcBorders>
              <w:bottom w:val="single" w:sz="8" w:color="E2EEF6"/>
              <w:right w:val="single" w:sz="8" w:color="E2EEF6"/>
            </w:tcBorders>
            <w:shd w:val="clear" w:color="auto" w:fill="E2EEF6"/>
          </w:tcPr>
          <w:p>
            <w:pPr>
              <w:spacing w:after="0"/>
              <w:rPr>
                <w:sz w:val="22"/>
                <w:szCs w:val="22"/>
                <w:color w:val="auto"/>
              </w:rPr>
            </w:pPr>
          </w:p>
        </w:tc>
        <w:tc>
          <w:tcPr>
            <w:tcW w:w="240" w:type="dxa"/>
            <w:vAlign w:val="bottom"/>
            <w:tcBorders>
              <w:top w:val="single" w:sz="8" w:color="auto"/>
              <w:bottom w:val="single" w:sz="8" w:color="auto"/>
            </w:tcBorders>
            <w:shd w:val="clear" w:color="auto" w:fill="E2EEF6"/>
          </w:tcPr>
          <w:p>
            <w:pPr>
              <w:spacing w:after="0"/>
              <w:rPr>
                <w:sz w:val="22"/>
                <w:szCs w:val="22"/>
                <w:color w:val="auto"/>
              </w:rPr>
            </w:pPr>
          </w:p>
        </w:tc>
        <w:tc>
          <w:tcPr>
            <w:tcW w:w="1120" w:type="dxa"/>
            <w:vAlign w:val="bottom"/>
            <w:tcBorders>
              <w:top w:val="single" w:sz="8" w:color="auto"/>
              <w:bottom w:val="single" w:sz="8" w:color="auto"/>
            </w:tcBorders>
            <w:shd w:val="clear" w:color="auto" w:fill="E2EEF6"/>
          </w:tcPr>
          <w:p>
            <w:pPr>
              <w:spacing w:after="0"/>
              <w:rPr>
                <w:sz w:val="22"/>
                <w:szCs w:val="22"/>
                <w:color w:val="auto"/>
              </w:rPr>
            </w:pPr>
          </w:p>
        </w:tc>
        <w:tc>
          <w:tcPr>
            <w:tcW w:w="100" w:type="dxa"/>
            <w:vAlign w:val="bottom"/>
            <w:tcBorders>
              <w:bottom w:val="single" w:sz="8" w:color="E2EEF6"/>
            </w:tcBorders>
            <w:shd w:val="clear" w:color="auto" w:fill="E2EEF6"/>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7"/>
                <w:szCs w:val="17"/>
                <w:i w:val="1"/>
                <w:iCs w:val="1"/>
                <w:color w:val="auto"/>
              </w:rPr>
              <w:t>TODCO Segment (a)</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26,200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shd w:val="clear" w:color="auto" w:fill="E2EEF6"/>
          </w:tcPr>
          <w:p>
            <w:pPr>
              <w:spacing w:after="0"/>
              <w:rPr>
                <w:sz w:val="19"/>
                <w:szCs w:val="19"/>
                <w:color w:val="auto"/>
              </w:rPr>
            </w:pPr>
          </w:p>
        </w:tc>
        <w:tc>
          <w:tcPr>
            <w:tcW w:w="240" w:type="dxa"/>
            <w:vAlign w:val="bottom"/>
            <w:tcBorders>
              <w:right w:val="single" w:sz="8" w:color="E2EEF6"/>
            </w:tcBorders>
            <w:shd w:val="clear" w:color="auto" w:fill="E2EEF6"/>
          </w:tcPr>
          <w:p>
            <w:pPr>
              <w:spacing w:after="0"/>
              <w:rPr>
                <w:sz w:val="19"/>
                <w:szCs w:val="19"/>
                <w:color w:val="auto"/>
              </w:rPr>
            </w:pPr>
          </w:p>
        </w:tc>
        <w:tc>
          <w:tcPr>
            <w:tcW w:w="240" w:type="dxa"/>
            <w:vAlign w:val="bottom"/>
            <w:tcBorders>
              <w:top w:val="single" w:sz="8" w:color="auto"/>
            </w:tcBorders>
            <w:shd w:val="clear" w:color="auto" w:fill="E2EEF6"/>
          </w:tcPr>
          <w:p>
            <w:pPr>
              <w:spacing w:after="0"/>
              <w:rPr>
                <w:sz w:val="19"/>
                <w:szCs w:val="19"/>
                <w:color w:val="auto"/>
              </w:rPr>
            </w:pPr>
          </w:p>
        </w:tc>
        <w:tc>
          <w:tcPr>
            <w:tcW w:w="1200" w:type="dxa"/>
            <w:vAlign w:val="bottom"/>
            <w:tcBorders>
              <w:top w:val="single" w:sz="8" w:color="auto"/>
              <w:right w:val="single" w:sz="8" w:color="E2EEF6"/>
            </w:tcBorders>
            <w:shd w:val="clear" w:color="auto" w:fill="E2EEF6"/>
          </w:tcPr>
          <w:p>
            <w:pPr>
              <w:spacing w:after="0"/>
              <w:rPr>
                <w:sz w:val="19"/>
                <w:szCs w:val="19"/>
                <w:color w:val="auto"/>
              </w:rPr>
            </w:pPr>
          </w:p>
        </w:tc>
        <w:tc>
          <w:tcPr>
            <w:tcW w:w="180" w:type="dxa"/>
            <w:vAlign w:val="bottom"/>
            <w:tcBorders>
              <w:right w:val="single" w:sz="8" w:color="E2EEF6"/>
            </w:tcBorders>
            <w:shd w:val="clear" w:color="auto" w:fill="E2EEF6"/>
          </w:tcPr>
          <w:p>
            <w:pPr>
              <w:spacing w:after="0"/>
              <w:rPr>
                <w:sz w:val="19"/>
                <w:szCs w:val="19"/>
                <w:color w:val="auto"/>
              </w:rPr>
            </w:pPr>
          </w:p>
        </w:tc>
        <w:tc>
          <w:tcPr>
            <w:tcW w:w="200" w:type="dxa"/>
            <w:vAlign w:val="bottom"/>
            <w:tcBorders>
              <w:top w:val="single" w:sz="8" w:color="auto"/>
            </w:tcBorders>
            <w:shd w:val="clear" w:color="auto" w:fill="E2EEF6"/>
          </w:tcPr>
          <w:p>
            <w:pPr>
              <w:spacing w:after="0"/>
              <w:rPr>
                <w:sz w:val="19"/>
                <w:szCs w:val="19"/>
                <w:color w:val="auto"/>
              </w:rPr>
            </w:pPr>
          </w:p>
        </w:tc>
        <w:tc>
          <w:tcPr>
            <w:tcW w:w="1220" w:type="dxa"/>
            <w:vAlign w:val="bottom"/>
            <w:tcBorders>
              <w:top w:val="single" w:sz="8" w:color="auto"/>
              <w:right w:val="single" w:sz="8" w:color="E2EEF6"/>
            </w:tcBorders>
            <w:shd w:val="clear" w:color="auto" w:fill="E2EEF6"/>
          </w:tcPr>
          <w:p>
            <w:pPr>
              <w:spacing w:after="0"/>
              <w:rPr>
                <w:sz w:val="19"/>
                <w:szCs w:val="19"/>
                <w:color w:val="auto"/>
              </w:rPr>
            </w:pPr>
          </w:p>
        </w:tc>
        <w:tc>
          <w:tcPr>
            <w:tcW w:w="160" w:type="dxa"/>
            <w:vAlign w:val="bottom"/>
            <w:tcBorders>
              <w:right w:val="single" w:sz="8" w:color="E2EEF6"/>
            </w:tcBorders>
            <w:shd w:val="clear" w:color="auto" w:fill="E2EEF6"/>
          </w:tcPr>
          <w:p>
            <w:pPr>
              <w:spacing w:after="0"/>
              <w:rPr>
                <w:sz w:val="19"/>
                <w:szCs w:val="19"/>
                <w:color w:val="auto"/>
              </w:rPr>
            </w:pPr>
          </w:p>
        </w:tc>
        <w:tc>
          <w:tcPr>
            <w:tcW w:w="240" w:type="dxa"/>
            <w:vAlign w:val="bottom"/>
            <w:tcBorders>
              <w:top w:val="single" w:sz="8" w:color="auto"/>
            </w:tcBorders>
            <w:shd w:val="clear" w:color="auto" w:fill="E2EEF6"/>
          </w:tcPr>
          <w:p>
            <w:pPr>
              <w:spacing w:after="0"/>
              <w:rPr>
                <w:sz w:val="19"/>
                <w:szCs w:val="19"/>
                <w:color w:val="auto"/>
              </w:rPr>
            </w:pPr>
          </w:p>
        </w:tc>
        <w:tc>
          <w:tcPr>
            <w:tcW w:w="1120" w:type="dxa"/>
            <w:vAlign w:val="bottom"/>
            <w:tcBorders>
              <w:top w:val="single" w:sz="8" w:color="auto"/>
            </w:tcBorders>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20" w:type="dxa"/>
            <w:vAlign w:val="bottom"/>
            <w:gridSpan w:val="2"/>
          </w:tcPr>
          <w:p>
            <w:pPr>
              <w:spacing w:after="0"/>
              <w:rPr>
                <w:sz w:val="20"/>
                <w:szCs w:val="20"/>
                <w:color w:val="auto"/>
              </w:rPr>
            </w:pPr>
            <w:r>
              <w:rPr>
                <w:rFonts w:ascii="Arial" w:cs="Arial" w:eastAsia="Arial" w:hAnsi="Arial"/>
                <w:sz w:val="17"/>
                <w:szCs w:val="17"/>
                <w:color w:val="auto"/>
              </w:rPr>
              <w:t>Total Drilling Fleet</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103,100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96,600</w:t>
            </w:r>
          </w:p>
        </w:tc>
        <w:tc>
          <w:tcPr>
            <w:tcW w:w="160" w:type="dxa"/>
            <w:vAlign w:val="bottom"/>
          </w:tcPr>
          <w:p>
            <w:pPr>
              <w:spacing w:after="0"/>
              <w:rPr>
                <w:sz w:val="20"/>
                <w:szCs w:val="20"/>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69,600</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7"/>
                <w:szCs w:val="17"/>
                <w:color w:val="auto"/>
              </w:rPr>
              <w:t>Utilization</w:t>
            </w: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65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6520" w:type="dxa"/>
            <w:vAlign w:val="bottom"/>
            <w:gridSpan w:val="2"/>
          </w:tcPr>
          <w:p>
            <w:pPr>
              <w:spacing w:after="0"/>
              <w:rPr>
                <w:sz w:val="20"/>
                <w:szCs w:val="20"/>
                <w:color w:val="auto"/>
              </w:rPr>
            </w:pPr>
            <w:r>
              <w:rPr>
                <w:rFonts w:ascii="Arial" w:cs="Arial" w:eastAsia="Arial" w:hAnsi="Arial"/>
                <w:sz w:val="17"/>
                <w:szCs w:val="17"/>
                <w:i w:val="1"/>
                <w:iCs w:val="1"/>
                <w:color w:val="auto"/>
              </w:rPr>
              <w:t>Transocean Drilling Segment:</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00" w:type="dxa"/>
            <w:vAlign w:val="bottom"/>
          </w:tcPr>
          <w:p>
            <w:pPr>
              <w:ind w:left="140"/>
              <w:spacing w:after="0"/>
              <w:rPr>
                <w:sz w:val="20"/>
                <w:szCs w:val="20"/>
                <w:color w:val="auto"/>
              </w:rPr>
            </w:pPr>
            <w:r>
              <w:rPr>
                <w:rFonts w:ascii="Arial" w:cs="Arial" w:eastAsia="Arial" w:hAnsi="Arial"/>
                <w:sz w:val="17"/>
                <w:szCs w:val="17"/>
                <w:color w:val="auto"/>
              </w:rPr>
              <w:t>High-Specification Floaters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00" w:type="dxa"/>
            <w:vAlign w:val="bottom"/>
            <w:shd w:val="clear" w:color="auto" w:fill="E2EEF6"/>
          </w:tcPr>
          <w:p>
            <w:pPr>
              <w:ind w:left="300"/>
              <w:spacing w:after="0"/>
              <w:rPr>
                <w:sz w:val="20"/>
                <w:szCs w:val="20"/>
                <w:color w:val="auto"/>
              </w:rPr>
            </w:pPr>
            <w:r>
              <w:rPr>
                <w:rFonts w:ascii="Arial" w:cs="Arial" w:eastAsia="Arial" w:hAnsi="Arial"/>
                <w:sz w:val="17"/>
                <w:szCs w:val="17"/>
                <w:color w:val="auto"/>
              </w:rPr>
              <w:t>Fifth-Generation Deepwater Floaters</w:t>
            </w:r>
          </w:p>
        </w:tc>
        <w:tc>
          <w:tcPr>
            <w:tcW w:w="240" w:type="dxa"/>
            <w:vAlign w:val="bottom"/>
            <w:tcBorders>
              <w:right w:val="single" w:sz="8" w:color="E2EEF6"/>
            </w:tcBorders>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1200" w:type="dxa"/>
            <w:vAlign w:val="bottom"/>
            <w:tcBorders>
              <w:right w:val="single" w:sz="8" w:color="E2EEF6"/>
            </w:tcBorders>
            <w:shd w:val="clear" w:color="auto" w:fill="E2EEF6"/>
          </w:tcPr>
          <w:p>
            <w:pPr>
              <w:jc w:val="center"/>
              <w:ind w:right="33"/>
              <w:spacing w:after="0"/>
              <w:rPr>
                <w:sz w:val="20"/>
                <w:szCs w:val="20"/>
                <w:color w:val="auto"/>
              </w:rPr>
            </w:pPr>
            <w:r>
              <w:rPr>
                <w:rFonts w:ascii="Arial" w:cs="Arial" w:eastAsia="Arial" w:hAnsi="Arial"/>
                <w:sz w:val="17"/>
                <w:szCs w:val="17"/>
                <w:color w:val="auto"/>
                <w:w w:val="93"/>
              </w:rPr>
              <w:t>92%</w:t>
            </w:r>
          </w:p>
        </w:tc>
        <w:tc>
          <w:tcPr>
            <w:tcW w:w="180" w:type="dxa"/>
            <w:vAlign w:val="bottom"/>
            <w:tcBorders>
              <w:right w:val="single" w:sz="8" w:color="E2EEF6"/>
            </w:tcBorders>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220" w:type="dxa"/>
            <w:vAlign w:val="bottom"/>
            <w:tcBorders>
              <w:right w:val="single" w:sz="8" w:color="E2EEF6"/>
            </w:tcBorders>
            <w:shd w:val="clear" w:color="auto" w:fill="E2EEF6"/>
          </w:tcPr>
          <w:p>
            <w:pPr>
              <w:jc w:val="center"/>
              <w:ind w:right="13"/>
              <w:spacing w:after="0"/>
              <w:rPr>
                <w:sz w:val="20"/>
                <w:szCs w:val="20"/>
                <w:color w:val="auto"/>
              </w:rPr>
            </w:pPr>
            <w:r>
              <w:rPr>
                <w:rFonts w:ascii="Arial" w:cs="Arial" w:eastAsia="Arial" w:hAnsi="Arial"/>
                <w:sz w:val="17"/>
                <w:szCs w:val="17"/>
                <w:color w:val="auto"/>
                <w:w w:val="93"/>
              </w:rPr>
              <w:t>90%</w:t>
            </w:r>
          </w:p>
        </w:tc>
        <w:tc>
          <w:tcPr>
            <w:tcW w:w="160" w:type="dxa"/>
            <w:vAlign w:val="bottom"/>
            <w:tcBorders>
              <w:right w:val="single" w:sz="8" w:color="E2EEF6"/>
            </w:tcBorders>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1120" w:type="dxa"/>
            <w:vAlign w:val="bottom"/>
            <w:shd w:val="clear" w:color="auto" w:fill="E2EEF6"/>
          </w:tcPr>
          <w:p>
            <w:pPr>
              <w:jc w:val="right"/>
              <w:ind w:right="313"/>
              <w:spacing w:after="0"/>
              <w:rPr>
                <w:sz w:val="20"/>
                <w:szCs w:val="20"/>
                <w:color w:val="auto"/>
              </w:rPr>
            </w:pPr>
            <w:r>
              <w:rPr>
                <w:rFonts w:ascii="Arial" w:cs="Arial" w:eastAsia="Arial" w:hAnsi="Arial"/>
                <w:sz w:val="17"/>
                <w:szCs w:val="17"/>
                <w:color w:val="auto"/>
              </w:rPr>
              <w:t>90%</w:t>
            </w:r>
          </w:p>
        </w:tc>
        <w:tc>
          <w:tcPr>
            <w:tcW w:w="10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Other Deepwater Floaters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center"/>
              <w:ind w:right="33"/>
              <w:spacing w:after="0"/>
              <w:rPr>
                <w:sz w:val="20"/>
                <w:szCs w:val="20"/>
                <w:color w:val="auto"/>
              </w:rPr>
            </w:pPr>
            <w:r>
              <w:rPr>
                <w:rFonts w:ascii="Arial" w:cs="Arial" w:eastAsia="Arial" w:hAnsi="Arial"/>
                <w:sz w:val="17"/>
                <w:szCs w:val="17"/>
                <w:color w:val="auto"/>
                <w:w w:val="93"/>
              </w:rPr>
              <w:t>80%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ind w:right="13"/>
              <w:spacing w:after="0"/>
              <w:rPr>
                <w:sz w:val="20"/>
                <w:szCs w:val="20"/>
                <w:color w:val="auto"/>
              </w:rPr>
            </w:pPr>
            <w:r>
              <w:rPr>
                <w:rFonts w:ascii="Arial" w:cs="Arial" w:eastAsia="Arial" w:hAnsi="Arial"/>
                <w:sz w:val="17"/>
                <w:szCs w:val="17"/>
                <w:color w:val="auto"/>
                <w:w w:val="93"/>
              </w:rPr>
              <w:t>75%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13"/>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00" w:type="dxa"/>
            <w:vAlign w:val="bottom"/>
            <w:shd w:val="clear" w:color="auto" w:fill="E2EEF6"/>
          </w:tcPr>
          <w:p>
            <w:pPr>
              <w:ind w:left="300"/>
              <w:spacing w:after="0"/>
              <w:rPr>
                <w:sz w:val="20"/>
                <w:szCs w:val="20"/>
                <w:color w:val="auto"/>
              </w:rPr>
            </w:pPr>
            <w:r>
              <w:rPr>
                <w:rFonts w:ascii="Arial" w:cs="Arial" w:eastAsia="Arial" w:hAnsi="Arial"/>
                <w:sz w:val="17"/>
                <w:szCs w:val="17"/>
                <w:color w:val="auto"/>
              </w:rPr>
              <w:t>Other High-Specification Floaters</w:t>
            </w:r>
          </w:p>
        </w:tc>
        <w:tc>
          <w:tcPr>
            <w:tcW w:w="240" w:type="dxa"/>
            <w:vAlign w:val="bottom"/>
            <w:tcBorders>
              <w:right w:val="single" w:sz="8" w:color="E2EEF6"/>
            </w:tcBorders>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200" w:type="dxa"/>
            <w:vAlign w:val="bottom"/>
            <w:tcBorders>
              <w:right w:val="single" w:sz="8" w:color="E2EEF6"/>
            </w:tcBorders>
            <w:shd w:val="clear" w:color="auto" w:fill="E2EEF6"/>
          </w:tcPr>
          <w:p>
            <w:pPr>
              <w:jc w:val="center"/>
              <w:ind w:right="33"/>
              <w:spacing w:after="0"/>
              <w:rPr>
                <w:sz w:val="20"/>
                <w:szCs w:val="20"/>
                <w:color w:val="auto"/>
              </w:rPr>
            </w:pPr>
            <w:r>
              <w:rPr>
                <w:rFonts w:ascii="Arial" w:cs="Arial" w:eastAsia="Arial" w:hAnsi="Arial"/>
                <w:sz w:val="17"/>
                <w:szCs w:val="17"/>
                <w:color w:val="auto"/>
                <w:w w:val="93"/>
              </w:rPr>
              <w:t>90%</w:t>
            </w:r>
          </w:p>
        </w:tc>
        <w:tc>
          <w:tcPr>
            <w:tcW w:w="180" w:type="dxa"/>
            <w:vAlign w:val="bottom"/>
            <w:tcBorders>
              <w:right w:val="single" w:sz="8" w:color="E2EEF6"/>
            </w:tcBorders>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1220" w:type="dxa"/>
            <w:vAlign w:val="bottom"/>
            <w:tcBorders>
              <w:right w:val="single" w:sz="8" w:color="E2EEF6"/>
            </w:tcBorders>
            <w:shd w:val="clear" w:color="auto" w:fill="E2EEF6"/>
          </w:tcPr>
          <w:p>
            <w:pPr>
              <w:jc w:val="center"/>
              <w:ind w:right="13"/>
              <w:spacing w:after="0"/>
              <w:rPr>
                <w:sz w:val="20"/>
                <w:szCs w:val="20"/>
                <w:color w:val="auto"/>
              </w:rPr>
            </w:pPr>
            <w:r>
              <w:rPr>
                <w:rFonts w:ascii="Arial" w:cs="Arial" w:eastAsia="Arial" w:hAnsi="Arial"/>
                <w:sz w:val="17"/>
                <w:szCs w:val="17"/>
                <w:color w:val="auto"/>
                <w:w w:val="93"/>
              </w:rPr>
              <w:t>91%</w:t>
            </w:r>
          </w:p>
        </w:tc>
        <w:tc>
          <w:tcPr>
            <w:tcW w:w="160" w:type="dxa"/>
            <w:vAlign w:val="bottom"/>
            <w:tcBorders>
              <w:right w:val="single" w:sz="8" w:color="E2EEF6"/>
            </w:tcBorders>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120" w:type="dxa"/>
            <w:vAlign w:val="bottom"/>
            <w:shd w:val="clear" w:color="auto" w:fill="E2EEF6"/>
          </w:tcPr>
          <w:p>
            <w:pPr>
              <w:jc w:val="right"/>
              <w:ind w:right="313"/>
              <w:spacing w:after="0"/>
              <w:rPr>
                <w:sz w:val="20"/>
                <w:szCs w:val="20"/>
                <w:color w:val="auto"/>
              </w:rPr>
            </w:pPr>
            <w:r>
              <w:rPr>
                <w:rFonts w:ascii="Arial" w:cs="Arial" w:eastAsia="Arial" w:hAnsi="Arial"/>
                <w:sz w:val="17"/>
                <w:szCs w:val="17"/>
                <w:color w:val="auto"/>
              </w:rPr>
              <w:t>75%</w:t>
            </w:r>
          </w:p>
        </w:tc>
        <w:tc>
          <w:tcPr>
            <w:tcW w:w="10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tcPr>
          <w:p>
            <w:pPr>
              <w:ind w:left="140"/>
              <w:spacing w:after="0"/>
              <w:rPr>
                <w:sz w:val="20"/>
                <w:szCs w:val="20"/>
                <w:color w:val="auto"/>
              </w:rPr>
            </w:pPr>
            <w:r>
              <w:rPr>
                <w:rFonts w:ascii="Arial" w:cs="Arial" w:eastAsia="Arial" w:hAnsi="Arial"/>
                <w:sz w:val="17"/>
                <w:szCs w:val="17"/>
                <w:color w:val="auto"/>
              </w:rPr>
              <w:t>Total High-Specification Floaters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center"/>
              <w:ind w:right="33"/>
              <w:spacing w:after="0"/>
              <w:rPr>
                <w:sz w:val="20"/>
                <w:szCs w:val="20"/>
                <w:color w:val="auto"/>
              </w:rPr>
            </w:pPr>
            <w:r>
              <w:rPr>
                <w:rFonts w:ascii="Arial" w:cs="Arial" w:eastAsia="Arial" w:hAnsi="Arial"/>
                <w:sz w:val="17"/>
                <w:szCs w:val="17"/>
                <w:color w:val="auto"/>
                <w:w w:val="93"/>
              </w:rPr>
              <w:t>86%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ind w:right="13"/>
              <w:spacing w:after="0"/>
              <w:rPr>
                <w:sz w:val="20"/>
                <w:szCs w:val="20"/>
                <w:color w:val="auto"/>
              </w:rPr>
            </w:pPr>
            <w:r>
              <w:rPr>
                <w:rFonts w:ascii="Arial" w:cs="Arial" w:eastAsia="Arial" w:hAnsi="Arial"/>
                <w:sz w:val="17"/>
                <w:szCs w:val="17"/>
                <w:color w:val="auto"/>
                <w:w w:val="93"/>
              </w:rPr>
              <w:t>83%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13"/>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00" w:type="dxa"/>
            <w:vAlign w:val="bottom"/>
            <w:shd w:val="clear" w:color="auto" w:fill="E2EEF6"/>
          </w:tcPr>
          <w:p>
            <w:pPr>
              <w:ind w:left="140"/>
              <w:spacing w:after="0"/>
              <w:rPr>
                <w:sz w:val="20"/>
                <w:szCs w:val="20"/>
                <w:color w:val="auto"/>
              </w:rPr>
            </w:pPr>
            <w:r>
              <w:rPr>
                <w:rFonts w:ascii="Arial" w:cs="Arial" w:eastAsia="Arial" w:hAnsi="Arial"/>
                <w:sz w:val="17"/>
                <w:szCs w:val="17"/>
                <w:color w:val="auto"/>
              </w:rPr>
              <w:t>Other Floaters</w:t>
            </w:r>
          </w:p>
        </w:tc>
        <w:tc>
          <w:tcPr>
            <w:tcW w:w="240" w:type="dxa"/>
            <w:vAlign w:val="bottom"/>
            <w:tcBorders>
              <w:right w:val="single" w:sz="8" w:color="E2EEF6"/>
            </w:tcBorders>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200" w:type="dxa"/>
            <w:vAlign w:val="bottom"/>
            <w:tcBorders>
              <w:right w:val="single" w:sz="8" w:color="E2EEF6"/>
            </w:tcBorders>
            <w:shd w:val="clear" w:color="auto" w:fill="E2EEF6"/>
          </w:tcPr>
          <w:p>
            <w:pPr>
              <w:jc w:val="center"/>
              <w:ind w:right="33"/>
              <w:spacing w:after="0"/>
              <w:rPr>
                <w:sz w:val="20"/>
                <w:szCs w:val="20"/>
                <w:color w:val="auto"/>
              </w:rPr>
            </w:pPr>
            <w:r>
              <w:rPr>
                <w:rFonts w:ascii="Arial" w:cs="Arial" w:eastAsia="Arial" w:hAnsi="Arial"/>
                <w:sz w:val="17"/>
                <w:szCs w:val="17"/>
                <w:color w:val="auto"/>
                <w:w w:val="93"/>
              </w:rPr>
              <w:t>63%</w:t>
            </w:r>
          </w:p>
        </w:tc>
        <w:tc>
          <w:tcPr>
            <w:tcW w:w="180" w:type="dxa"/>
            <w:vAlign w:val="bottom"/>
            <w:tcBorders>
              <w:right w:val="single" w:sz="8" w:color="E2EEF6"/>
            </w:tcBorders>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1220" w:type="dxa"/>
            <w:vAlign w:val="bottom"/>
            <w:tcBorders>
              <w:right w:val="single" w:sz="8" w:color="E2EEF6"/>
            </w:tcBorders>
            <w:shd w:val="clear" w:color="auto" w:fill="E2EEF6"/>
          </w:tcPr>
          <w:p>
            <w:pPr>
              <w:jc w:val="center"/>
              <w:ind w:right="13"/>
              <w:spacing w:after="0"/>
              <w:rPr>
                <w:sz w:val="20"/>
                <w:szCs w:val="20"/>
                <w:color w:val="auto"/>
              </w:rPr>
            </w:pPr>
            <w:r>
              <w:rPr>
                <w:rFonts w:ascii="Arial" w:cs="Arial" w:eastAsia="Arial" w:hAnsi="Arial"/>
                <w:sz w:val="17"/>
                <w:szCs w:val="17"/>
                <w:color w:val="auto"/>
                <w:w w:val="93"/>
              </w:rPr>
              <w:t>57%</w:t>
            </w:r>
          </w:p>
        </w:tc>
        <w:tc>
          <w:tcPr>
            <w:tcW w:w="160" w:type="dxa"/>
            <w:vAlign w:val="bottom"/>
            <w:tcBorders>
              <w:right w:val="single" w:sz="8" w:color="E2EEF6"/>
            </w:tcBorders>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120" w:type="dxa"/>
            <w:vAlign w:val="bottom"/>
            <w:shd w:val="clear" w:color="auto" w:fill="E2EEF6"/>
          </w:tcPr>
          <w:p>
            <w:pPr>
              <w:jc w:val="right"/>
              <w:ind w:right="313"/>
              <w:spacing w:after="0"/>
              <w:rPr>
                <w:sz w:val="20"/>
                <w:szCs w:val="20"/>
                <w:color w:val="auto"/>
              </w:rPr>
            </w:pPr>
            <w:r>
              <w:rPr>
                <w:rFonts w:ascii="Arial" w:cs="Arial" w:eastAsia="Arial" w:hAnsi="Arial"/>
                <w:sz w:val="17"/>
                <w:szCs w:val="17"/>
                <w:color w:val="auto"/>
              </w:rPr>
              <w:t>45%</w:t>
            </w:r>
          </w:p>
        </w:tc>
        <w:tc>
          <w:tcPr>
            <w:tcW w:w="10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tcPr>
          <w:p>
            <w:pPr>
              <w:ind w:left="140"/>
              <w:spacing w:after="0"/>
              <w:rPr>
                <w:sz w:val="20"/>
                <w:szCs w:val="20"/>
                <w:color w:val="auto"/>
              </w:rPr>
            </w:pPr>
            <w:r>
              <w:rPr>
                <w:rFonts w:ascii="Arial" w:cs="Arial" w:eastAsia="Arial" w:hAnsi="Arial"/>
                <w:sz w:val="17"/>
                <w:szCs w:val="17"/>
                <w:color w:val="auto"/>
              </w:rPr>
              <w:t>Jackups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center"/>
              <w:ind w:right="33"/>
              <w:spacing w:after="0"/>
              <w:rPr>
                <w:sz w:val="20"/>
                <w:szCs w:val="20"/>
                <w:color w:val="auto"/>
              </w:rPr>
            </w:pPr>
            <w:r>
              <w:rPr>
                <w:rFonts w:ascii="Arial" w:cs="Arial" w:eastAsia="Arial" w:hAnsi="Arial"/>
                <w:sz w:val="17"/>
                <w:szCs w:val="17"/>
                <w:color w:val="auto"/>
                <w:w w:val="93"/>
              </w:rPr>
              <w:t>94%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ind w:right="13"/>
              <w:spacing w:after="0"/>
              <w:rPr>
                <w:sz w:val="20"/>
                <w:szCs w:val="20"/>
                <w:color w:val="auto"/>
              </w:rPr>
            </w:pPr>
            <w:r>
              <w:rPr>
                <w:rFonts w:ascii="Arial" w:cs="Arial" w:eastAsia="Arial" w:hAnsi="Arial"/>
                <w:sz w:val="17"/>
                <w:szCs w:val="17"/>
                <w:color w:val="auto"/>
                <w:w w:val="93"/>
              </w:rPr>
              <w:t>94%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13"/>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500" w:type="dxa"/>
            <w:vAlign w:val="bottom"/>
            <w:tcBorders>
              <w:bottom w:val="single" w:sz="8" w:color="E2EEF6"/>
            </w:tcBorders>
            <w:shd w:val="clear" w:color="auto" w:fill="E2EEF6"/>
          </w:tcPr>
          <w:p>
            <w:pPr>
              <w:ind w:left="140"/>
              <w:spacing w:after="0"/>
              <w:rPr>
                <w:sz w:val="20"/>
                <w:szCs w:val="20"/>
                <w:color w:val="auto"/>
              </w:rPr>
            </w:pPr>
            <w:r>
              <w:rPr>
                <w:rFonts w:ascii="Arial" w:cs="Arial" w:eastAsia="Arial" w:hAnsi="Arial"/>
                <w:sz w:val="17"/>
                <w:szCs w:val="17"/>
                <w:color w:val="auto"/>
              </w:rPr>
              <w:t>Other Rigs</w:t>
            </w:r>
          </w:p>
        </w:tc>
        <w:tc>
          <w:tcPr>
            <w:tcW w:w="240" w:type="dxa"/>
            <w:vAlign w:val="bottom"/>
            <w:tcBorders>
              <w:bottom w:val="single" w:sz="8" w:color="E2EEF6"/>
              <w:right w:val="single" w:sz="8" w:color="E2EEF6"/>
            </w:tcBorders>
            <w:shd w:val="clear" w:color="auto" w:fill="E2EEF6"/>
          </w:tcPr>
          <w:p>
            <w:pPr>
              <w:spacing w:after="0"/>
              <w:rPr>
                <w:sz w:val="21"/>
                <w:szCs w:val="21"/>
                <w:color w:val="auto"/>
              </w:rPr>
            </w:pPr>
          </w:p>
        </w:tc>
        <w:tc>
          <w:tcPr>
            <w:tcW w:w="240" w:type="dxa"/>
            <w:vAlign w:val="bottom"/>
            <w:tcBorders>
              <w:bottom w:val="single" w:sz="8" w:color="E2EEF6"/>
            </w:tcBorders>
            <w:shd w:val="clear" w:color="auto" w:fill="E2EEF6"/>
          </w:tcPr>
          <w:p>
            <w:pPr>
              <w:spacing w:after="0"/>
              <w:rPr>
                <w:sz w:val="21"/>
                <w:szCs w:val="21"/>
                <w:color w:val="auto"/>
              </w:rPr>
            </w:pPr>
          </w:p>
        </w:tc>
        <w:tc>
          <w:tcPr>
            <w:tcW w:w="1200" w:type="dxa"/>
            <w:vAlign w:val="bottom"/>
            <w:tcBorders>
              <w:bottom w:val="single" w:sz="8" w:color="E2EEF6"/>
              <w:right w:val="single" w:sz="8" w:color="E2EEF6"/>
            </w:tcBorders>
            <w:shd w:val="clear" w:color="auto" w:fill="E2EEF6"/>
          </w:tcPr>
          <w:p>
            <w:pPr>
              <w:jc w:val="center"/>
              <w:ind w:right="33"/>
              <w:spacing w:after="0"/>
              <w:rPr>
                <w:sz w:val="20"/>
                <w:szCs w:val="20"/>
                <w:color w:val="auto"/>
              </w:rPr>
            </w:pPr>
            <w:r>
              <w:rPr>
                <w:rFonts w:ascii="Arial" w:cs="Arial" w:eastAsia="Arial" w:hAnsi="Arial"/>
                <w:sz w:val="17"/>
                <w:szCs w:val="17"/>
                <w:color w:val="auto"/>
                <w:w w:val="93"/>
              </w:rPr>
              <w:t>57%</w:t>
            </w:r>
          </w:p>
        </w:tc>
        <w:tc>
          <w:tcPr>
            <w:tcW w:w="180" w:type="dxa"/>
            <w:vAlign w:val="bottom"/>
            <w:tcBorders>
              <w:bottom w:val="single" w:sz="8" w:color="E2EEF6"/>
              <w:right w:val="single" w:sz="8" w:color="E2EEF6"/>
            </w:tcBorders>
            <w:shd w:val="clear" w:color="auto" w:fill="E2EEF6"/>
          </w:tcPr>
          <w:p>
            <w:pPr>
              <w:spacing w:after="0"/>
              <w:rPr>
                <w:sz w:val="21"/>
                <w:szCs w:val="21"/>
                <w:color w:val="auto"/>
              </w:rPr>
            </w:pPr>
          </w:p>
        </w:tc>
        <w:tc>
          <w:tcPr>
            <w:tcW w:w="200" w:type="dxa"/>
            <w:vAlign w:val="bottom"/>
            <w:tcBorders>
              <w:bottom w:val="single" w:sz="8" w:color="E2EEF6"/>
            </w:tcBorders>
            <w:shd w:val="clear" w:color="auto" w:fill="E2EEF6"/>
          </w:tcPr>
          <w:p>
            <w:pPr>
              <w:spacing w:after="0"/>
              <w:rPr>
                <w:sz w:val="21"/>
                <w:szCs w:val="21"/>
                <w:color w:val="auto"/>
              </w:rPr>
            </w:pPr>
          </w:p>
        </w:tc>
        <w:tc>
          <w:tcPr>
            <w:tcW w:w="1220" w:type="dxa"/>
            <w:vAlign w:val="bottom"/>
            <w:tcBorders>
              <w:bottom w:val="single" w:sz="8" w:color="E2EEF6"/>
              <w:right w:val="single" w:sz="8" w:color="E2EEF6"/>
            </w:tcBorders>
            <w:shd w:val="clear" w:color="auto" w:fill="E2EEF6"/>
          </w:tcPr>
          <w:p>
            <w:pPr>
              <w:jc w:val="center"/>
              <w:ind w:right="13"/>
              <w:spacing w:after="0"/>
              <w:rPr>
                <w:sz w:val="20"/>
                <w:szCs w:val="20"/>
                <w:color w:val="auto"/>
              </w:rPr>
            </w:pPr>
            <w:r>
              <w:rPr>
                <w:rFonts w:ascii="Arial" w:cs="Arial" w:eastAsia="Arial" w:hAnsi="Arial"/>
                <w:sz w:val="17"/>
                <w:szCs w:val="17"/>
                <w:color w:val="auto"/>
                <w:w w:val="93"/>
              </w:rPr>
              <w:t>44%</w:t>
            </w:r>
          </w:p>
        </w:tc>
        <w:tc>
          <w:tcPr>
            <w:tcW w:w="160" w:type="dxa"/>
            <w:vAlign w:val="bottom"/>
            <w:tcBorders>
              <w:bottom w:val="single" w:sz="8" w:color="E2EEF6"/>
              <w:right w:val="single" w:sz="8" w:color="E2EEF6"/>
            </w:tcBorders>
            <w:shd w:val="clear" w:color="auto" w:fill="E2EEF6"/>
          </w:tcPr>
          <w:p>
            <w:pPr>
              <w:spacing w:after="0"/>
              <w:rPr>
                <w:sz w:val="21"/>
                <w:szCs w:val="21"/>
                <w:color w:val="auto"/>
              </w:rPr>
            </w:pPr>
          </w:p>
        </w:tc>
        <w:tc>
          <w:tcPr>
            <w:tcW w:w="240" w:type="dxa"/>
            <w:vAlign w:val="bottom"/>
            <w:tcBorders>
              <w:bottom w:val="single" w:sz="8" w:color="E2EEF6"/>
            </w:tcBorders>
            <w:shd w:val="clear" w:color="auto" w:fill="E2EEF6"/>
          </w:tcPr>
          <w:p>
            <w:pPr>
              <w:spacing w:after="0"/>
              <w:rPr>
                <w:sz w:val="21"/>
                <w:szCs w:val="21"/>
                <w:color w:val="auto"/>
              </w:rPr>
            </w:pPr>
          </w:p>
        </w:tc>
        <w:tc>
          <w:tcPr>
            <w:tcW w:w="1120" w:type="dxa"/>
            <w:vAlign w:val="bottom"/>
            <w:tcBorders>
              <w:bottom w:val="single" w:sz="8" w:color="E2EEF6"/>
            </w:tcBorders>
            <w:shd w:val="clear" w:color="auto" w:fill="E2EEF6"/>
          </w:tcPr>
          <w:p>
            <w:pPr>
              <w:jc w:val="right"/>
              <w:ind w:right="313"/>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E2EEF6"/>
            </w:tcBorders>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shd w:val="clear" w:color="auto" w:fill="E2EEF6"/>
          </w:tcPr>
          <w:p>
            <w:pPr>
              <w:spacing w:after="0" w:line="20" w:lineRule="exact"/>
              <w:rPr>
                <w:sz w:val="1"/>
                <w:szCs w:val="1"/>
                <w:color w:val="auto"/>
              </w:rPr>
            </w:pPr>
          </w:p>
        </w:tc>
        <w:tc>
          <w:tcPr>
            <w:tcW w:w="240" w:type="dxa"/>
            <w:vAlign w:val="bottom"/>
            <w:tcBorders>
              <w:right w:val="single" w:sz="8" w:color="auto"/>
            </w:tcBorders>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E2EEF6"/>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520" w:type="dxa"/>
            <w:vAlign w:val="bottom"/>
            <w:gridSpan w:val="2"/>
          </w:tcPr>
          <w:p>
            <w:pPr>
              <w:spacing w:after="0"/>
              <w:rPr>
                <w:sz w:val="20"/>
                <w:szCs w:val="20"/>
                <w:color w:val="auto"/>
              </w:rPr>
            </w:pPr>
            <w:r>
              <w:rPr>
                <w:rFonts w:ascii="Arial" w:cs="Arial" w:eastAsia="Arial" w:hAnsi="Arial"/>
                <w:sz w:val="17"/>
                <w:szCs w:val="17"/>
                <w:color w:val="auto"/>
              </w:rPr>
              <w:t>Segment Total</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color w:val="auto"/>
                <w:w w:val="93"/>
              </w:rPr>
              <w:t>79%</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color w:val="auto"/>
                <w:w w:val="93"/>
              </w:rPr>
              <w:t>75%</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68%</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bottom w:val="single" w:sz="8" w:color="E2EEF6"/>
            </w:tcBorders>
            <w:shd w:val="clear" w:color="auto" w:fill="E2EEF6"/>
          </w:tcPr>
          <w:p>
            <w:pPr>
              <w:spacing w:after="0"/>
              <w:rPr>
                <w:sz w:val="18"/>
                <w:szCs w:val="18"/>
                <w:color w:val="auto"/>
              </w:rPr>
            </w:pPr>
          </w:p>
        </w:tc>
        <w:tc>
          <w:tcPr>
            <w:tcW w:w="240" w:type="dxa"/>
            <w:vAlign w:val="bottom"/>
            <w:tcBorders>
              <w:bottom w:val="single" w:sz="8" w:color="E2EEF6"/>
              <w:right w:val="single" w:sz="8" w:color="E2EEF6"/>
            </w:tcBorders>
            <w:shd w:val="clear" w:color="auto" w:fill="E2EEF6"/>
          </w:tcPr>
          <w:p>
            <w:pPr>
              <w:spacing w:after="0"/>
              <w:rPr>
                <w:sz w:val="18"/>
                <w:szCs w:val="18"/>
                <w:color w:val="auto"/>
              </w:rPr>
            </w:pPr>
          </w:p>
        </w:tc>
        <w:tc>
          <w:tcPr>
            <w:tcW w:w="240" w:type="dxa"/>
            <w:vAlign w:val="bottom"/>
            <w:tcBorders>
              <w:bottom w:val="single" w:sz="8" w:color="auto"/>
            </w:tcBorders>
            <w:shd w:val="clear" w:color="auto" w:fill="E2EEF6"/>
          </w:tcPr>
          <w:p>
            <w:pPr>
              <w:spacing w:after="0"/>
              <w:rPr>
                <w:sz w:val="18"/>
                <w:szCs w:val="18"/>
                <w:color w:val="auto"/>
              </w:rPr>
            </w:pPr>
          </w:p>
        </w:tc>
        <w:tc>
          <w:tcPr>
            <w:tcW w:w="1200" w:type="dxa"/>
            <w:vAlign w:val="bottom"/>
            <w:tcBorders>
              <w:bottom w:val="single" w:sz="8" w:color="auto"/>
              <w:right w:val="single" w:sz="8" w:color="E2EEF6"/>
            </w:tcBorders>
            <w:shd w:val="clear" w:color="auto" w:fill="E2EEF6"/>
          </w:tcPr>
          <w:p>
            <w:pPr>
              <w:spacing w:after="0"/>
              <w:rPr>
                <w:sz w:val="18"/>
                <w:szCs w:val="18"/>
                <w:color w:val="auto"/>
              </w:rPr>
            </w:pPr>
          </w:p>
        </w:tc>
        <w:tc>
          <w:tcPr>
            <w:tcW w:w="180" w:type="dxa"/>
            <w:vAlign w:val="bottom"/>
            <w:tcBorders>
              <w:bottom w:val="single" w:sz="8" w:color="E2EEF6"/>
              <w:right w:val="single" w:sz="8" w:color="E2EEF6"/>
            </w:tcBorders>
            <w:shd w:val="clear" w:color="auto" w:fill="E2EEF6"/>
          </w:tcPr>
          <w:p>
            <w:pPr>
              <w:spacing w:after="0"/>
              <w:rPr>
                <w:sz w:val="18"/>
                <w:szCs w:val="18"/>
                <w:color w:val="auto"/>
              </w:rPr>
            </w:pPr>
          </w:p>
        </w:tc>
        <w:tc>
          <w:tcPr>
            <w:tcW w:w="200" w:type="dxa"/>
            <w:vAlign w:val="bottom"/>
            <w:tcBorders>
              <w:bottom w:val="single" w:sz="8" w:color="auto"/>
            </w:tcBorders>
            <w:shd w:val="clear" w:color="auto" w:fill="E2EEF6"/>
          </w:tcPr>
          <w:p>
            <w:pPr>
              <w:spacing w:after="0"/>
              <w:rPr>
                <w:sz w:val="18"/>
                <w:szCs w:val="18"/>
                <w:color w:val="auto"/>
              </w:rPr>
            </w:pPr>
          </w:p>
        </w:tc>
        <w:tc>
          <w:tcPr>
            <w:tcW w:w="1220" w:type="dxa"/>
            <w:vAlign w:val="bottom"/>
            <w:tcBorders>
              <w:bottom w:val="single" w:sz="8" w:color="auto"/>
              <w:right w:val="single" w:sz="8" w:color="E2EEF6"/>
            </w:tcBorders>
            <w:shd w:val="clear" w:color="auto" w:fill="E2EEF6"/>
          </w:tcPr>
          <w:p>
            <w:pPr>
              <w:spacing w:after="0"/>
              <w:rPr>
                <w:sz w:val="18"/>
                <w:szCs w:val="18"/>
                <w:color w:val="auto"/>
              </w:rPr>
            </w:pPr>
          </w:p>
        </w:tc>
        <w:tc>
          <w:tcPr>
            <w:tcW w:w="160" w:type="dxa"/>
            <w:vAlign w:val="bottom"/>
            <w:tcBorders>
              <w:bottom w:val="single" w:sz="8" w:color="E2EEF6"/>
              <w:right w:val="single" w:sz="8" w:color="E2EEF6"/>
            </w:tcBorders>
            <w:shd w:val="clear" w:color="auto" w:fill="E2EEF6"/>
          </w:tcPr>
          <w:p>
            <w:pPr>
              <w:spacing w:after="0"/>
              <w:rPr>
                <w:sz w:val="18"/>
                <w:szCs w:val="18"/>
                <w:color w:val="auto"/>
              </w:rPr>
            </w:pPr>
          </w:p>
        </w:tc>
        <w:tc>
          <w:tcPr>
            <w:tcW w:w="240" w:type="dxa"/>
            <w:vAlign w:val="bottom"/>
            <w:tcBorders>
              <w:bottom w:val="single" w:sz="8" w:color="auto"/>
            </w:tcBorders>
            <w:shd w:val="clear" w:color="auto" w:fill="E2EEF6"/>
          </w:tcPr>
          <w:p>
            <w:pPr>
              <w:spacing w:after="0"/>
              <w:rPr>
                <w:sz w:val="18"/>
                <w:szCs w:val="18"/>
                <w:color w:val="auto"/>
              </w:rPr>
            </w:pPr>
          </w:p>
        </w:tc>
        <w:tc>
          <w:tcPr>
            <w:tcW w:w="1120" w:type="dxa"/>
            <w:vAlign w:val="bottom"/>
            <w:tcBorders>
              <w:bottom w:val="single" w:sz="8" w:color="auto"/>
            </w:tcBorders>
            <w:shd w:val="clear" w:color="auto" w:fill="E2EEF6"/>
          </w:tcPr>
          <w:p>
            <w:pPr>
              <w:spacing w:after="0"/>
              <w:rPr>
                <w:sz w:val="18"/>
                <w:szCs w:val="18"/>
                <w:color w:val="auto"/>
              </w:rPr>
            </w:pPr>
          </w:p>
        </w:tc>
        <w:tc>
          <w:tcPr>
            <w:tcW w:w="100" w:type="dxa"/>
            <w:vAlign w:val="bottom"/>
            <w:tcBorders>
              <w:bottom w:val="single" w:sz="8" w:color="auto"/>
            </w:tcBorders>
            <w:shd w:val="clear" w:color="auto" w:fill="E2EEF6"/>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520" w:type="dxa"/>
            <w:vAlign w:val="bottom"/>
            <w:gridSpan w:val="2"/>
          </w:tcPr>
          <w:p>
            <w:pPr>
              <w:spacing w:after="0"/>
              <w:rPr>
                <w:sz w:val="20"/>
                <w:szCs w:val="20"/>
                <w:color w:val="auto"/>
              </w:rPr>
            </w:pPr>
            <w:r>
              <w:rPr>
                <w:rFonts w:ascii="Arial" w:cs="Arial" w:eastAsia="Arial" w:hAnsi="Arial"/>
                <w:sz w:val="17"/>
                <w:szCs w:val="17"/>
                <w:i w:val="1"/>
                <w:iCs w:val="1"/>
                <w:color w:val="auto"/>
              </w:rPr>
              <w:t>TODCO Segment (a)</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center"/>
              <w:ind w:right="1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13"/>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5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shd w:val="clear" w:color="auto" w:fill="E2EEF6"/>
          </w:tcPr>
          <w:p>
            <w:pPr>
              <w:spacing w:after="0"/>
              <w:rPr>
                <w:sz w:val="19"/>
                <w:szCs w:val="19"/>
                <w:color w:val="auto"/>
              </w:rPr>
            </w:pPr>
          </w:p>
        </w:tc>
        <w:tc>
          <w:tcPr>
            <w:tcW w:w="240" w:type="dxa"/>
            <w:vAlign w:val="bottom"/>
            <w:tcBorders>
              <w:right w:val="single" w:sz="8" w:color="E2EEF6"/>
            </w:tcBorders>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1200" w:type="dxa"/>
            <w:vAlign w:val="bottom"/>
            <w:tcBorders>
              <w:right w:val="single" w:sz="8" w:color="E2EEF6"/>
            </w:tcBorders>
            <w:shd w:val="clear" w:color="auto" w:fill="E2EEF6"/>
          </w:tcPr>
          <w:p>
            <w:pPr>
              <w:spacing w:after="0"/>
              <w:rPr>
                <w:sz w:val="19"/>
                <w:szCs w:val="19"/>
                <w:color w:val="auto"/>
              </w:rPr>
            </w:pPr>
          </w:p>
        </w:tc>
        <w:tc>
          <w:tcPr>
            <w:tcW w:w="180" w:type="dxa"/>
            <w:vAlign w:val="bottom"/>
            <w:tcBorders>
              <w:right w:val="single" w:sz="8" w:color="E2EEF6"/>
            </w:tcBorders>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1220" w:type="dxa"/>
            <w:vAlign w:val="bottom"/>
            <w:tcBorders>
              <w:right w:val="single" w:sz="8" w:color="E2EEF6"/>
            </w:tcBorders>
            <w:shd w:val="clear" w:color="auto" w:fill="E2EEF6"/>
          </w:tcPr>
          <w:p>
            <w:pPr>
              <w:spacing w:after="0"/>
              <w:rPr>
                <w:sz w:val="19"/>
                <w:szCs w:val="19"/>
                <w:color w:val="auto"/>
              </w:rPr>
            </w:pPr>
          </w:p>
        </w:tc>
        <w:tc>
          <w:tcPr>
            <w:tcW w:w="160" w:type="dxa"/>
            <w:vAlign w:val="bottom"/>
            <w:tcBorders>
              <w:right w:val="single" w:sz="8" w:color="E2EEF6"/>
            </w:tcBorders>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112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20" w:type="dxa"/>
            <w:vAlign w:val="bottom"/>
            <w:gridSpan w:val="2"/>
          </w:tcPr>
          <w:p>
            <w:pPr>
              <w:spacing w:after="0"/>
              <w:rPr>
                <w:sz w:val="20"/>
                <w:szCs w:val="20"/>
                <w:color w:val="auto"/>
              </w:rPr>
            </w:pPr>
            <w:r>
              <w:rPr>
                <w:rFonts w:ascii="Arial" w:cs="Arial" w:eastAsia="Arial" w:hAnsi="Arial"/>
                <w:sz w:val="17"/>
                <w:szCs w:val="17"/>
                <w:color w:val="auto"/>
              </w:rPr>
              <w:t>Total Drilling Fleet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color w:val="auto"/>
                <w:w w:val="93"/>
              </w:rPr>
              <w:t>79%</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color w:val="auto"/>
                <w:w w:val="93"/>
              </w:rPr>
              <w:t>75%</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7"/>
                <w:szCs w:val="17"/>
                <w:color w:val="auto"/>
              </w:rPr>
              <w:t>__________________________</w:t>
            </w: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40" w:hanging="635"/>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TODCO was deconsolidated effective December 17, 2004 (see “—Operating Results”).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51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 to Form 10-Q</w:t>
              </w:r>
            </w:hyperlink>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7"/>
        </w:trPr>
        <w:tc>
          <w:tcPr>
            <w:tcW w:w="5160" w:type="dxa"/>
            <w:vAlign w:val="bottom"/>
            <w:gridSpan w:val="2"/>
          </w:tcPr>
          <w:p>
            <w:pPr>
              <w:spacing w:after="0"/>
              <w:rPr>
                <w:sz w:val="20"/>
                <w:szCs w:val="20"/>
                <w:color w:val="auto"/>
              </w:rPr>
            </w:pPr>
            <w:r>
              <w:rPr>
                <w:rFonts w:ascii="Arial" w:cs="Arial" w:eastAsia="Arial" w:hAnsi="Arial"/>
                <w:sz w:val="17"/>
                <w:szCs w:val="17"/>
                <w:b w:val="1"/>
                <w:bCs w:val="1"/>
                <w:color w:val="auto"/>
              </w:rPr>
              <w:t>Financial Condition</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71"/>
        </w:trPr>
        <w:tc>
          <w:tcPr>
            <w:tcW w:w="5160" w:type="dxa"/>
            <w:vAlign w:val="bottom"/>
            <w:gridSpan w:val="2"/>
          </w:tcPr>
          <w:p>
            <w:pPr>
              <w:ind w:left="640"/>
              <w:spacing w:after="0"/>
              <w:rPr>
                <w:sz w:val="20"/>
                <w:szCs w:val="20"/>
                <w:color w:val="auto"/>
              </w:rPr>
            </w:pPr>
            <w:r>
              <w:rPr>
                <w:rFonts w:ascii="Arial" w:cs="Arial" w:eastAsia="Arial" w:hAnsi="Arial"/>
                <w:sz w:val="17"/>
                <w:szCs w:val="17"/>
                <w:b w:val="1"/>
                <w:bCs w:val="1"/>
                <w:i w:val="1"/>
                <w:iCs w:val="1"/>
                <w:color w:val="auto"/>
              </w:rPr>
              <w:t>June 30, 2005 compared to December 31, 2004</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11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w w:val="97"/>
              </w:rPr>
              <w:t>December 31,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96"/>
              </w:rPr>
              <w:t>June 30, 2005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2004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Change</w:t>
            </w:r>
          </w:p>
        </w:tc>
        <w:tc>
          <w:tcPr>
            <w:tcW w:w="220" w:type="dxa"/>
            <w:vAlign w:val="bottom"/>
          </w:tcPr>
          <w:p>
            <w:pPr>
              <w:spacing w:after="0"/>
              <w:rPr>
                <w:sz w:val="19"/>
                <w:szCs w:val="19"/>
                <w:color w:val="auto"/>
              </w:rPr>
            </w:pPr>
          </w:p>
        </w:tc>
        <w:tc>
          <w:tcPr>
            <w:tcW w:w="136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 Change</w:t>
            </w:r>
          </w:p>
        </w:tc>
        <w:tc>
          <w:tcPr>
            <w:tcW w:w="160" w:type="dxa"/>
            <w:vAlign w:val="bottom"/>
          </w:tcPr>
          <w:p>
            <w:pPr>
              <w:spacing w:after="0"/>
              <w:rPr>
                <w:sz w:val="19"/>
                <w:szCs w:val="19"/>
                <w:color w:val="auto"/>
              </w:rPr>
            </w:pPr>
          </w:p>
        </w:tc>
      </w:tr>
      <w:tr>
        <w:trPr>
          <w:trHeight w:val="228"/>
        </w:trPr>
        <w:tc>
          <w:tcPr>
            <w:tcW w:w="11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gridSpan w:val="6"/>
          </w:tcPr>
          <w:p>
            <w:pPr>
              <w:jc w:val="right"/>
              <w:ind w:right="620"/>
              <w:spacing w:after="0"/>
              <w:rPr>
                <w:sz w:val="20"/>
                <w:szCs w:val="20"/>
                <w:color w:val="auto"/>
              </w:rPr>
            </w:pPr>
            <w:r>
              <w:rPr>
                <w:rFonts w:ascii="Arial" w:cs="Arial" w:eastAsia="Arial" w:hAnsi="Arial"/>
                <w:sz w:val="17"/>
                <w:szCs w:val="17"/>
                <w:color w:val="auto"/>
              </w:rPr>
              <w:t>(In millions, except % change)</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6"/>
        </w:trPr>
        <w:tc>
          <w:tcPr>
            <w:tcW w:w="11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spacing w:after="0"/>
              <w:rPr>
                <w:sz w:val="20"/>
                <w:szCs w:val="20"/>
                <w:color w:val="auto"/>
              </w:rPr>
            </w:pPr>
          </w:p>
        </w:tc>
        <w:tc>
          <w:tcPr>
            <w:tcW w:w="400" w:type="dxa"/>
            <w:vAlign w:val="bottom"/>
            <w:gridSpan w:val="2"/>
          </w:tcPr>
          <w:p>
            <w:pPr>
              <w:spacing w:after="0"/>
              <w:rPr>
                <w:sz w:val="20"/>
                <w:szCs w:val="20"/>
                <w:color w:val="auto"/>
              </w:rPr>
            </w:pPr>
          </w:p>
        </w:tc>
        <w:tc>
          <w:tcPr>
            <w:tcW w:w="1280" w:type="dxa"/>
            <w:vAlign w:val="bottom"/>
            <w:gridSpan w:val="2"/>
          </w:tcPr>
          <w:p>
            <w:pPr>
              <w:spacing w:after="0"/>
              <w:rPr>
                <w:sz w:val="20"/>
                <w:szCs w:val="20"/>
                <w:color w:val="auto"/>
              </w:rPr>
            </w:pPr>
          </w:p>
        </w:tc>
        <w:tc>
          <w:tcPr>
            <w:tcW w:w="1520" w:type="dxa"/>
            <w:vAlign w:val="bottom"/>
            <w:gridSpan w:val="2"/>
          </w:tcPr>
          <w:p>
            <w:pPr>
              <w:spacing w:after="0"/>
              <w:rPr>
                <w:sz w:val="20"/>
                <w:szCs w:val="20"/>
                <w:color w:val="auto"/>
              </w:rPr>
            </w:pPr>
          </w:p>
        </w:tc>
      </w:tr>
      <w:tr>
        <w:trPr>
          <w:trHeight w:val="255"/>
        </w:trPr>
        <w:tc>
          <w:tcPr>
            <w:tcW w:w="5160" w:type="dxa"/>
            <w:vAlign w:val="bottom"/>
            <w:gridSpan w:val="2"/>
            <w:shd w:val="clear" w:color="auto" w:fill="E2EEF6"/>
          </w:tcPr>
          <w:p>
            <w:pPr>
              <w:ind w:left="320"/>
              <w:spacing w:after="0"/>
              <w:rPr>
                <w:sz w:val="20"/>
                <w:szCs w:val="20"/>
                <w:color w:val="auto"/>
              </w:rPr>
            </w:pPr>
            <w:r>
              <w:rPr>
                <w:rFonts w:ascii="Arial" w:cs="Arial" w:eastAsia="Arial" w:hAnsi="Arial"/>
                <w:sz w:val="17"/>
                <w:szCs w:val="17"/>
                <w:color w:val="auto"/>
              </w:rPr>
              <w:t>Total Assets</w:t>
            </w:r>
          </w:p>
        </w:tc>
        <w:tc>
          <w:tcPr>
            <w:tcW w:w="180" w:type="dxa"/>
            <w:vAlign w:val="bottom"/>
            <w:shd w:val="clear" w:color="auto" w:fill="E2EEF6"/>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E2EEF6"/>
          </w:tcPr>
          <w:p>
            <w:pPr>
              <w:jc w:val="right"/>
              <w:spacing w:after="0"/>
              <w:rPr>
                <w:sz w:val="20"/>
                <w:szCs w:val="20"/>
                <w:color w:val="auto"/>
              </w:rPr>
            </w:pPr>
            <w:r>
              <w:rPr>
                <w:rFonts w:ascii="Arial" w:cs="Arial" w:eastAsia="Arial" w:hAnsi="Arial"/>
                <w:sz w:val="17"/>
                <w:szCs w:val="17"/>
                <w:color w:val="auto"/>
              </w:rPr>
              <w:t>11,159.2</w:t>
            </w:r>
          </w:p>
        </w:tc>
        <w:tc>
          <w:tcPr>
            <w:tcW w:w="220" w:type="dxa"/>
            <w:vAlign w:val="bottom"/>
            <w:shd w:val="clear" w:color="auto" w:fill="E2EEF6"/>
          </w:tcPr>
          <w:p>
            <w:pPr>
              <w:spacing w:after="0"/>
              <w:rPr>
                <w:sz w:val="22"/>
                <w:szCs w:val="22"/>
                <w:color w:val="auto"/>
              </w:rPr>
            </w:pPr>
          </w:p>
        </w:tc>
        <w:tc>
          <w:tcPr>
            <w:tcW w:w="180" w:type="dxa"/>
            <w:vAlign w:val="bottom"/>
            <w:shd w:val="clear" w:color="auto" w:fill="E2EEF6"/>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E2EEF6"/>
          </w:tcPr>
          <w:p>
            <w:pPr>
              <w:jc w:val="right"/>
              <w:ind w:right="120"/>
              <w:spacing w:after="0"/>
              <w:rPr>
                <w:sz w:val="20"/>
                <w:szCs w:val="20"/>
                <w:color w:val="auto"/>
              </w:rPr>
            </w:pPr>
            <w:r>
              <w:rPr>
                <w:rFonts w:ascii="Arial" w:cs="Arial" w:eastAsia="Arial" w:hAnsi="Arial"/>
                <w:sz w:val="17"/>
                <w:szCs w:val="17"/>
                <w:color w:val="auto"/>
              </w:rPr>
              <w:t>10,758.3</w:t>
            </w:r>
          </w:p>
        </w:tc>
        <w:tc>
          <w:tcPr>
            <w:tcW w:w="400" w:type="dxa"/>
            <w:vAlign w:val="bottom"/>
            <w:gridSpan w:val="2"/>
            <w:shd w:val="clear" w:color="auto" w:fill="E2EEF6"/>
          </w:tcPr>
          <w:p>
            <w:pPr>
              <w:jc w:val="right"/>
              <w:ind w:right="20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400.9</w:t>
            </w:r>
          </w:p>
        </w:tc>
        <w:tc>
          <w:tcPr>
            <w:tcW w:w="152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4%</w:t>
            </w:r>
          </w:p>
        </w:tc>
      </w:tr>
      <w:tr>
        <w:trPr>
          <w:trHeight w:val="20"/>
        </w:trPr>
        <w:tc>
          <w:tcPr>
            <w:tcW w:w="1120" w:type="dxa"/>
            <w:vAlign w:val="bottom"/>
            <w:tcBorders>
              <w:top w:val="single" w:sz="8" w:color="E2EEF6"/>
            </w:tcBorders>
            <w:shd w:val="clear" w:color="auto" w:fill="E2EEF6"/>
          </w:tcPr>
          <w:p>
            <w:pPr>
              <w:spacing w:after="0" w:line="20" w:lineRule="exact"/>
              <w:rPr>
                <w:sz w:val="1"/>
                <w:szCs w:val="1"/>
                <w:color w:val="auto"/>
              </w:rPr>
            </w:pPr>
          </w:p>
        </w:tc>
        <w:tc>
          <w:tcPr>
            <w:tcW w:w="4040" w:type="dxa"/>
            <w:vAlign w:val="bottom"/>
            <w:tcBorders>
              <w:top w:val="single" w:sz="8" w:color="E2EEF6"/>
            </w:tcBorders>
            <w:shd w:val="clear" w:color="auto" w:fill="E2EEF6"/>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EF6"/>
            </w:tcBorders>
            <w:shd w:val="clear" w:color="auto" w:fill="E2EEF6"/>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2EEF6"/>
            </w:tcBorders>
            <w:shd w:val="clear" w:color="auto" w:fill="E2EEF6"/>
          </w:tcPr>
          <w:p>
            <w:pPr>
              <w:spacing w:after="0" w:line="20" w:lineRule="exact"/>
              <w:rPr>
                <w:sz w:val="1"/>
                <w:szCs w:val="1"/>
                <w:color w:val="auto"/>
              </w:rPr>
            </w:pPr>
          </w:p>
        </w:tc>
      </w:tr>
    </w:tbl>
    <w:p>
      <w:pPr>
        <w:spacing w:after="0" w:line="249"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6"/>
          <w:szCs w:val="16"/>
          <w:color w:val="auto"/>
        </w:rPr>
        <w:t>The increase in assets was mainly due to increases in cash and cash equivalents and accounts receivable of $491.2 million and $122.2 million, respectively, partially offset by decreases in property and equipment of $121.8 million and investments in unconsolidated affiliates. The increase in cash and cash equivalents related primarily to net proceeds received from the 2005 Offering and Sale (see “—Significant Events”), the exercise of stock options ($159.4 million), the sale of assets ($60.5 million) and cash from operations during the six months ended June 30, 2005, partially offset by the repayment of debt ($295.3 million) and capital expenditures ($109.6 million) (see “—Acquisitions and Dispositions”). The increase in accounts receivable is primarily related to the increase in activity during the first six months of 2005. The decrease in property and equipment primarily related to depreciation and asset disposals, partially offset by capital expenditures. The decrease in investments in unconsolidated affiliates primarily related to the 2005 Offering and Sale.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520" w:type="dxa"/>
            <w:vAlign w:val="bottom"/>
          </w:tcPr>
          <w:p>
            <w:pPr>
              <w:spacing w:after="0"/>
              <w:rPr>
                <w:sz w:val="20"/>
                <w:szCs w:val="20"/>
                <w:color w:val="auto"/>
              </w:rPr>
            </w:pPr>
            <w:r>
              <w:rPr>
                <w:rFonts w:ascii="Arial" w:cs="Arial" w:eastAsia="Arial" w:hAnsi="Arial"/>
                <w:sz w:val="17"/>
                <w:szCs w:val="17"/>
                <w:b w:val="1"/>
                <w:bCs w:val="1"/>
                <w:color w:val="auto"/>
              </w:rPr>
              <w:t>Liquidity and Capital Resources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1"/>
        </w:trPr>
        <w:tc>
          <w:tcPr>
            <w:tcW w:w="6520" w:type="dxa"/>
            <w:vAlign w:val="bottom"/>
          </w:tcPr>
          <w:p>
            <w:pPr>
              <w:ind w:left="640"/>
              <w:spacing w:after="0"/>
              <w:rPr>
                <w:sz w:val="20"/>
                <w:szCs w:val="20"/>
                <w:color w:val="auto"/>
              </w:rPr>
            </w:pPr>
            <w:r>
              <w:rPr>
                <w:rFonts w:ascii="Arial" w:cs="Arial" w:eastAsia="Arial" w:hAnsi="Arial"/>
                <w:sz w:val="17"/>
                <w:szCs w:val="17"/>
                <w:b w:val="1"/>
                <w:bCs w:val="1"/>
                <w:color w:val="auto"/>
              </w:rPr>
              <w:t>Sources and Uses of Cash</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6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gridSpan w:val="6"/>
          </w:tcPr>
          <w:p>
            <w:pPr>
              <w:jc w:val="right"/>
              <w:ind w:right="980"/>
              <w:spacing w:after="0"/>
              <w:rPr>
                <w:sz w:val="20"/>
                <w:szCs w:val="20"/>
                <w:color w:val="auto"/>
              </w:rPr>
            </w:pPr>
            <w:r>
              <w:rPr>
                <w:rFonts w:ascii="Arial" w:cs="Arial" w:eastAsia="Arial" w:hAnsi="Arial"/>
                <w:sz w:val="17"/>
                <w:szCs w:val="17"/>
                <w:color w:val="auto"/>
              </w:rPr>
              <w:t>Six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June 30,</w:t>
            </w:r>
          </w:p>
        </w:tc>
        <w:tc>
          <w:tcPr>
            <w:tcW w:w="11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5"/>
        </w:trPr>
        <w:tc>
          <w:tcPr>
            <w:tcW w:w="6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2005</w:t>
            </w:r>
          </w:p>
        </w:tc>
        <w:tc>
          <w:tcPr>
            <w:tcW w:w="4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2004</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Change</w:t>
            </w:r>
          </w:p>
        </w:tc>
        <w:tc>
          <w:tcPr>
            <w:tcW w:w="100" w:type="dxa"/>
            <w:vAlign w:val="bottom"/>
          </w:tcPr>
          <w:p>
            <w:pPr>
              <w:spacing w:after="0"/>
              <w:rPr>
                <w:sz w:val="22"/>
                <w:szCs w:val="22"/>
                <w:color w:val="auto"/>
              </w:rPr>
            </w:pPr>
          </w:p>
        </w:tc>
      </w:tr>
      <w:tr>
        <w:trPr>
          <w:trHeight w:val="228"/>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7"/>
                <w:szCs w:val="17"/>
                <w:color w:val="auto"/>
              </w:rPr>
              <w:t>(In millions)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6520" w:type="dxa"/>
            <w:vAlign w:val="bottom"/>
          </w:tcPr>
          <w:p>
            <w:pPr>
              <w:spacing w:after="0"/>
              <w:rPr>
                <w:sz w:val="20"/>
                <w:szCs w:val="20"/>
                <w:color w:val="auto"/>
              </w:rPr>
            </w:pPr>
            <w:r>
              <w:rPr>
                <w:rFonts w:ascii="Arial" w:cs="Arial" w:eastAsia="Arial" w:hAnsi="Arial"/>
                <w:sz w:val="17"/>
                <w:szCs w:val="17"/>
                <w:b w:val="1"/>
                <w:bCs w:val="1"/>
                <w:color w:val="auto"/>
              </w:rPr>
              <w:t>Net Cash Provided by Operating Activities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520" w:type="dxa"/>
            <w:vAlign w:val="bottom"/>
            <w:shd w:val="clear" w:color="auto" w:fill="E2EEF6"/>
          </w:tcPr>
          <w:p>
            <w:pPr>
              <w:ind w:left="320"/>
              <w:spacing w:after="0"/>
              <w:rPr>
                <w:sz w:val="20"/>
                <w:szCs w:val="20"/>
                <w:color w:val="auto"/>
              </w:rPr>
            </w:pPr>
            <w:r>
              <w:rPr>
                <w:rFonts w:ascii="Arial" w:cs="Arial" w:eastAsia="Arial" w:hAnsi="Arial"/>
                <w:sz w:val="17"/>
                <w:szCs w:val="17"/>
                <w:color w:val="auto"/>
              </w:rPr>
              <w:t>Net income</w:t>
            </w:r>
          </w:p>
        </w:tc>
        <w:tc>
          <w:tcPr>
            <w:tcW w:w="1140" w:type="dxa"/>
            <w:vAlign w:val="bottom"/>
            <w:gridSpan w:val="2"/>
            <w:shd w:val="clear" w:color="auto" w:fill="E2EEF6"/>
          </w:tcPr>
          <w:p>
            <w:pPr>
              <w:jc w:val="right"/>
              <w:ind w:right="733"/>
              <w:spacing w:after="0"/>
              <w:rPr>
                <w:sz w:val="20"/>
                <w:szCs w:val="20"/>
                <w:color w:val="auto"/>
              </w:rPr>
            </w:pPr>
            <w:r>
              <w:rPr>
                <w:rFonts w:ascii="Arial" w:cs="Arial" w:eastAsia="Arial" w:hAnsi="Arial"/>
                <w:sz w:val="17"/>
                <w:szCs w:val="17"/>
                <w:color w:val="auto"/>
              </w:rPr>
              <w:t>$</w:t>
            </w:r>
          </w:p>
        </w:tc>
        <w:tc>
          <w:tcPr>
            <w:tcW w:w="480" w:type="dxa"/>
            <w:vAlign w:val="bottom"/>
            <w:shd w:val="clear" w:color="auto" w:fill="E2EEF6"/>
          </w:tcPr>
          <w:p>
            <w:pPr>
              <w:jc w:val="right"/>
              <w:spacing w:after="0"/>
              <w:rPr>
                <w:sz w:val="20"/>
                <w:szCs w:val="20"/>
                <w:color w:val="auto"/>
              </w:rPr>
            </w:pPr>
            <w:r>
              <w:rPr>
                <w:rFonts w:ascii="Arial" w:cs="Arial" w:eastAsia="Arial" w:hAnsi="Arial"/>
                <w:sz w:val="17"/>
                <w:szCs w:val="17"/>
                <w:color w:val="auto"/>
              </w:rPr>
              <w:t>393.6</w:t>
            </w:r>
          </w:p>
        </w:tc>
        <w:tc>
          <w:tcPr>
            <w:tcW w:w="240" w:type="dxa"/>
            <w:vAlign w:val="bottom"/>
            <w:shd w:val="clear" w:color="auto" w:fill="E2EEF6"/>
          </w:tcPr>
          <w:p>
            <w:pPr>
              <w:spacing w:after="0"/>
              <w:rPr>
                <w:sz w:val="20"/>
                <w:szCs w:val="20"/>
                <w:color w:val="auto"/>
              </w:rPr>
            </w:pPr>
          </w:p>
        </w:tc>
        <w:tc>
          <w:tcPr>
            <w:tcW w:w="180" w:type="dxa"/>
            <w:vAlign w:val="bottom"/>
            <w:shd w:val="clear" w:color="auto" w:fill="E2EEF6"/>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70.7</w:t>
            </w:r>
          </w:p>
        </w:tc>
        <w:tc>
          <w:tcPr>
            <w:tcW w:w="32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322.9</w:t>
            </w:r>
          </w:p>
        </w:tc>
      </w:tr>
      <w:tr>
        <w:trPr>
          <w:trHeight w:val="235"/>
        </w:trPr>
        <w:tc>
          <w:tcPr>
            <w:tcW w:w="6520" w:type="dxa"/>
            <w:vAlign w:val="bottom"/>
          </w:tcPr>
          <w:p>
            <w:pPr>
              <w:ind w:left="320"/>
              <w:spacing w:after="0"/>
              <w:rPr>
                <w:sz w:val="20"/>
                <w:szCs w:val="20"/>
                <w:color w:val="auto"/>
              </w:rPr>
            </w:pPr>
            <w:r>
              <w:rPr>
                <w:rFonts w:ascii="Arial" w:cs="Arial" w:eastAsia="Arial" w:hAnsi="Arial"/>
                <w:sz w:val="17"/>
                <w:szCs w:val="17"/>
                <w:color w:val="auto"/>
              </w:rPr>
              <w:t>Depreciation</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201.9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264.5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(62.6)</w:t>
            </w:r>
          </w:p>
        </w:tc>
      </w:tr>
      <w:tr>
        <w:trPr>
          <w:trHeight w:val="236"/>
        </w:trPr>
        <w:tc>
          <w:tcPr>
            <w:tcW w:w="6520" w:type="dxa"/>
            <w:vAlign w:val="bottom"/>
            <w:shd w:val="clear" w:color="auto" w:fill="E2EEF6"/>
          </w:tcPr>
          <w:p>
            <w:pPr>
              <w:ind w:left="320"/>
              <w:spacing w:after="0"/>
              <w:rPr>
                <w:sz w:val="20"/>
                <w:szCs w:val="20"/>
                <w:color w:val="auto"/>
              </w:rPr>
            </w:pPr>
            <w:r>
              <w:rPr>
                <w:rFonts w:ascii="Arial" w:cs="Arial" w:eastAsia="Arial" w:hAnsi="Arial"/>
                <w:sz w:val="17"/>
                <w:szCs w:val="17"/>
                <w:color w:val="auto"/>
              </w:rPr>
              <w:t>Other non-cash items</w:t>
            </w:r>
          </w:p>
        </w:tc>
        <w:tc>
          <w:tcPr>
            <w:tcW w:w="240" w:type="dxa"/>
            <w:vAlign w:val="bottom"/>
            <w:shd w:val="clear" w:color="auto" w:fill="E2EEF6"/>
          </w:tcPr>
          <w:p>
            <w:pPr>
              <w:spacing w:after="0"/>
              <w:rPr>
                <w:sz w:val="20"/>
                <w:szCs w:val="20"/>
                <w:color w:val="auto"/>
              </w:rPr>
            </w:pPr>
          </w:p>
        </w:tc>
        <w:tc>
          <w:tcPr>
            <w:tcW w:w="900" w:type="dxa"/>
            <w:vAlign w:val="bottom"/>
            <w:shd w:val="clear" w:color="auto" w:fill="E2EEF6"/>
          </w:tcPr>
          <w:p>
            <w:pPr>
              <w:spacing w:after="0"/>
              <w:rPr>
                <w:sz w:val="20"/>
                <w:szCs w:val="20"/>
                <w:color w:val="auto"/>
              </w:rPr>
            </w:pPr>
          </w:p>
        </w:tc>
        <w:tc>
          <w:tcPr>
            <w:tcW w:w="720" w:type="dxa"/>
            <w:vAlign w:val="bottom"/>
            <w:gridSpan w:val="2"/>
            <w:shd w:val="clear" w:color="auto" w:fill="E2EEF6"/>
          </w:tcPr>
          <w:p>
            <w:pPr>
              <w:jc w:val="right"/>
              <w:ind w:right="180"/>
              <w:spacing w:after="0"/>
              <w:rPr>
                <w:sz w:val="20"/>
                <w:szCs w:val="20"/>
                <w:color w:val="auto"/>
              </w:rPr>
            </w:pPr>
            <w:r>
              <w:rPr>
                <w:rFonts w:ascii="Arial" w:cs="Arial" w:eastAsia="Arial" w:hAnsi="Arial"/>
                <w:sz w:val="17"/>
                <w:szCs w:val="17"/>
                <w:color w:val="auto"/>
                <w:w w:val="96"/>
              </w:rPr>
              <w:t>(158.4)</w:t>
            </w:r>
          </w:p>
        </w:tc>
        <w:tc>
          <w:tcPr>
            <w:tcW w:w="180" w:type="dxa"/>
            <w:vAlign w:val="bottom"/>
            <w:shd w:val="clear" w:color="auto" w:fill="E2EEF6"/>
          </w:tcPr>
          <w:p>
            <w:pPr>
              <w:spacing w:after="0"/>
              <w:rPr>
                <w:sz w:val="20"/>
                <w:szCs w:val="20"/>
                <w:color w:val="auto"/>
              </w:rPr>
            </w:pPr>
          </w:p>
        </w:tc>
        <w:tc>
          <w:tcPr>
            <w:tcW w:w="1320" w:type="dxa"/>
            <w:vAlign w:val="bottom"/>
            <w:gridSpan w:val="2"/>
            <w:shd w:val="clear" w:color="auto" w:fill="E2EEF6"/>
          </w:tcPr>
          <w:p>
            <w:pPr>
              <w:jc w:val="right"/>
              <w:ind w:right="80"/>
              <w:spacing w:after="0"/>
              <w:rPr>
                <w:sz w:val="20"/>
                <w:szCs w:val="20"/>
                <w:color w:val="auto"/>
              </w:rPr>
            </w:pPr>
            <w:r>
              <w:rPr>
                <w:rFonts w:ascii="Arial" w:cs="Arial" w:eastAsia="Arial" w:hAnsi="Arial"/>
                <w:sz w:val="17"/>
                <w:szCs w:val="17"/>
                <w:color w:val="auto"/>
              </w:rPr>
              <w:t>(9.3)</w:t>
            </w:r>
          </w:p>
        </w:tc>
        <w:tc>
          <w:tcPr>
            <w:tcW w:w="8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1220" w:type="dxa"/>
            <w:vAlign w:val="bottom"/>
            <w:gridSpan w:val="2"/>
            <w:shd w:val="clear" w:color="auto" w:fill="E2EEF6"/>
          </w:tcPr>
          <w:p>
            <w:pPr>
              <w:jc w:val="right"/>
              <w:ind w:right="40"/>
              <w:spacing w:after="0"/>
              <w:rPr>
                <w:sz w:val="20"/>
                <w:szCs w:val="20"/>
                <w:color w:val="auto"/>
              </w:rPr>
            </w:pPr>
            <w:r>
              <w:rPr>
                <w:rFonts w:ascii="Arial" w:cs="Arial" w:eastAsia="Arial" w:hAnsi="Arial"/>
                <w:sz w:val="17"/>
                <w:szCs w:val="17"/>
                <w:color w:val="auto"/>
              </w:rPr>
              <w:t>(149.1)</w:t>
            </w:r>
          </w:p>
        </w:tc>
      </w:tr>
      <w:tr>
        <w:trPr>
          <w:trHeight w:val="261"/>
        </w:trPr>
        <w:tc>
          <w:tcPr>
            <w:tcW w:w="6520" w:type="dxa"/>
            <w:vAlign w:val="bottom"/>
          </w:tcPr>
          <w:p>
            <w:pPr>
              <w:ind w:left="320"/>
              <w:spacing w:after="0"/>
              <w:rPr>
                <w:sz w:val="20"/>
                <w:szCs w:val="20"/>
                <w:color w:val="auto"/>
              </w:rPr>
            </w:pPr>
            <w:r>
              <w:rPr>
                <w:rFonts w:ascii="Arial" w:cs="Arial" w:eastAsia="Arial" w:hAnsi="Arial"/>
                <w:sz w:val="17"/>
                <w:szCs w:val="17"/>
                <w:color w:val="auto"/>
              </w:rPr>
              <w:t>Working capital</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(54.0)</w:t>
            </w:r>
          </w:p>
        </w:tc>
        <w:tc>
          <w:tcPr>
            <w:tcW w:w="180" w:type="dxa"/>
            <w:vAlign w:val="bottom"/>
          </w:tcPr>
          <w:p>
            <w:pPr>
              <w:spacing w:after="0"/>
              <w:rPr>
                <w:sz w:val="22"/>
                <w:szCs w:val="2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(45.3)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(8.7)</w:t>
            </w:r>
          </w:p>
        </w:tc>
      </w:tr>
      <w:tr>
        <w:trPr>
          <w:trHeight w:val="20"/>
        </w:trPr>
        <w:tc>
          <w:tcPr>
            <w:tcW w:w="6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52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733"/>
              <w:spacing w:after="0"/>
              <w:rPr>
                <w:sz w:val="20"/>
                <w:szCs w:val="20"/>
                <w:color w:val="auto"/>
              </w:rPr>
            </w:pPr>
            <w:r>
              <w:rPr>
                <w:rFonts w:ascii="Arial" w:cs="Arial" w:eastAsia="Arial" w:hAnsi="Arial"/>
                <w:sz w:val="17"/>
                <w:szCs w:val="17"/>
                <w:color w:val="auto"/>
              </w:rPr>
              <w:t>$</w:t>
            </w:r>
          </w:p>
        </w:tc>
        <w:tc>
          <w:tcPr>
            <w:tcW w:w="480" w:type="dxa"/>
            <w:vAlign w:val="bottom"/>
            <w:shd w:val="clear" w:color="auto" w:fill="E2EEF6"/>
          </w:tcPr>
          <w:p>
            <w:pPr>
              <w:jc w:val="right"/>
              <w:spacing w:after="0"/>
              <w:rPr>
                <w:sz w:val="20"/>
                <w:szCs w:val="20"/>
                <w:color w:val="auto"/>
              </w:rPr>
            </w:pPr>
            <w:r>
              <w:rPr>
                <w:rFonts w:ascii="Arial" w:cs="Arial" w:eastAsia="Arial" w:hAnsi="Arial"/>
                <w:sz w:val="17"/>
                <w:szCs w:val="17"/>
                <w:color w:val="auto"/>
              </w:rPr>
              <w:t>383.1</w:t>
            </w:r>
          </w:p>
        </w:tc>
        <w:tc>
          <w:tcPr>
            <w:tcW w:w="240" w:type="dxa"/>
            <w:vAlign w:val="bottom"/>
            <w:shd w:val="clear" w:color="auto" w:fill="E2EEF6"/>
          </w:tcPr>
          <w:p>
            <w:pPr>
              <w:spacing w:after="0"/>
              <w:rPr>
                <w:sz w:val="21"/>
                <w:szCs w:val="21"/>
                <w:color w:val="auto"/>
              </w:rPr>
            </w:pPr>
          </w:p>
        </w:tc>
        <w:tc>
          <w:tcPr>
            <w:tcW w:w="180" w:type="dxa"/>
            <w:vAlign w:val="bottom"/>
            <w:shd w:val="clear" w:color="auto" w:fill="E2EEF6"/>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280.6</w:t>
            </w:r>
          </w:p>
        </w:tc>
        <w:tc>
          <w:tcPr>
            <w:tcW w:w="32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102.5</w:t>
            </w:r>
          </w:p>
        </w:tc>
      </w:tr>
      <w:tr>
        <w:trPr>
          <w:trHeight w:val="20"/>
        </w:trPr>
        <w:tc>
          <w:tcPr>
            <w:tcW w:w="6520" w:type="dxa"/>
            <w:vAlign w:val="bottom"/>
            <w:tcBorders>
              <w:top w:val="single" w:sz="8" w:color="E2EEF6"/>
            </w:tcBorders>
            <w:shd w:val="clear" w:color="auto" w:fill="E2EEF6"/>
          </w:tcPr>
          <w:p>
            <w:pPr>
              <w:spacing w:after="0" w:line="20" w:lineRule="exact"/>
              <w:rPr>
                <w:sz w:val="1"/>
                <w:szCs w:val="1"/>
                <w:color w:val="auto"/>
              </w:rPr>
            </w:pPr>
          </w:p>
        </w:tc>
        <w:tc>
          <w:tcPr>
            <w:tcW w:w="240" w:type="dxa"/>
            <w:vAlign w:val="bottom"/>
            <w:tcBorders>
              <w:top w:val="single" w:sz="8" w:color="E2EEF6"/>
            </w:tcBorders>
            <w:shd w:val="clear" w:color="auto" w:fill="E2EEF6"/>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2EEF6"/>
            </w:tcBorders>
            <w:shd w:val="clear" w:color="auto" w:fill="E2EEF6"/>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2EEF6"/>
            </w:tcBorders>
            <w:shd w:val="clear" w:color="auto" w:fill="E2EEF6"/>
          </w:tcPr>
          <w:p>
            <w:pPr>
              <w:spacing w:after="0" w:line="20" w:lineRule="exact"/>
              <w:rPr>
                <w:sz w:val="1"/>
                <w:szCs w:val="1"/>
                <w:color w:val="auto"/>
              </w:rPr>
            </w:pPr>
          </w:p>
        </w:tc>
        <w:tc>
          <w:tcPr>
            <w:tcW w:w="80" w:type="dxa"/>
            <w:vAlign w:val="bottom"/>
            <w:tcBorders>
              <w:top w:val="single" w:sz="8" w:color="E2EEF6"/>
            </w:tcBorders>
            <w:shd w:val="clear" w:color="auto" w:fill="E2EEF6"/>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r>
    </w:tbl>
    <w:p>
      <w:pPr>
        <w:spacing w:after="0" w:line="249"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Net cash provided by operating activities increased due to an increase in cash generated from net income adjusted for non-cash activity of $111.2 million resulting primarily from the gain on the TODCO Stock Sales, partially offset by a decrease in cash related to working capital items of $8.7 million during the six months ended June 30, 2005 as compared to the corresponding prior year period.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09"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50" w:lineRule="exact"/>
        <w:rPr>
          <w:sz w:val="20"/>
          <w:szCs w:val="20"/>
          <w:color w:val="auto"/>
        </w:rPr>
      </w:pPr>
    </w:p>
    <w:p>
      <w:pPr>
        <w:jc w:val="center"/>
        <w:ind w:left="5060"/>
        <w:spacing w:after="0"/>
        <w:rPr>
          <w:sz w:val="20"/>
          <w:szCs w:val="20"/>
          <w:color w:val="auto"/>
        </w:rPr>
      </w:pPr>
      <w:r>
        <w:rPr>
          <w:rFonts w:ascii="Arial" w:cs="Arial" w:eastAsia="Arial" w:hAnsi="Arial"/>
          <w:sz w:val="17"/>
          <w:szCs w:val="17"/>
          <w:color w:val="auto"/>
        </w:rPr>
        <w:t>Six Months Ended</w:t>
      </w:r>
    </w:p>
    <w:p>
      <w:pPr>
        <w:spacing w:after="0" w:line="26" w:lineRule="exact"/>
        <w:rPr>
          <w:sz w:val="20"/>
          <w:szCs w:val="20"/>
          <w:color w:val="auto"/>
        </w:rPr>
      </w:pPr>
    </w:p>
    <w:p>
      <w:pPr>
        <w:jc w:val="center"/>
        <w:ind w:left="5060"/>
        <w:spacing w:after="0"/>
        <w:rPr>
          <w:sz w:val="20"/>
          <w:szCs w:val="20"/>
          <w:color w:val="auto"/>
        </w:rPr>
      </w:pPr>
      <w:r>
        <w:rPr>
          <w:rFonts w:ascii="Arial" w:cs="Arial" w:eastAsia="Arial" w:hAnsi="Arial"/>
          <w:sz w:val="17"/>
          <w:szCs w:val="17"/>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8890</wp:posOffset>
            </wp:positionV>
            <wp:extent cx="18935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93570" cy="8255"/>
                    </a:xfrm>
                    <a:prstGeom prst="rect">
                      <a:avLst/>
                    </a:prstGeom>
                    <a:noFill/>
                  </pic:spPr>
                </pic:pic>
              </a:graphicData>
            </a:graphic>
          </wp:anchor>
        </w:drawing>
      </w:r>
    </w:p>
    <w:p>
      <w:pPr>
        <w:spacing w:after="0" w:line="47" w:lineRule="exact"/>
        <w:rPr>
          <w:sz w:val="20"/>
          <w:szCs w:val="20"/>
          <w:color w:val="auto"/>
        </w:rPr>
      </w:pPr>
    </w:p>
    <w:p>
      <w:pPr>
        <w:ind w:left="7280"/>
        <w:spacing w:after="0"/>
        <w:tabs>
          <w:tab w:leader="none" w:pos="8860" w:val="left"/>
          <w:tab w:leader="none" w:pos="10360" w:val="left"/>
        </w:tabs>
        <w:rPr>
          <w:sz w:val="20"/>
          <w:szCs w:val="20"/>
          <w:color w:val="auto"/>
        </w:rPr>
      </w:pPr>
      <w:r>
        <w:rPr>
          <w:rFonts w:ascii="Arial" w:cs="Arial" w:eastAsia="Arial" w:hAnsi="Arial"/>
          <w:sz w:val="17"/>
          <w:szCs w:val="17"/>
          <w:color w:val="auto"/>
        </w:rPr>
        <w:t>2005</w:t>
      </w:r>
      <w:r>
        <w:rPr>
          <w:sz w:val="20"/>
          <w:szCs w:val="20"/>
          <w:color w:val="auto"/>
        </w:rPr>
        <w:tab/>
      </w:r>
      <w:r>
        <w:rPr>
          <w:rFonts w:ascii="Arial" w:cs="Arial" w:eastAsia="Arial" w:hAnsi="Arial"/>
          <w:sz w:val="17"/>
          <w:szCs w:val="17"/>
          <w:color w:val="auto"/>
        </w:rPr>
        <w:t>2004</w:t>
      </w:r>
      <w:r>
        <w:rPr>
          <w:sz w:val="20"/>
          <w:szCs w:val="20"/>
          <w:color w:val="auto"/>
        </w:rPr>
        <w:tab/>
      </w:r>
      <w:r>
        <w:rPr>
          <w:rFonts w:ascii="Arial" w:cs="Arial" w:eastAsia="Arial" w:hAnsi="Arial"/>
          <w:sz w:val="14"/>
          <w:szCs w:val="14"/>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16510</wp:posOffset>
            </wp:positionV>
            <wp:extent cx="28987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line="33"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20" w:type="dxa"/>
            <w:vAlign w:val="bottom"/>
          </w:tcPr>
          <w:p>
            <w:pPr>
              <w:spacing w:after="0"/>
              <w:rPr>
                <w:sz w:val="20"/>
                <w:szCs w:val="20"/>
                <w:color w:val="auto"/>
              </w:rPr>
            </w:pPr>
            <w:r>
              <w:rPr>
                <w:rFonts w:ascii="Arial" w:cs="Arial" w:eastAsia="Arial" w:hAnsi="Arial"/>
                <w:sz w:val="17"/>
                <w:szCs w:val="17"/>
                <w:b w:val="1"/>
                <w:bCs w:val="1"/>
                <w:color w:val="auto"/>
              </w:rPr>
              <w:t>Net Cash Provided by Investing Activities</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6520" w:type="dxa"/>
            <w:vAlign w:val="bottom"/>
            <w:shd w:val="clear" w:color="auto" w:fill="E2EEF6"/>
          </w:tcPr>
          <w:p>
            <w:pPr>
              <w:ind w:left="320"/>
              <w:spacing w:after="0"/>
              <w:rPr>
                <w:sz w:val="20"/>
                <w:szCs w:val="20"/>
                <w:color w:val="auto"/>
              </w:rPr>
            </w:pPr>
            <w:r>
              <w:rPr>
                <w:rFonts w:ascii="Arial" w:cs="Arial" w:eastAsia="Arial" w:hAnsi="Arial"/>
                <w:sz w:val="17"/>
                <w:szCs w:val="17"/>
                <w:color w:val="auto"/>
              </w:rPr>
              <w:t>Capital expenditures</w:t>
            </w:r>
          </w:p>
        </w:tc>
        <w:tc>
          <w:tcPr>
            <w:tcW w:w="740" w:type="dxa"/>
            <w:vAlign w:val="bottom"/>
            <w:gridSpan w:val="2"/>
            <w:shd w:val="clear" w:color="auto" w:fill="E2EEF6"/>
          </w:tcPr>
          <w:p>
            <w:pPr>
              <w:jc w:val="right"/>
              <w:ind w:right="4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E2EEF6"/>
          </w:tcPr>
          <w:p>
            <w:pPr>
              <w:jc w:val="right"/>
              <w:ind w:right="180"/>
              <w:spacing w:after="0"/>
              <w:rPr>
                <w:sz w:val="20"/>
                <w:szCs w:val="20"/>
                <w:color w:val="auto"/>
              </w:rPr>
            </w:pPr>
            <w:r>
              <w:rPr>
                <w:rFonts w:ascii="Arial" w:cs="Arial" w:eastAsia="Arial" w:hAnsi="Arial"/>
                <w:sz w:val="17"/>
                <w:szCs w:val="17"/>
                <w:color w:val="auto"/>
              </w:rPr>
              <w:t>(109.6)</w:t>
            </w:r>
          </w:p>
        </w:tc>
        <w:tc>
          <w:tcPr>
            <w:tcW w:w="520" w:type="dxa"/>
            <w:vAlign w:val="bottom"/>
            <w:shd w:val="clear" w:color="auto" w:fill="E2EEF6"/>
          </w:tcPr>
          <w:p>
            <w:pPr>
              <w:jc w:val="right"/>
              <w:ind w:right="36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2EEF6"/>
          </w:tcPr>
          <w:p>
            <w:pPr>
              <w:jc w:val="right"/>
              <w:ind w:right="80"/>
              <w:spacing w:after="0"/>
              <w:rPr>
                <w:sz w:val="20"/>
                <w:szCs w:val="20"/>
                <w:color w:val="auto"/>
              </w:rPr>
            </w:pPr>
            <w:r>
              <w:rPr>
                <w:rFonts w:ascii="Arial" w:cs="Arial" w:eastAsia="Arial" w:hAnsi="Arial"/>
                <w:sz w:val="17"/>
                <w:szCs w:val="17"/>
                <w:color w:val="auto"/>
              </w:rPr>
              <w:t>(54.7)</w:t>
            </w:r>
          </w:p>
        </w:tc>
        <w:tc>
          <w:tcPr>
            <w:tcW w:w="600" w:type="dxa"/>
            <w:vAlign w:val="bottom"/>
            <w:gridSpan w:val="2"/>
            <w:shd w:val="clear" w:color="auto" w:fill="E2EEF6"/>
          </w:tcPr>
          <w:p>
            <w:pPr>
              <w:jc w:val="right"/>
              <w:ind w:right="4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E2EEF6"/>
          </w:tcPr>
          <w:p>
            <w:pPr>
              <w:jc w:val="right"/>
              <w:ind w:right="40"/>
              <w:spacing w:after="0"/>
              <w:rPr>
                <w:sz w:val="20"/>
                <w:szCs w:val="20"/>
                <w:color w:val="auto"/>
              </w:rPr>
            </w:pPr>
            <w:r>
              <w:rPr>
                <w:rFonts w:ascii="Arial" w:cs="Arial" w:eastAsia="Arial" w:hAnsi="Arial"/>
                <w:sz w:val="17"/>
                <w:szCs w:val="17"/>
                <w:color w:val="auto"/>
              </w:rPr>
              <w:t>(54.9)</w:t>
            </w:r>
          </w:p>
        </w:tc>
      </w:tr>
      <w:tr>
        <w:trPr>
          <w:trHeight w:val="235"/>
        </w:trPr>
        <w:tc>
          <w:tcPr>
            <w:tcW w:w="6520" w:type="dxa"/>
            <w:vAlign w:val="bottom"/>
          </w:tcPr>
          <w:p>
            <w:pPr>
              <w:ind w:left="320"/>
              <w:spacing w:after="0"/>
              <w:rPr>
                <w:sz w:val="20"/>
                <w:szCs w:val="20"/>
                <w:color w:val="auto"/>
              </w:rPr>
            </w:pPr>
            <w:r>
              <w:rPr>
                <w:rFonts w:ascii="Arial" w:cs="Arial" w:eastAsia="Arial" w:hAnsi="Arial"/>
                <w:sz w:val="17"/>
                <w:szCs w:val="17"/>
                <w:color w:val="auto"/>
              </w:rPr>
              <w:t>Proceeds from disposal of assets, net</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60.5</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42.0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18.5</w:t>
            </w:r>
          </w:p>
        </w:tc>
      </w:tr>
      <w:tr>
        <w:trPr>
          <w:trHeight w:val="236"/>
        </w:trPr>
        <w:tc>
          <w:tcPr>
            <w:tcW w:w="6520" w:type="dxa"/>
            <w:vAlign w:val="bottom"/>
            <w:shd w:val="clear" w:color="auto" w:fill="E2EEF6"/>
          </w:tcPr>
          <w:p>
            <w:pPr>
              <w:ind w:left="320"/>
              <w:spacing w:after="0"/>
              <w:rPr>
                <w:sz w:val="20"/>
                <w:szCs w:val="20"/>
                <w:color w:val="auto"/>
              </w:rPr>
            </w:pPr>
            <w:r>
              <w:rPr>
                <w:rFonts w:ascii="Arial" w:cs="Arial" w:eastAsia="Arial" w:hAnsi="Arial"/>
                <w:sz w:val="17"/>
                <w:szCs w:val="17"/>
                <w:color w:val="auto"/>
              </w:rPr>
              <w:t>Proceeds from TODCO Stock Sales, net</w:t>
            </w:r>
          </w:p>
        </w:tc>
        <w:tc>
          <w:tcPr>
            <w:tcW w:w="240" w:type="dxa"/>
            <w:vAlign w:val="bottom"/>
            <w:shd w:val="clear" w:color="auto" w:fill="E2EEF6"/>
          </w:tcPr>
          <w:p>
            <w:pPr>
              <w:spacing w:after="0"/>
              <w:rPr>
                <w:sz w:val="20"/>
                <w:szCs w:val="20"/>
                <w:color w:val="auto"/>
              </w:rPr>
            </w:pPr>
          </w:p>
        </w:tc>
        <w:tc>
          <w:tcPr>
            <w:tcW w:w="500" w:type="dxa"/>
            <w:vAlign w:val="bottom"/>
            <w:shd w:val="clear" w:color="auto" w:fill="E2EEF6"/>
          </w:tcPr>
          <w:p>
            <w:pPr>
              <w:spacing w:after="0"/>
              <w:rPr>
                <w:sz w:val="20"/>
                <w:szCs w:val="20"/>
                <w:color w:val="auto"/>
              </w:rPr>
            </w:pPr>
          </w:p>
        </w:tc>
        <w:tc>
          <w:tcPr>
            <w:tcW w:w="880" w:type="dxa"/>
            <w:vAlign w:val="bottom"/>
            <w:shd w:val="clear" w:color="auto" w:fill="E2EEF6"/>
          </w:tcPr>
          <w:p>
            <w:pPr>
              <w:jc w:val="right"/>
              <w:spacing w:after="0"/>
              <w:rPr>
                <w:sz w:val="20"/>
                <w:szCs w:val="20"/>
                <w:color w:val="auto"/>
              </w:rPr>
            </w:pPr>
            <w:r>
              <w:rPr>
                <w:rFonts w:ascii="Arial" w:cs="Arial" w:eastAsia="Arial" w:hAnsi="Arial"/>
                <w:sz w:val="17"/>
                <w:szCs w:val="17"/>
                <w:color w:val="auto"/>
              </w:rPr>
              <w:t>271.9</w:t>
            </w:r>
          </w:p>
        </w:tc>
        <w:tc>
          <w:tcPr>
            <w:tcW w:w="240" w:type="dxa"/>
            <w:vAlign w:val="bottom"/>
            <w:shd w:val="clear" w:color="auto" w:fill="E2EEF6"/>
          </w:tcPr>
          <w:p>
            <w:pPr>
              <w:spacing w:after="0"/>
              <w:rPr>
                <w:sz w:val="20"/>
                <w:szCs w:val="20"/>
                <w:color w:val="auto"/>
              </w:rPr>
            </w:pPr>
          </w:p>
        </w:tc>
        <w:tc>
          <w:tcPr>
            <w:tcW w:w="520" w:type="dxa"/>
            <w:vAlign w:val="bottom"/>
            <w:shd w:val="clear" w:color="auto" w:fill="E2EEF6"/>
          </w:tcPr>
          <w:p>
            <w:pPr>
              <w:spacing w:after="0"/>
              <w:rPr>
                <w:sz w:val="20"/>
                <w:szCs w:val="20"/>
                <w:color w:val="auto"/>
              </w:rPr>
            </w:pPr>
          </w:p>
        </w:tc>
        <w:tc>
          <w:tcPr>
            <w:tcW w:w="98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155.7</w:t>
            </w:r>
          </w:p>
        </w:tc>
        <w:tc>
          <w:tcPr>
            <w:tcW w:w="80" w:type="dxa"/>
            <w:vAlign w:val="bottom"/>
            <w:shd w:val="clear" w:color="auto" w:fill="E2EEF6"/>
          </w:tcPr>
          <w:p>
            <w:pPr>
              <w:spacing w:after="0"/>
              <w:rPr>
                <w:sz w:val="20"/>
                <w:szCs w:val="20"/>
                <w:color w:val="auto"/>
              </w:rPr>
            </w:pPr>
          </w:p>
        </w:tc>
        <w:tc>
          <w:tcPr>
            <w:tcW w:w="520" w:type="dxa"/>
            <w:vAlign w:val="bottom"/>
            <w:shd w:val="clear" w:color="auto" w:fill="E2EEF6"/>
          </w:tcPr>
          <w:p>
            <w:pPr>
              <w:spacing w:after="0"/>
              <w:rPr>
                <w:sz w:val="20"/>
                <w:szCs w:val="20"/>
                <w:color w:val="auto"/>
              </w:rPr>
            </w:pPr>
          </w:p>
        </w:tc>
        <w:tc>
          <w:tcPr>
            <w:tcW w:w="94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116.2</w:t>
            </w:r>
          </w:p>
        </w:tc>
      </w:tr>
      <w:tr>
        <w:trPr>
          <w:trHeight w:val="235"/>
        </w:trPr>
        <w:tc>
          <w:tcPr>
            <w:tcW w:w="6520" w:type="dxa"/>
            <w:vAlign w:val="bottom"/>
          </w:tcPr>
          <w:p>
            <w:pPr>
              <w:ind w:left="320"/>
              <w:spacing w:after="0"/>
              <w:rPr>
                <w:sz w:val="20"/>
                <w:szCs w:val="20"/>
                <w:color w:val="auto"/>
              </w:rPr>
            </w:pPr>
            <w:r>
              <w:rPr>
                <w:rFonts w:ascii="Arial" w:cs="Arial" w:eastAsia="Arial" w:hAnsi="Arial"/>
                <w:sz w:val="17"/>
                <w:szCs w:val="17"/>
                <w:color w:val="auto"/>
              </w:rPr>
              <w:t>Other, net</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4.5</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(0.2)</w:t>
            </w:r>
          </w:p>
        </w:tc>
      </w:tr>
      <w:tr>
        <w:trPr>
          <w:trHeight w:val="20"/>
        </w:trPr>
        <w:tc>
          <w:tcPr>
            <w:tcW w:w="6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520" w:type="dxa"/>
            <w:vAlign w:val="bottom"/>
            <w:shd w:val="clear" w:color="auto" w:fill="E2EEF6"/>
          </w:tcPr>
          <w:p>
            <w:pPr>
              <w:spacing w:after="0"/>
              <w:rPr>
                <w:sz w:val="21"/>
                <w:szCs w:val="21"/>
                <w:color w:val="auto"/>
              </w:rPr>
            </w:pPr>
          </w:p>
        </w:tc>
        <w:tc>
          <w:tcPr>
            <w:tcW w:w="740" w:type="dxa"/>
            <w:vAlign w:val="bottom"/>
            <w:gridSpan w:val="2"/>
            <w:shd w:val="clear" w:color="auto" w:fill="E2EEF6"/>
          </w:tcPr>
          <w:p>
            <w:pPr>
              <w:jc w:val="right"/>
              <w:ind w:right="420"/>
              <w:spacing w:after="0"/>
              <w:rPr>
                <w:sz w:val="20"/>
                <w:szCs w:val="20"/>
                <w:color w:val="auto"/>
              </w:rPr>
            </w:pPr>
            <w:r>
              <w:rPr>
                <w:rFonts w:ascii="Arial" w:cs="Arial" w:eastAsia="Arial" w:hAnsi="Arial"/>
                <w:sz w:val="17"/>
                <w:szCs w:val="17"/>
                <w:color w:val="auto"/>
              </w:rPr>
              <w:t>$</w:t>
            </w:r>
          </w:p>
        </w:tc>
        <w:tc>
          <w:tcPr>
            <w:tcW w:w="880" w:type="dxa"/>
            <w:vAlign w:val="bottom"/>
            <w:shd w:val="clear" w:color="auto" w:fill="E2EEF6"/>
          </w:tcPr>
          <w:p>
            <w:pPr>
              <w:jc w:val="right"/>
              <w:spacing w:after="0"/>
              <w:rPr>
                <w:sz w:val="20"/>
                <w:szCs w:val="20"/>
                <w:color w:val="auto"/>
              </w:rPr>
            </w:pPr>
            <w:r>
              <w:rPr>
                <w:rFonts w:ascii="Arial" w:cs="Arial" w:eastAsia="Arial" w:hAnsi="Arial"/>
                <w:sz w:val="17"/>
                <w:szCs w:val="17"/>
                <w:color w:val="auto"/>
              </w:rPr>
              <w:t>227.3</w:t>
            </w:r>
          </w:p>
        </w:tc>
        <w:tc>
          <w:tcPr>
            <w:tcW w:w="240" w:type="dxa"/>
            <w:vAlign w:val="bottom"/>
            <w:shd w:val="clear" w:color="auto" w:fill="E2EEF6"/>
          </w:tcPr>
          <w:p>
            <w:pPr>
              <w:spacing w:after="0"/>
              <w:rPr>
                <w:sz w:val="21"/>
                <w:szCs w:val="21"/>
                <w:color w:val="auto"/>
              </w:rPr>
            </w:pPr>
          </w:p>
        </w:tc>
        <w:tc>
          <w:tcPr>
            <w:tcW w:w="520" w:type="dxa"/>
            <w:vAlign w:val="bottom"/>
            <w:shd w:val="clear" w:color="auto" w:fill="E2EEF6"/>
          </w:tcPr>
          <w:p>
            <w:pPr>
              <w:jc w:val="right"/>
              <w:ind w:right="36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147.7</w:t>
            </w:r>
          </w:p>
        </w:tc>
        <w:tc>
          <w:tcPr>
            <w:tcW w:w="600" w:type="dxa"/>
            <w:vAlign w:val="bottom"/>
            <w:gridSpan w:val="2"/>
            <w:shd w:val="clear" w:color="auto" w:fill="E2EEF6"/>
          </w:tcPr>
          <w:p>
            <w:pPr>
              <w:jc w:val="right"/>
              <w:ind w:right="4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79.6</w:t>
            </w:r>
          </w:p>
        </w:tc>
      </w:tr>
      <w:tr>
        <w:trPr>
          <w:trHeight w:val="20"/>
        </w:trPr>
        <w:tc>
          <w:tcPr>
            <w:tcW w:w="6520" w:type="dxa"/>
            <w:vAlign w:val="bottom"/>
            <w:tcBorders>
              <w:top w:val="single" w:sz="8" w:color="E2EEF6"/>
            </w:tcBorders>
            <w:shd w:val="clear" w:color="auto" w:fill="E2EEF6"/>
          </w:tcPr>
          <w:p>
            <w:pPr>
              <w:spacing w:after="0" w:line="20" w:lineRule="exact"/>
              <w:rPr>
                <w:sz w:val="1"/>
                <w:szCs w:val="1"/>
                <w:color w:val="auto"/>
              </w:rPr>
            </w:pPr>
          </w:p>
        </w:tc>
        <w:tc>
          <w:tcPr>
            <w:tcW w:w="240" w:type="dxa"/>
            <w:vAlign w:val="bottom"/>
            <w:tcBorders>
              <w:top w:val="single" w:sz="8" w:color="E2EEF6"/>
            </w:tcBorders>
            <w:shd w:val="clear" w:color="auto" w:fill="E2EEF6"/>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2EEF6"/>
            </w:tcBorders>
            <w:shd w:val="clear" w:color="auto" w:fill="E2EEF6"/>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2EEF6"/>
            </w:tcBorders>
            <w:shd w:val="clear" w:color="auto" w:fill="E2EEF6"/>
          </w:tcPr>
          <w:p>
            <w:pPr>
              <w:spacing w:after="0" w:line="20" w:lineRule="exact"/>
              <w:rPr>
                <w:sz w:val="1"/>
                <w:szCs w:val="1"/>
                <w:color w:val="auto"/>
              </w:rPr>
            </w:pPr>
          </w:p>
        </w:tc>
        <w:tc>
          <w:tcPr>
            <w:tcW w:w="80" w:type="dxa"/>
            <w:vAlign w:val="bottom"/>
            <w:tcBorders>
              <w:top w:val="single" w:sz="8" w:color="E2EEF6"/>
            </w:tcBorders>
            <w:shd w:val="clear" w:color="auto" w:fill="E2EEF6"/>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r>
    </w:tbl>
    <w:p>
      <w:pPr>
        <w:spacing w:after="0" w:line="249" w:lineRule="exact"/>
        <w:rPr>
          <w:sz w:val="20"/>
          <w:szCs w:val="20"/>
          <w:color w:val="auto"/>
        </w:rPr>
      </w:pPr>
    </w:p>
    <w:p>
      <w:pPr>
        <w:jc w:val="both"/>
        <w:ind w:firstLine="628"/>
        <w:spacing w:after="0" w:line="289" w:lineRule="auto"/>
        <w:rPr>
          <w:sz w:val="20"/>
          <w:szCs w:val="20"/>
          <w:color w:val="auto"/>
        </w:rPr>
      </w:pPr>
      <w:r>
        <w:rPr>
          <w:rFonts w:ascii="Arial" w:cs="Arial" w:eastAsia="Arial" w:hAnsi="Arial"/>
          <w:sz w:val="16"/>
          <w:szCs w:val="16"/>
          <w:color w:val="auto"/>
        </w:rPr>
        <w:t xml:space="preserve">Net cash provided by investing activities for the six months ended June 30, 2005 increased $79.6 million over the corresponding prior year period. The increase in cash provided by investing activities is primarily the result of an increase in net proceeds from the TODCO Stock Sales of $116.2 million and net proceeds from asset sales of $18.5 million, partially offset by an increase in capital expenditures of $54.9 million over the corresponding prior year period. Capital expenditures in 2005 included $42.5 million for the purchase of the </w:t>
      </w:r>
      <w:r>
        <w:rPr>
          <w:rFonts w:ascii="Arial" w:cs="Arial" w:eastAsia="Arial" w:hAnsi="Arial"/>
          <w:sz w:val="16"/>
          <w:szCs w:val="16"/>
          <w:i w:val="1"/>
          <w:iCs w:val="1"/>
          <w:color w:val="auto"/>
        </w:rPr>
        <w:t>M. G. Hulme, Jr.</w:t>
      </w:r>
      <w:r>
        <w:rPr>
          <w:rFonts w:ascii="Arial" w:cs="Arial" w:eastAsia="Arial" w:hAnsi="Arial"/>
          <w:sz w:val="16"/>
          <w:szCs w:val="16"/>
          <w:color w:val="auto"/>
        </w:rPr>
        <w:t xml:space="preserve"> (see “―Off-Balance Sheet Arrangement”).</w:t>
      </w:r>
    </w:p>
    <w:p>
      <w:pPr>
        <w:spacing w:after="0" w:line="200" w:lineRule="exact"/>
        <w:rPr>
          <w:sz w:val="20"/>
          <w:szCs w:val="20"/>
          <w:color w:val="auto"/>
        </w:rPr>
      </w:pPr>
    </w:p>
    <w:p>
      <w:pPr>
        <w:spacing w:after="0" w:line="248" w:lineRule="exact"/>
        <w:rPr>
          <w:sz w:val="20"/>
          <w:szCs w:val="20"/>
          <w:color w:val="auto"/>
        </w:rPr>
      </w:pPr>
    </w:p>
    <w:p>
      <w:pPr>
        <w:jc w:val="center"/>
        <w:ind w:left="5060"/>
        <w:spacing w:after="0"/>
        <w:rPr>
          <w:sz w:val="20"/>
          <w:szCs w:val="20"/>
          <w:color w:val="auto"/>
        </w:rPr>
      </w:pPr>
      <w:r>
        <w:rPr>
          <w:rFonts w:ascii="Arial" w:cs="Arial" w:eastAsia="Arial" w:hAnsi="Arial"/>
          <w:sz w:val="17"/>
          <w:szCs w:val="17"/>
          <w:color w:val="auto"/>
        </w:rPr>
        <w:t>Six Months Ended</w:t>
      </w:r>
    </w:p>
    <w:p>
      <w:pPr>
        <w:spacing w:after="0" w:line="26" w:lineRule="exact"/>
        <w:rPr>
          <w:sz w:val="20"/>
          <w:szCs w:val="20"/>
          <w:color w:val="auto"/>
        </w:rPr>
      </w:pPr>
    </w:p>
    <w:p>
      <w:pPr>
        <w:jc w:val="center"/>
        <w:ind w:left="5060"/>
        <w:spacing w:after="0"/>
        <w:rPr>
          <w:sz w:val="20"/>
          <w:szCs w:val="20"/>
          <w:color w:val="auto"/>
        </w:rPr>
      </w:pPr>
      <w:r>
        <w:rPr>
          <w:rFonts w:ascii="Arial" w:cs="Arial" w:eastAsia="Arial" w:hAnsi="Arial"/>
          <w:sz w:val="17"/>
          <w:szCs w:val="17"/>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8890</wp:posOffset>
            </wp:positionV>
            <wp:extent cx="18935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93570" cy="8255"/>
                    </a:xfrm>
                    <a:prstGeom prst="rect">
                      <a:avLst/>
                    </a:prstGeom>
                    <a:noFill/>
                  </pic:spPr>
                </pic:pic>
              </a:graphicData>
            </a:graphic>
          </wp:anchor>
        </w:drawing>
      </w:r>
    </w:p>
    <w:p>
      <w:pPr>
        <w:spacing w:after="0" w:line="47" w:lineRule="exact"/>
        <w:rPr>
          <w:sz w:val="20"/>
          <w:szCs w:val="20"/>
          <w:color w:val="auto"/>
        </w:rPr>
      </w:pPr>
    </w:p>
    <w:p>
      <w:pPr>
        <w:ind w:left="7280"/>
        <w:spacing w:after="0"/>
        <w:tabs>
          <w:tab w:leader="none" w:pos="8860" w:val="left"/>
          <w:tab w:leader="none" w:pos="10360" w:val="left"/>
        </w:tabs>
        <w:rPr>
          <w:sz w:val="20"/>
          <w:szCs w:val="20"/>
          <w:color w:val="auto"/>
        </w:rPr>
      </w:pPr>
      <w:r>
        <w:rPr>
          <w:rFonts w:ascii="Arial" w:cs="Arial" w:eastAsia="Arial" w:hAnsi="Arial"/>
          <w:sz w:val="17"/>
          <w:szCs w:val="17"/>
          <w:color w:val="auto"/>
        </w:rPr>
        <w:t>2005</w:t>
      </w:r>
      <w:r>
        <w:rPr>
          <w:sz w:val="20"/>
          <w:szCs w:val="20"/>
          <w:color w:val="auto"/>
        </w:rPr>
        <w:tab/>
      </w:r>
      <w:r>
        <w:rPr>
          <w:rFonts w:ascii="Arial" w:cs="Arial" w:eastAsia="Arial" w:hAnsi="Arial"/>
          <w:sz w:val="17"/>
          <w:szCs w:val="17"/>
          <w:color w:val="auto"/>
        </w:rPr>
        <w:t>2004</w:t>
      </w:r>
      <w:r>
        <w:rPr>
          <w:sz w:val="20"/>
          <w:szCs w:val="20"/>
          <w:color w:val="auto"/>
        </w:rPr>
        <w:tab/>
      </w:r>
      <w:r>
        <w:rPr>
          <w:rFonts w:ascii="Arial" w:cs="Arial" w:eastAsia="Arial" w:hAnsi="Arial"/>
          <w:sz w:val="14"/>
          <w:szCs w:val="14"/>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16510</wp:posOffset>
            </wp:positionV>
            <wp:extent cx="28987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line="33"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20" w:type="dxa"/>
            <w:vAlign w:val="bottom"/>
          </w:tcPr>
          <w:p>
            <w:pPr>
              <w:spacing w:after="0"/>
              <w:rPr>
                <w:sz w:val="20"/>
                <w:szCs w:val="20"/>
                <w:color w:val="auto"/>
              </w:rPr>
            </w:pPr>
            <w:r>
              <w:rPr>
                <w:rFonts w:ascii="Arial" w:cs="Arial" w:eastAsia="Arial" w:hAnsi="Arial"/>
                <w:sz w:val="17"/>
                <w:szCs w:val="17"/>
                <w:b w:val="1"/>
                <w:bCs w:val="1"/>
                <w:color w:val="auto"/>
              </w:rPr>
              <w:t>Net Cash Used in Financing Activities</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6520" w:type="dxa"/>
            <w:vAlign w:val="bottom"/>
            <w:shd w:val="clear" w:color="auto" w:fill="E2EEF6"/>
          </w:tcPr>
          <w:p>
            <w:pPr>
              <w:ind w:left="320"/>
              <w:spacing w:after="0"/>
              <w:rPr>
                <w:sz w:val="20"/>
                <w:szCs w:val="20"/>
                <w:color w:val="auto"/>
              </w:rPr>
            </w:pPr>
            <w:r>
              <w:rPr>
                <w:rFonts w:ascii="Arial" w:cs="Arial" w:eastAsia="Arial" w:hAnsi="Arial"/>
                <w:sz w:val="17"/>
                <w:szCs w:val="17"/>
                <w:color w:val="auto"/>
              </w:rPr>
              <w:t>Repayments on revolving credit agreement</w:t>
            </w:r>
          </w:p>
        </w:tc>
        <w:tc>
          <w:tcPr>
            <w:tcW w:w="740" w:type="dxa"/>
            <w:vAlign w:val="bottom"/>
            <w:gridSpan w:val="2"/>
            <w:shd w:val="clear" w:color="auto" w:fill="E2EEF6"/>
          </w:tcPr>
          <w:p>
            <w:pPr>
              <w:jc w:val="right"/>
              <w:ind w:right="420"/>
              <w:spacing w:after="0"/>
              <w:rPr>
                <w:sz w:val="20"/>
                <w:szCs w:val="20"/>
                <w:color w:val="auto"/>
              </w:rPr>
            </w:pPr>
            <w:r>
              <w:rPr>
                <w:rFonts w:ascii="Arial" w:cs="Arial" w:eastAsia="Arial" w:hAnsi="Arial"/>
                <w:sz w:val="17"/>
                <w:szCs w:val="17"/>
                <w:color w:val="auto"/>
              </w:rPr>
              <w:t>$</w:t>
            </w:r>
          </w:p>
        </w:tc>
        <w:tc>
          <w:tcPr>
            <w:tcW w:w="880" w:type="dxa"/>
            <w:vAlign w:val="bottom"/>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E2EEF6"/>
          </w:tcPr>
          <w:p>
            <w:pPr>
              <w:spacing w:after="0"/>
              <w:rPr>
                <w:sz w:val="20"/>
                <w:szCs w:val="20"/>
                <w:color w:val="auto"/>
              </w:rPr>
            </w:pPr>
          </w:p>
        </w:tc>
        <w:tc>
          <w:tcPr>
            <w:tcW w:w="500" w:type="dxa"/>
            <w:vAlign w:val="bottom"/>
            <w:shd w:val="clear" w:color="auto" w:fill="E2EEF6"/>
          </w:tcPr>
          <w:p>
            <w:pPr>
              <w:jc w:val="right"/>
              <w:ind w:right="34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2EEF6"/>
          </w:tcPr>
          <w:p>
            <w:pPr>
              <w:jc w:val="right"/>
              <w:ind w:right="80"/>
              <w:spacing w:after="0"/>
              <w:rPr>
                <w:sz w:val="20"/>
                <w:szCs w:val="20"/>
                <w:color w:val="auto"/>
              </w:rPr>
            </w:pPr>
            <w:r>
              <w:rPr>
                <w:rFonts w:ascii="Arial" w:cs="Arial" w:eastAsia="Arial" w:hAnsi="Arial"/>
                <w:sz w:val="17"/>
                <w:szCs w:val="17"/>
                <w:color w:val="auto"/>
              </w:rPr>
              <w:t>(200.0)</w:t>
            </w:r>
          </w:p>
        </w:tc>
        <w:tc>
          <w:tcPr>
            <w:tcW w:w="600" w:type="dxa"/>
            <w:vAlign w:val="bottom"/>
            <w:gridSpan w:val="2"/>
            <w:shd w:val="clear" w:color="auto" w:fill="E2EEF6"/>
          </w:tcPr>
          <w:p>
            <w:pPr>
              <w:jc w:val="right"/>
              <w:ind w:right="4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200.0</w:t>
            </w:r>
          </w:p>
        </w:tc>
      </w:tr>
      <w:tr>
        <w:trPr>
          <w:trHeight w:val="235"/>
        </w:trPr>
        <w:tc>
          <w:tcPr>
            <w:tcW w:w="6520" w:type="dxa"/>
            <w:vAlign w:val="bottom"/>
          </w:tcPr>
          <w:p>
            <w:pPr>
              <w:ind w:left="320"/>
              <w:spacing w:after="0"/>
              <w:rPr>
                <w:sz w:val="20"/>
                <w:szCs w:val="20"/>
                <w:color w:val="auto"/>
              </w:rPr>
            </w:pPr>
            <w:r>
              <w:rPr>
                <w:rFonts w:ascii="Arial" w:cs="Arial" w:eastAsia="Arial" w:hAnsi="Arial"/>
                <w:sz w:val="17"/>
                <w:szCs w:val="17"/>
                <w:color w:val="auto"/>
              </w:rPr>
              <w:t>Repayments on other debt instruments</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(295.3)</w:t>
            </w:r>
          </w:p>
        </w:tc>
        <w:tc>
          <w:tcPr>
            <w:tcW w:w="5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(395.2)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99.9</w:t>
            </w:r>
          </w:p>
        </w:tc>
      </w:tr>
      <w:tr>
        <w:trPr>
          <w:trHeight w:val="236"/>
        </w:trPr>
        <w:tc>
          <w:tcPr>
            <w:tcW w:w="6520" w:type="dxa"/>
            <w:vAlign w:val="bottom"/>
            <w:shd w:val="clear" w:color="auto" w:fill="E2EEF6"/>
          </w:tcPr>
          <w:p>
            <w:pPr>
              <w:ind w:left="320"/>
              <w:spacing w:after="0"/>
              <w:rPr>
                <w:sz w:val="20"/>
                <w:szCs w:val="20"/>
                <w:color w:val="auto"/>
              </w:rPr>
            </w:pPr>
            <w:r>
              <w:rPr>
                <w:rFonts w:ascii="Arial" w:cs="Arial" w:eastAsia="Arial" w:hAnsi="Arial"/>
                <w:sz w:val="17"/>
                <w:szCs w:val="17"/>
                <w:color w:val="auto"/>
                <w:w w:val="94"/>
              </w:rPr>
              <w:t>Net proceeds from issuance of ordinary shares under stock-based compensation plans</w:t>
            </w:r>
          </w:p>
        </w:tc>
        <w:tc>
          <w:tcPr>
            <w:tcW w:w="240" w:type="dxa"/>
            <w:vAlign w:val="bottom"/>
            <w:shd w:val="clear" w:color="auto" w:fill="E2EEF6"/>
          </w:tcPr>
          <w:p>
            <w:pPr>
              <w:spacing w:after="0"/>
              <w:rPr>
                <w:sz w:val="20"/>
                <w:szCs w:val="20"/>
                <w:color w:val="auto"/>
              </w:rPr>
            </w:pPr>
          </w:p>
        </w:tc>
        <w:tc>
          <w:tcPr>
            <w:tcW w:w="500" w:type="dxa"/>
            <w:vAlign w:val="bottom"/>
            <w:shd w:val="clear" w:color="auto" w:fill="E2EEF6"/>
          </w:tcPr>
          <w:p>
            <w:pPr>
              <w:spacing w:after="0"/>
              <w:rPr>
                <w:sz w:val="20"/>
                <w:szCs w:val="20"/>
                <w:color w:val="auto"/>
              </w:rPr>
            </w:pPr>
          </w:p>
        </w:tc>
        <w:tc>
          <w:tcPr>
            <w:tcW w:w="880" w:type="dxa"/>
            <w:vAlign w:val="bottom"/>
            <w:shd w:val="clear" w:color="auto" w:fill="E2EEF6"/>
          </w:tcPr>
          <w:p>
            <w:pPr>
              <w:jc w:val="right"/>
              <w:spacing w:after="0"/>
              <w:rPr>
                <w:sz w:val="20"/>
                <w:szCs w:val="20"/>
                <w:color w:val="auto"/>
              </w:rPr>
            </w:pPr>
            <w:r>
              <w:rPr>
                <w:rFonts w:ascii="Arial" w:cs="Arial" w:eastAsia="Arial" w:hAnsi="Arial"/>
                <w:sz w:val="17"/>
                <w:szCs w:val="17"/>
                <w:color w:val="auto"/>
              </w:rPr>
              <w:t>159.4</w:t>
            </w:r>
          </w:p>
        </w:tc>
        <w:tc>
          <w:tcPr>
            <w:tcW w:w="240" w:type="dxa"/>
            <w:vAlign w:val="bottom"/>
            <w:shd w:val="clear" w:color="auto" w:fill="E2EEF6"/>
          </w:tcPr>
          <w:p>
            <w:pPr>
              <w:spacing w:after="0"/>
              <w:rPr>
                <w:sz w:val="20"/>
                <w:szCs w:val="20"/>
                <w:color w:val="auto"/>
              </w:rPr>
            </w:pPr>
          </w:p>
        </w:tc>
        <w:tc>
          <w:tcPr>
            <w:tcW w:w="500" w:type="dxa"/>
            <w:vAlign w:val="bottom"/>
            <w:shd w:val="clear" w:color="auto" w:fill="E2EEF6"/>
          </w:tcPr>
          <w:p>
            <w:pPr>
              <w:spacing w:after="0"/>
              <w:rPr>
                <w:sz w:val="20"/>
                <w:szCs w:val="20"/>
                <w:color w:val="auto"/>
              </w:rPr>
            </w:pPr>
          </w:p>
        </w:tc>
        <w:tc>
          <w:tcPr>
            <w:tcW w:w="100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15.0</w:t>
            </w:r>
          </w:p>
        </w:tc>
        <w:tc>
          <w:tcPr>
            <w:tcW w:w="80" w:type="dxa"/>
            <w:vAlign w:val="bottom"/>
            <w:shd w:val="clear" w:color="auto" w:fill="E2EEF6"/>
          </w:tcPr>
          <w:p>
            <w:pPr>
              <w:spacing w:after="0"/>
              <w:rPr>
                <w:sz w:val="20"/>
                <w:szCs w:val="20"/>
                <w:color w:val="auto"/>
              </w:rPr>
            </w:pPr>
          </w:p>
        </w:tc>
        <w:tc>
          <w:tcPr>
            <w:tcW w:w="520" w:type="dxa"/>
            <w:vAlign w:val="bottom"/>
            <w:shd w:val="clear" w:color="auto" w:fill="E2EEF6"/>
          </w:tcPr>
          <w:p>
            <w:pPr>
              <w:spacing w:after="0"/>
              <w:rPr>
                <w:sz w:val="20"/>
                <w:szCs w:val="20"/>
                <w:color w:val="auto"/>
              </w:rPr>
            </w:pPr>
          </w:p>
        </w:tc>
        <w:tc>
          <w:tcPr>
            <w:tcW w:w="94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144.4</w:t>
            </w:r>
          </w:p>
        </w:tc>
      </w:tr>
      <w:tr>
        <w:trPr>
          <w:trHeight w:val="235"/>
        </w:trPr>
        <w:tc>
          <w:tcPr>
            <w:tcW w:w="6520" w:type="dxa"/>
            <w:vAlign w:val="bottom"/>
          </w:tcPr>
          <w:p>
            <w:pPr>
              <w:ind w:left="320"/>
              <w:spacing w:after="0"/>
              <w:rPr>
                <w:sz w:val="20"/>
                <w:szCs w:val="20"/>
                <w:color w:val="auto"/>
              </w:rPr>
            </w:pPr>
            <w:r>
              <w:rPr>
                <w:rFonts w:ascii="Arial" w:cs="Arial" w:eastAsia="Arial" w:hAnsi="Arial"/>
                <w:sz w:val="17"/>
                <w:szCs w:val="17"/>
                <w:color w:val="auto"/>
              </w:rPr>
              <w:t>Proceeds from issuance of ordinary shares upon exercise of warrants</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4.6</w:t>
            </w:r>
          </w:p>
        </w:tc>
      </w:tr>
      <w:tr>
        <w:trPr>
          <w:trHeight w:val="236"/>
        </w:trPr>
        <w:tc>
          <w:tcPr>
            <w:tcW w:w="6520" w:type="dxa"/>
            <w:vAlign w:val="bottom"/>
            <w:shd w:val="clear" w:color="auto" w:fill="E2EEF6"/>
          </w:tcPr>
          <w:p>
            <w:pPr>
              <w:ind w:left="320"/>
              <w:spacing w:after="0"/>
              <w:rPr>
                <w:sz w:val="20"/>
                <w:szCs w:val="20"/>
                <w:color w:val="auto"/>
              </w:rPr>
            </w:pPr>
            <w:r>
              <w:rPr>
                <w:rFonts w:ascii="Arial" w:cs="Arial" w:eastAsia="Arial" w:hAnsi="Arial"/>
                <w:sz w:val="17"/>
                <w:szCs w:val="17"/>
                <w:color w:val="auto"/>
              </w:rPr>
              <w:t>Decrease in cash dedicated to debt service</w:t>
            </w:r>
          </w:p>
        </w:tc>
        <w:tc>
          <w:tcPr>
            <w:tcW w:w="240" w:type="dxa"/>
            <w:vAlign w:val="bottom"/>
            <w:shd w:val="clear" w:color="auto" w:fill="E2EEF6"/>
          </w:tcPr>
          <w:p>
            <w:pPr>
              <w:spacing w:after="0"/>
              <w:rPr>
                <w:sz w:val="20"/>
                <w:szCs w:val="20"/>
                <w:color w:val="auto"/>
              </w:rPr>
            </w:pPr>
          </w:p>
        </w:tc>
        <w:tc>
          <w:tcPr>
            <w:tcW w:w="500" w:type="dxa"/>
            <w:vAlign w:val="bottom"/>
            <w:shd w:val="clear" w:color="auto" w:fill="E2EEF6"/>
          </w:tcPr>
          <w:p>
            <w:pPr>
              <w:spacing w:after="0"/>
              <w:rPr>
                <w:sz w:val="20"/>
                <w:szCs w:val="20"/>
                <w:color w:val="auto"/>
              </w:rPr>
            </w:pPr>
          </w:p>
        </w:tc>
        <w:tc>
          <w:tcPr>
            <w:tcW w:w="880" w:type="dxa"/>
            <w:vAlign w:val="bottom"/>
            <w:shd w:val="clear" w:color="auto" w:fill="E2EEF6"/>
          </w:tcPr>
          <w:p>
            <w:pPr>
              <w:jc w:val="right"/>
              <w:spacing w:after="0"/>
              <w:rPr>
                <w:sz w:val="20"/>
                <w:szCs w:val="20"/>
                <w:color w:val="auto"/>
              </w:rPr>
            </w:pPr>
            <w:r>
              <w:rPr>
                <w:rFonts w:ascii="Arial" w:cs="Arial" w:eastAsia="Arial" w:hAnsi="Arial"/>
                <w:sz w:val="17"/>
                <w:szCs w:val="17"/>
                <w:color w:val="auto"/>
              </w:rPr>
              <w:t>12.0</w:t>
            </w:r>
          </w:p>
        </w:tc>
        <w:tc>
          <w:tcPr>
            <w:tcW w:w="240" w:type="dxa"/>
            <w:vAlign w:val="bottom"/>
            <w:shd w:val="clear" w:color="auto" w:fill="E2EEF6"/>
          </w:tcPr>
          <w:p>
            <w:pPr>
              <w:spacing w:after="0"/>
              <w:rPr>
                <w:sz w:val="20"/>
                <w:szCs w:val="20"/>
                <w:color w:val="auto"/>
              </w:rPr>
            </w:pPr>
          </w:p>
        </w:tc>
        <w:tc>
          <w:tcPr>
            <w:tcW w:w="500" w:type="dxa"/>
            <w:vAlign w:val="bottom"/>
            <w:shd w:val="clear" w:color="auto" w:fill="E2EEF6"/>
          </w:tcPr>
          <w:p>
            <w:pPr>
              <w:spacing w:after="0"/>
              <w:rPr>
                <w:sz w:val="20"/>
                <w:szCs w:val="20"/>
                <w:color w:val="auto"/>
              </w:rPr>
            </w:pPr>
          </w:p>
        </w:tc>
        <w:tc>
          <w:tcPr>
            <w:tcW w:w="8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520" w:type="dxa"/>
            <w:vAlign w:val="bottom"/>
            <w:shd w:val="clear" w:color="auto" w:fill="E2EEF6"/>
          </w:tcPr>
          <w:p>
            <w:pPr>
              <w:spacing w:after="0"/>
              <w:rPr>
                <w:sz w:val="20"/>
                <w:szCs w:val="20"/>
                <w:color w:val="auto"/>
              </w:rPr>
            </w:pPr>
          </w:p>
        </w:tc>
        <w:tc>
          <w:tcPr>
            <w:tcW w:w="94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12.0</w:t>
            </w:r>
          </w:p>
        </w:tc>
      </w:tr>
      <w:tr>
        <w:trPr>
          <w:trHeight w:val="235"/>
        </w:trPr>
        <w:tc>
          <w:tcPr>
            <w:tcW w:w="6520" w:type="dxa"/>
            <w:vAlign w:val="bottom"/>
          </w:tcPr>
          <w:p>
            <w:pPr>
              <w:ind w:left="320"/>
              <w:spacing w:after="0"/>
              <w:rPr>
                <w:sz w:val="20"/>
                <w:szCs w:val="20"/>
                <w:color w:val="auto"/>
              </w:rPr>
            </w:pPr>
            <w:r>
              <w:rPr>
                <w:rFonts w:ascii="Arial" w:cs="Arial" w:eastAsia="Arial" w:hAnsi="Arial"/>
                <w:sz w:val="17"/>
                <w:szCs w:val="17"/>
                <w:color w:val="auto"/>
              </w:rPr>
              <w:t>Other, net</w:t>
            </w: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0"/>
                <w:szCs w:val="20"/>
                <w:color w:val="auto"/>
              </w:rPr>
            </w:pPr>
          </w:p>
        </w:tc>
      </w:tr>
      <w:tr>
        <w:trPr>
          <w:trHeight w:val="249"/>
        </w:trPr>
        <w:tc>
          <w:tcPr>
            <w:tcW w:w="6520" w:type="dxa"/>
            <w:vAlign w:val="bottom"/>
            <w:shd w:val="clear" w:color="auto" w:fill="E2EEF6"/>
          </w:tcPr>
          <w:p>
            <w:pPr>
              <w:spacing w:after="0"/>
              <w:rPr>
                <w:sz w:val="21"/>
                <w:szCs w:val="21"/>
                <w:color w:val="auto"/>
              </w:rPr>
            </w:pPr>
          </w:p>
        </w:tc>
        <w:tc>
          <w:tcPr>
            <w:tcW w:w="740" w:type="dxa"/>
            <w:vAlign w:val="bottom"/>
            <w:gridSpan w:val="2"/>
            <w:shd w:val="clear" w:color="auto" w:fill="E2EEF6"/>
          </w:tcPr>
          <w:p>
            <w:pPr>
              <w:jc w:val="right"/>
              <w:ind w:right="4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E2EEF6"/>
          </w:tcPr>
          <w:p>
            <w:pPr>
              <w:jc w:val="right"/>
              <w:ind w:right="180"/>
              <w:spacing w:after="0"/>
              <w:rPr>
                <w:sz w:val="20"/>
                <w:szCs w:val="20"/>
                <w:color w:val="auto"/>
              </w:rPr>
            </w:pPr>
            <w:r>
              <w:rPr>
                <w:rFonts w:ascii="Arial" w:cs="Arial" w:eastAsia="Arial" w:hAnsi="Arial"/>
                <w:sz w:val="17"/>
                <w:szCs w:val="17"/>
                <w:color w:val="auto"/>
              </w:rPr>
              <w:t>(119.2)</w:t>
            </w:r>
          </w:p>
        </w:tc>
        <w:tc>
          <w:tcPr>
            <w:tcW w:w="500" w:type="dxa"/>
            <w:vAlign w:val="bottom"/>
            <w:shd w:val="clear" w:color="auto" w:fill="E2EEF6"/>
          </w:tcPr>
          <w:p>
            <w:pPr>
              <w:jc w:val="right"/>
              <w:ind w:right="34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2EEF6"/>
          </w:tcPr>
          <w:p>
            <w:pPr>
              <w:jc w:val="right"/>
              <w:ind w:right="80"/>
              <w:spacing w:after="0"/>
              <w:rPr>
                <w:sz w:val="20"/>
                <w:szCs w:val="20"/>
                <w:color w:val="auto"/>
              </w:rPr>
            </w:pPr>
            <w:r>
              <w:rPr>
                <w:rFonts w:ascii="Arial" w:cs="Arial" w:eastAsia="Arial" w:hAnsi="Arial"/>
                <w:sz w:val="17"/>
                <w:szCs w:val="17"/>
                <w:color w:val="auto"/>
              </w:rPr>
              <w:t>(580.2)</w:t>
            </w:r>
          </w:p>
        </w:tc>
        <w:tc>
          <w:tcPr>
            <w:tcW w:w="600" w:type="dxa"/>
            <w:vAlign w:val="bottom"/>
            <w:gridSpan w:val="2"/>
            <w:shd w:val="clear" w:color="auto" w:fill="E2EEF6"/>
          </w:tcPr>
          <w:p>
            <w:pPr>
              <w:jc w:val="right"/>
              <w:ind w:right="4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461.0</w:t>
            </w:r>
          </w:p>
        </w:tc>
      </w:tr>
      <w:tr>
        <w:trPr>
          <w:trHeight w:val="20"/>
        </w:trPr>
        <w:tc>
          <w:tcPr>
            <w:tcW w:w="6520" w:type="dxa"/>
            <w:vAlign w:val="bottom"/>
            <w:tcBorders>
              <w:top w:val="single" w:sz="8" w:color="E2EEF6"/>
            </w:tcBorders>
            <w:shd w:val="clear" w:color="auto" w:fill="E2EEF6"/>
          </w:tcPr>
          <w:p>
            <w:pPr>
              <w:spacing w:after="0" w:line="20" w:lineRule="exact"/>
              <w:rPr>
                <w:sz w:val="1"/>
                <w:szCs w:val="1"/>
                <w:color w:val="auto"/>
              </w:rPr>
            </w:pPr>
          </w:p>
        </w:tc>
        <w:tc>
          <w:tcPr>
            <w:tcW w:w="240" w:type="dxa"/>
            <w:vAlign w:val="bottom"/>
            <w:tcBorders>
              <w:top w:val="single" w:sz="8" w:color="E2EEF6"/>
            </w:tcBorders>
            <w:shd w:val="clear" w:color="auto" w:fill="E2EEF6"/>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2EEF6"/>
            </w:tcBorders>
            <w:shd w:val="clear" w:color="auto" w:fill="E2EEF6"/>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2EEF6"/>
            </w:tcBorders>
            <w:shd w:val="clear" w:color="auto" w:fill="E2EEF6"/>
          </w:tcPr>
          <w:p>
            <w:pPr>
              <w:spacing w:after="0" w:line="20" w:lineRule="exact"/>
              <w:rPr>
                <w:sz w:val="1"/>
                <w:szCs w:val="1"/>
                <w:color w:val="auto"/>
              </w:rPr>
            </w:pPr>
          </w:p>
        </w:tc>
        <w:tc>
          <w:tcPr>
            <w:tcW w:w="80" w:type="dxa"/>
            <w:vAlign w:val="bottom"/>
            <w:tcBorders>
              <w:top w:val="single" w:sz="8" w:color="E2EEF6"/>
            </w:tcBorders>
            <w:shd w:val="clear" w:color="auto" w:fill="E2EEF6"/>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r>
    </w:tbl>
    <w:p>
      <w:pPr>
        <w:spacing w:after="0" w:line="249"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color w:val="auto"/>
        </w:rPr>
        <w:t xml:space="preserve">The decrease in net cash used in financing activities is primarily attributable to the early redemption of our 9.5% Senior Notes totaling $370.3 million and payments made on our $800 million revolving credit agreement of $200.0 million during the six months ended June 30, 2004 compared to $247.8 million for the early redemption of our 6.95% Senior Notes during the same period in 2005. In the six months ended June 30, 2005, we received higher proceeds from stock option exercises compared to the same period in 2004. The decrease in cash dedicated to debt service of $12.0 million resulted from the repayment of the </w:t>
      </w:r>
      <w:r>
        <w:rPr>
          <w:rFonts w:ascii="Arial" w:cs="Arial" w:eastAsia="Arial" w:hAnsi="Arial"/>
          <w:sz w:val="17"/>
          <w:szCs w:val="17"/>
          <w:i w:val="1"/>
          <w:iCs w:val="1"/>
          <w:color w:val="auto"/>
        </w:rPr>
        <w:t xml:space="preserve">Deepwater Nautilus </w:t>
      </w:r>
      <w:r>
        <w:rPr>
          <w:rFonts w:ascii="Arial" w:cs="Arial" w:eastAsia="Arial" w:hAnsi="Arial"/>
          <w:sz w:val="17"/>
          <w:szCs w:val="17"/>
          <w:color w:val="auto"/>
        </w:rPr>
        <w:t>project financing in May 2005 and the subsequent release of the restrictions on the related cash.</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Capital Expenditures</w:t>
      </w:r>
    </w:p>
    <w:p>
      <w:pPr>
        <w:spacing w:after="0" w:line="281" w:lineRule="exact"/>
        <w:rPr>
          <w:sz w:val="20"/>
          <w:szCs w:val="20"/>
          <w:color w:val="auto"/>
        </w:rPr>
      </w:pPr>
    </w:p>
    <w:p>
      <w:pPr>
        <w:jc w:val="both"/>
        <w:ind w:firstLine="628"/>
        <w:spacing w:after="0" w:line="285" w:lineRule="auto"/>
        <w:rPr>
          <w:sz w:val="20"/>
          <w:szCs w:val="20"/>
          <w:color w:val="auto"/>
        </w:rPr>
      </w:pPr>
      <w:r>
        <w:rPr>
          <w:rFonts w:ascii="Arial" w:cs="Arial" w:eastAsia="Arial" w:hAnsi="Arial"/>
          <w:sz w:val="16"/>
          <w:szCs w:val="16"/>
          <w:color w:val="auto"/>
        </w:rPr>
        <w:t>Capital expenditures totaled $109.6 million during the six months ended June 30, 2005. We expect to spend approximately $100 million during the second half of 2005 on our existing fleet, including major upgrades, and corporate infrastructure. These amounts are dependent upon the actual level of operational and contracting activity. In addition, we expect to spend another $25 million for upgrades required and funded by our drilling contracts. We intend to fund the cash requirements relating to our capital expenditures through available cash balances, cash generated from operations and asset sales. We also have available credit under our revolving credit agreement (see “—Sources of Liquidity”) and may utilize other commercial bank or capital market financings.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Acquisitions and Dispositions</w:t>
      </w:r>
    </w:p>
    <w:p>
      <w:pPr>
        <w:spacing w:after="0" w:line="281" w:lineRule="exact"/>
        <w:rPr>
          <w:sz w:val="20"/>
          <w:szCs w:val="20"/>
          <w:color w:val="auto"/>
        </w:rPr>
      </w:pPr>
    </w:p>
    <w:p>
      <w:pPr>
        <w:jc w:val="both"/>
        <w:ind w:firstLine="628"/>
        <w:spacing w:after="0" w:line="289" w:lineRule="auto"/>
        <w:rPr>
          <w:sz w:val="20"/>
          <w:szCs w:val="20"/>
          <w:color w:val="auto"/>
        </w:rPr>
      </w:pPr>
      <w:r>
        <w:rPr>
          <w:rFonts w:ascii="Arial" w:cs="Arial" w:eastAsia="Arial" w:hAnsi="Arial"/>
          <w:sz w:val="16"/>
          <w:szCs w:val="16"/>
          <w:color w:val="auto"/>
        </w:rPr>
        <w:t>From time to time, we review possible acquisitions of businesses and drilling units and may in the future make significant capital commitments for such purposes. Any such acquisition could involve the payment by us of a substantial amount of cash or the issuance of a substantial number of additional ordinary shares or other securities. We would likely fund the cash portion of any such acquisition through cash balances on hand, the incurrence of additional debt, sales of assets, issuance of ordinary shares or other securities or a combination thereof. In addition, from time to time, we review possible dispositions of drilling units.</w:t>
      </w:r>
    </w:p>
    <w:p>
      <w:pPr>
        <w:spacing w:after="0" w:line="213"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i w:val="1"/>
          <w:iCs w:val="1"/>
          <w:color w:val="auto"/>
        </w:rPr>
        <w:t>Acquisition</w:t>
      </w:r>
      <w:r>
        <w:rPr>
          <w:rFonts w:ascii="Arial" w:cs="Arial" w:eastAsia="Arial" w:hAnsi="Arial"/>
          <w:sz w:val="17"/>
          <w:szCs w:val="17"/>
          <w:color w:val="auto"/>
        </w:rPr>
        <w:t>—In May 2005, we purchased the semisubmersible rig</w:t>
      </w:r>
      <w:r>
        <w:rPr>
          <w:rFonts w:ascii="Arial" w:cs="Arial" w:eastAsia="Arial" w:hAnsi="Arial"/>
          <w:sz w:val="17"/>
          <w:szCs w:val="17"/>
          <w:i w:val="1"/>
          <w:iCs w:val="1"/>
          <w:color w:val="auto"/>
        </w:rPr>
        <w:t xml:space="preserve"> M. G. Hulme, Jr</w:t>
      </w:r>
      <w:r>
        <w:rPr>
          <w:rFonts w:ascii="Arial" w:cs="Arial" w:eastAsia="Arial" w:hAnsi="Arial"/>
          <w:sz w:val="17"/>
          <w:szCs w:val="17"/>
          <w:color w:val="auto"/>
        </w:rPr>
        <w:t>., which we had previously operated under a lease arrangement. See</w:t>
      </w:r>
      <w:r>
        <w:rPr>
          <w:rFonts w:ascii="Arial" w:cs="Arial" w:eastAsia="Arial" w:hAnsi="Arial"/>
          <w:sz w:val="17"/>
          <w:szCs w:val="17"/>
          <w:i w:val="1"/>
          <w:iCs w:val="1"/>
          <w:color w:val="auto"/>
        </w:rPr>
        <w:t xml:space="preserve"> </w:t>
      </w:r>
      <w:r>
        <w:rPr>
          <w:rFonts w:ascii="Arial" w:cs="Arial" w:eastAsia="Arial" w:hAnsi="Arial"/>
          <w:sz w:val="17"/>
          <w:szCs w:val="17"/>
          <w:color w:val="auto"/>
        </w:rPr>
        <w:t>“—Off-Balance Sheet Arrangement.”</w:t>
      </w:r>
    </w:p>
    <w:p>
      <w:pPr>
        <w:spacing w:after="0" w:line="211" w:lineRule="exact"/>
        <w:rPr>
          <w:sz w:val="20"/>
          <w:szCs w:val="20"/>
          <w:color w:val="auto"/>
        </w:rPr>
      </w:pPr>
    </w:p>
    <w:p>
      <w:pPr>
        <w:jc w:val="both"/>
        <w:ind w:firstLine="628"/>
        <w:spacing w:after="0" w:line="321" w:lineRule="auto"/>
        <w:rPr>
          <w:sz w:val="20"/>
          <w:szCs w:val="20"/>
          <w:color w:val="auto"/>
        </w:rPr>
      </w:pPr>
      <w:r>
        <w:rPr>
          <w:rFonts w:ascii="Arial" w:cs="Arial" w:eastAsia="Arial" w:hAnsi="Arial"/>
          <w:sz w:val="16"/>
          <w:szCs w:val="16"/>
          <w:i w:val="1"/>
          <w:iCs w:val="1"/>
          <w:color w:val="auto"/>
        </w:rPr>
        <w:t>Dispositions</w:t>
      </w:r>
      <w:r>
        <w:rPr>
          <w:rFonts w:ascii="Arial" w:cs="Arial" w:eastAsia="Arial" w:hAnsi="Arial"/>
          <w:sz w:val="16"/>
          <w:szCs w:val="16"/>
          <w:color w:val="auto"/>
        </w:rPr>
        <w:t>—In June 2005, we sold the jackup rig</w:t>
      </w:r>
      <w:r>
        <w:rPr>
          <w:rFonts w:ascii="Arial" w:cs="Arial" w:eastAsia="Arial" w:hAnsi="Arial"/>
          <w:sz w:val="16"/>
          <w:szCs w:val="16"/>
          <w:i w:val="1"/>
          <w:iCs w:val="1"/>
          <w:color w:val="auto"/>
        </w:rPr>
        <w:t xml:space="preserve"> Transocean Jupiter </w:t>
      </w:r>
      <w:r>
        <w:rPr>
          <w:rFonts w:ascii="Arial" w:cs="Arial" w:eastAsia="Arial" w:hAnsi="Arial"/>
          <w:sz w:val="16"/>
          <w:szCs w:val="16"/>
          <w:color w:val="auto"/>
        </w:rPr>
        <w:t>and a land rig for net proceeds of $23.5 million and recognized a gain of $14.0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million. In January 2005, we completed the sale of the semisubmersible rig </w:t>
      </w:r>
      <w:r>
        <w:rPr>
          <w:rFonts w:ascii="Arial" w:cs="Arial" w:eastAsia="Arial" w:hAnsi="Arial"/>
          <w:sz w:val="16"/>
          <w:szCs w:val="16"/>
          <w:i w:val="1"/>
          <w:iCs w:val="1"/>
          <w:color w:val="auto"/>
        </w:rPr>
        <w:t>Sedco 600</w:t>
      </w:r>
      <w:r>
        <w:rPr>
          <w:rFonts w:ascii="Arial" w:cs="Arial" w:eastAsia="Arial" w:hAnsi="Arial"/>
          <w:sz w:val="16"/>
          <w:szCs w:val="16"/>
          <w:color w:val="auto"/>
        </w:rPr>
        <w:t xml:space="preserve"> for net proceeds of $24.9 million and recognized a gain of $18.8 million.</w:t>
      </w:r>
    </w:p>
    <w:p>
      <w:pPr>
        <w:spacing w:after="0" w:line="188"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During the six months ended June 30, 2005, we sold certain other assets for net proceeds of approximately $12.1 million and we recorded net gains of $2.9 million.</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Sources of Liquidity</w:t>
      </w:r>
    </w:p>
    <w:p>
      <w:pPr>
        <w:spacing w:after="0" w:line="281"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Our primary sources of liquidity in the second quarter of 2005 were our cash flows from operations, proceeds from the 2005 Offering and Sale, proceeds from asset sales, proceeds from issuance of ordinary shares under stock-based compensation plans and existing cash balances. Our primary uses of cash were debt repayments and capital expenditures. At June 30, 2005, we had $942.5 million in cash and cash equivalents.</w:t>
      </w:r>
    </w:p>
    <w:p>
      <w:pPr>
        <w:spacing w:after="0" w:line="225"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We expect to use existing cash balances, internally generated cash flows and proceeds from asset sales to fulfill anticipated obligations such as scheduled debt maturities, capital expenditures and working capital needs. From time to time, we may also use bank lines of credit to maintain liquidity for short-term cash needs.</w:t>
      </w:r>
    </w:p>
    <w:p>
      <w:pPr>
        <w:spacing w:after="0" w:line="225"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color w:val="auto"/>
        </w:rPr>
        <w:t>When cash on hand, cash flows from operations, proceeds from asset sales and committed bank facility availability exceed our expected liquidity needs, we may use a portion of such cash to reduce debt prior to scheduled maturities through repurchases, redemptions or tender offers, or make repayments on any outstanding bank borrowings. We expect to continue this focus on debt reduction through the third quarter of 2005, at which time we will consider alternative uses of our excess cash. Such possible uses could include allowing cash balances to increase, continued debt reduction, extraordinary dividends, share repurchases, resumption of periodic dividends, major rig upgrades and/or opportunistic asset acquisitions.</w:t>
      </w:r>
    </w:p>
    <w:p>
      <w:pPr>
        <w:spacing w:after="0" w:line="233" w:lineRule="exact"/>
        <w:rPr>
          <w:sz w:val="20"/>
          <w:szCs w:val="20"/>
          <w:color w:val="auto"/>
        </w:rPr>
      </w:pPr>
    </w:p>
    <w:p>
      <w:pPr>
        <w:jc w:val="both"/>
        <w:ind w:firstLine="628"/>
        <w:spacing w:after="0" w:line="297" w:lineRule="auto"/>
        <w:rPr>
          <w:sz w:val="20"/>
          <w:szCs w:val="20"/>
          <w:color w:val="auto"/>
        </w:rPr>
      </w:pPr>
      <w:r>
        <w:rPr>
          <w:rFonts w:ascii="Arial" w:cs="Arial" w:eastAsia="Arial" w:hAnsi="Arial"/>
          <w:sz w:val="16"/>
          <w:szCs w:val="16"/>
          <w:color w:val="auto"/>
        </w:rPr>
        <w:t>At June 30, 2005 and December 31, 2004, our total debt was $2,193.5 million and $2,481.5 million, respectively. Net debt, a non-GAAP financial measure defined as total debt less cash and cash equivalents, at such dates was $1,251.0 million and $2,030.2 million, respectively. During the six months ended June 30, 2005, we reduced net debt by $779.2 million. The reconciliation of total debt to net debt at carrying value is as follows (in millions):</w:t>
      </w:r>
    </w:p>
    <w:p>
      <w:pPr>
        <w:spacing w:after="0" w:line="233" w:lineRule="exact"/>
        <w:rPr>
          <w:sz w:val="20"/>
          <w:szCs w:val="20"/>
          <w:color w:val="auto"/>
        </w:rPr>
      </w:pPr>
    </w:p>
    <w:tbl>
      <w:tblPr>
        <w:tblLayout w:type="fixed"/>
        <w:tblInd w:w="1720" w:type="dxa"/>
        <w:tblCellMar>
          <w:top w:w="0" w:type="dxa"/>
          <w:left w:w="0" w:type="dxa"/>
          <w:bottom w:w="0" w:type="dxa"/>
          <w:right w:w="0" w:type="dxa"/>
        </w:tblCellMar>
      </w:tblPr>
      <w:tr>
        <w:trPr>
          <w:trHeight w:val="221"/>
        </w:trPr>
        <w:tc>
          <w:tcPr>
            <w:tcW w:w="4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ind w:left="140"/>
              <w:spacing w:after="0"/>
              <w:rPr>
                <w:sz w:val="20"/>
                <w:szCs w:val="20"/>
                <w:color w:val="auto"/>
              </w:rPr>
            </w:pPr>
            <w:r>
              <w:rPr>
                <w:rFonts w:ascii="Arial" w:cs="Arial" w:eastAsia="Arial" w:hAnsi="Arial"/>
                <w:sz w:val="17"/>
                <w:szCs w:val="17"/>
                <w:color w:val="auto"/>
              </w:rPr>
              <w:t>June 30,</w:t>
            </w: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7"/>
                <w:szCs w:val="17"/>
                <w:color w:val="auto"/>
              </w:rPr>
              <w:t>December 31,</w:t>
            </w:r>
          </w:p>
        </w:tc>
      </w:tr>
      <w:tr>
        <w:trPr>
          <w:trHeight w:val="262"/>
        </w:trPr>
        <w:tc>
          <w:tcPr>
            <w:tcW w:w="48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2005</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color w:val="auto"/>
              </w:rPr>
              <w:t>2004</w:t>
            </w:r>
          </w:p>
        </w:tc>
        <w:tc>
          <w:tcPr>
            <w:tcW w:w="100" w:type="dxa"/>
            <w:vAlign w:val="bottom"/>
          </w:tcPr>
          <w:p>
            <w:pPr>
              <w:spacing w:after="0"/>
              <w:rPr>
                <w:sz w:val="22"/>
                <w:szCs w:val="22"/>
                <w:color w:val="auto"/>
              </w:rPr>
            </w:pPr>
          </w:p>
        </w:tc>
      </w:tr>
      <w:tr>
        <w:trPr>
          <w:trHeight w:val="229"/>
        </w:trPr>
        <w:tc>
          <w:tcPr>
            <w:tcW w:w="4880" w:type="dxa"/>
            <w:vAlign w:val="bottom"/>
            <w:shd w:val="clear" w:color="auto" w:fill="E2EEF6"/>
          </w:tcPr>
          <w:p>
            <w:pPr>
              <w:spacing w:after="0"/>
              <w:rPr>
                <w:sz w:val="20"/>
                <w:szCs w:val="20"/>
                <w:color w:val="auto"/>
              </w:rPr>
            </w:pPr>
            <w:r>
              <w:rPr>
                <w:rFonts w:ascii="Arial" w:cs="Arial" w:eastAsia="Arial" w:hAnsi="Arial"/>
                <w:sz w:val="17"/>
                <w:szCs w:val="17"/>
                <w:color w:val="auto"/>
              </w:rPr>
              <w:t>Total Debt</w:t>
            </w:r>
          </w:p>
        </w:tc>
        <w:tc>
          <w:tcPr>
            <w:tcW w:w="260" w:type="dxa"/>
            <w:vAlign w:val="bottom"/>
            <w:shd w:val="clear" w:color="auto" w:fill="E2EEF6"/>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E2EEF6"/>
          </w:tcPr>
          <w:p>
            <w:pPr>
              <w:jc w:val="right"/>
              <w:spacing w:after="0"/>
              <w:rPr>
                <w:sz w:val="20"/>
                <w:szCs w:val="20"/>
                <w:color w:val="auto"/>
              </w:rPr>
            </w:pPr>
            <w:r>
              <w:rPr>
                <w:rFonts w:ascii="Arial" w:cs="Arial" w:eastAsia="Arial" w:hAnsi="Arial"/>
                <w:sz w:val="17"/>
                <w:szCs w:val="17"/>
                <w:color w:val="auto"/>
              </w:rPr>
              <w:t>2,193.5</w:t>
            </w:r>
          </w:p>
        </w:tc>
        <w:tc>
          <w:tcPr>
            <w:tcW w:w="220" w:type="dxa"/>
            <w:vAlign w:val="bottom"/>
            <w:shd w:val="clear" w:color="auto" w:fill="E2EEF6"/>
          </w:tcPr>
          <w:p>
            <w:pPr>
              <w:spacing w:after="0"/>
              <w:rPr>
                <w:sz w:val="19"/>
                <w:szCs w:val="19"/>
                <w:color w:val="auto"/>
              </w:rPr>
            </w:pPr>
          </w:p>
        </w:tc>
        <w:tc>
          <w:tcPr>
            <w:tcW w:w="160" w:type="dxa"/>
            <w:vAlign w:val="bottom"/>
            <w:shd w:val="clear" w:color="auto" w:fill="E2EEF6"/>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2,481.5</w:t>
            </w:r>
          </w:p>
        </w:tc>
      </w:tr>
      <w:tr>
        <w:trPr>
          <w:trHeight w:val="235"/>
        </w:trPr>
        <w:tc>
          <w:tcPr>
            <w:tcW w:w="4880" w:type="dxa"/>
            <w:vAlign w:val="bottom"/>
          </w:tcPr>
          <w:p>
            <w:pPr>
              <w:spacing w:after="0"/>
              <w:rPr>
                <w:sz w:val="20"/>
                <w:szCs w:val="20"/>
                <w:color w:val="auto"/>
              </w:rPr>
            </w:pPr>
            <w:r>
              <w:rPr>
                <w:rFonts w:ascii="Arial" w:cs="Arial" w:eastAsia="Arial" w:hAnsi="Arial"/>
                <w:sz w:val="17"/>
                <w:szCs w:val="17"/>
                <w:color w:val="auto"/>
              </w:rPr>
              <w:t>Less: Cash and cash equivalents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451.3</w:t>
            </w:r>
          </w:p>
        </w:tc>
        <w:tc>
          <w:tcPr>
            <w:tcW w:w="100" w:type="dxa"/>
            <w:vAlign w:val="bottom"/>
          </w:tcPr>
          <w:p>
            <w:pPr>
              <w:spacing w:after="0"/>
              <w:rPr>
                <w:sz w:val="20"/>
                <w:szCs w:val="20"/>
                <w:color w:val="auto"/>
              </w:rPr>
            </w:pPr>
          </w:p>
        </w:tc>
      </w:tr>
      <w:tr>
        <w:trPr>
          <w:trHeight w:val="269"/>
        </w:trPr>
        <w:tc>
          <w:tcPr>
            <w:tcW w:w="4880" w:type="dxa"/>
            <w:vAlign w:val="bottom"/>
            <w:tcBorders>
              <w:bottom w:val="single" w:sz="8" w:color="E2EEF6"/>
            </w:tcBorders>
            <w:shd w:val="clear" w:color="auto" w:fill="E2EEF6"/>
          </w:tcPr>
          <w:p>
            <w:pPr>
              <w:ind w:left="320"/>
              <w:spacing w:after="0"/>
              <w:rPr>
                <w:sz w:val="20"/>
                <w:szCs w:val="20"/>
                <w:color w:val="auto"/>
              </w:rPr>
            </w:pPr>
            <w:r>
              <w:rPr>
                <w:rFonts w:ascii="Arial" w:cs="Arial" w:eastAsia="Arial" w:hAnsi="Arial"/>
                <w:sz w:val="17"/>
                <w:szCs w:val="17"/>
                <w:color w:val="auto"/>
              </w:rPr>
              <w:t>Net Debt</w:t>
            </w:r>
          </w:p>
        </w:tc>
        <w:tc>
          <w:tcPr>
            <w:tcW w:w="260" w:type="dxa"/>
            <w:vAlign w:val="bottom"/>
            <w:tcBorders>
              <w:bottom w:val="single" w:sz="8" w:color="auto"/>
            </w:tcBorders>
            <w:shd w:val="clear" w:color="auto" w:fill="E2EEF6"/>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7"/>
                <w:szCs w:val="17"/>
                <w:color w:val="auto"/>
              </w:rPr>
              <w:t>1,251.0</w:t>
            </w:r>
          </w:p>
        </w:tc>
        <w:tc>
          <w:tcPr>
            <w:tcW w:w="220" w:type="dxa"/>
            <w:vAlign w:val="bottom"/>
            <w:tcBorders>
              <w:bottom w:val="single" w:sz="8" w:color="E2EEF6"/>
            </w:tcBorders>
            <w:shd w:val="clear" w:color="auto" w:fill="E2EEF6"/>
          </w:tcPr>
          <w:p>
            <w:pPr>
              <w:spacing w:after="0"/>
              <w:rPr>
                <w:sz w:val="23"/>
                <w:szCs w:val="23"/>
                <w:color w:val="auto"/>
              </w:rPr>
            </w:pPr>
          </w:p>
        </w:tc>
        <w:tc>
          <w:tcPr>
            <w:tcW w:w="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7"/>
                <w:szCs w:val="17"/>
                <w:color w:val="auto"/>
              </w:rPr>
              <w:t>2,030.2</w:t>
            </w:r>
          </w:p>
        </w:tc>
        <w:tc>
          <w:tcPr>
            <w:tcW w:w="100" w:type="dxa"/>
            <w:vAlign w:val="bottom"/>
            <w:tcBorders>
              <w:bottom w:val="single" w:sz="8" w:color="E2EEF6"/>
            </w:tcBorders>
            <w:shd w:val="clear" w:color="auto" w:fill="E2EEF6"/>
          </w:tcPr>
          <w:p>
            <w:pPr>
              <w:spacing w:after="0"/>
              <w:rPr>
                <w:sz w:val="23"/>
                <w:szCs w:val="23"/>
                <w:color w:val="auto"/>
              </w:rPr>
            </w:pPr>
          </w:p>
        </w:tc>
      </w:tr>
    </w:tbl>
    <w:p>
      <w:pPr>
        <w:spacing w:after="0" w:line="249"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We believe net debt provides useful information regarding the level of our indebtedness by reflecting the amount of indebtedness assuming cash and investments are used to repay debt. Net debt declined each year since 2001 because cash flows, primarily from operations and asset sales, have exceeded capital expenditures.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24"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Our internally generated cash flow is directly related to our business and the market sectors in which we operate. Should the drilling market deteriorate, or should we experience poor results in our operations, cash flow from operations may be reduced. We have, however, continued to generate positive cash flow from operating activities over recent years and expect cash flow will continue to be positive over the next year.</w:t>
      </w:r>
    </w:p>
    <w:p>
      <w:pPr>
        <w:spacing w:after="0" w:line="225"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In July 2005, we entered into a bank line of credit under a $500.0 million five-year revolving credit agreement dated July 8, 2005. At July 29, 2005, $500.0 million remained available under the new revolving credit agreement. In conjunction with the activation of this facility, we terminated our $800.0 million five-year revolving credit agreement dated December 16, 2003.</w:t>
      </w:r>
    </w:p>
    <w:p>
      <w:pPr>
        <w:spacing w:after="0" w:line="225" w:lineRule="exact"/>
        <w:rPr>
          <w:sz w:val="20"/>
          <w:szCs w:val="20"/>
          <w:color w:val="auto"/>
        </w:rPr>
      </w:pPr>
    </w:p>
    <w:p>
      <w:pPr>
        <w:jc w:val="both"/>
        <w:ind w:firstLine="628"/>
        <w:spacing w:after="0" w:line="262" w:lineRule="auto"/>
        <w:rPr>
          <w:sz w:val="20"/>
          <w:szCs w:val="20"/>
          <w:color w:val="auto"/>
        </w:rPr>
      </w:pPr>
      <w:r>
        <w:rPr>
          <w:rFonts w:ascii="Arial" w:cs="Arial" w:eastAsia="Arial" w:hAnsi="Arial"/>
          <w:sz w:val="17"/>
          <w:szCs w:val="17"/>
          <w:color w:val="auto"/>
        </w:rPr>
        <w:t>The new revolving credit agreement requires compliance with various covenants and provisions customary for agreements of this nature, including a debt to total tangible capitalization ratio as defined by the credit agreement not greater than 60 percent. There is no interest coverage covenant associated with this facility. Other provisions of the credit agreement include limitations on creating liens, incurring subsidiary debt, transactions with affiliates, sale/leaseback transactions and mergers and sale of substantially all assets. Should we fail to comply with these covenants, we would be in default and may lose access to this facility. We are also subject to various covenants under the indentures pursuant to which our public debt was issued, including restrictions on creating liens, engaging in sale/leaseback transactions and engaging in merger, consolidation or reorganization transactions. A default under our public debt could trigger a default under our credit line and cause us to lose access to this facility.</w:t>
      </w:r>
    </w:p>
    <w:p>
      <w:pPr>
        <w:spacing w:after="0" w:line="233"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In April 2001, the Securities and Exchange Commission (“SEC”) declared effective our shelf registration statement on Form S-3 for the proposed offering from time to time of up to $2.0 billion in gross proceeds of senior or subordinated debt securities, preference shares, ordinary shares and warrants to purchase debt securities, preference shares, ordinary shares or other securities. At June 30, 2005, $1.6 billion in gross proceeds of securities remained unissued under the shelf registration statement.</w:t>
      </w:r>
    </w:p>
    <w:p>
      <w:pPr>
        <w:spacing w:after="0" w:line="229"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Our access to debt and equity markets may be reduced or closed to us due to a variety of events, including, among others, downgrades of our debt ratings, industry conditions, general economic conditions, market conditions and market perceptions of us and our industry.</w:t>
      </w:r>
    </w:p>
    <w:p>
      <w:pPr>
        <w:spacing w:after="0" w:line="211"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As is customary in the contract drilling business, we also have various surety bonds in place that secure customs obligations relating to the importation of our rigs and certain performance and other obligations. Surety bonds outstanding totaled $8.5 million and $7.6 million at June 30, 2005 and December 31, 2004, respectively.</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Derivative Instruments</w:t>
      </w:r>
    </w:p>
    <w:p>
      <w:pPr>
        <w:spacing w:after="0" w:line="281" w:lineRule="exact"/>
        <w:rPr>
          <w:sz w:val="20"/>
          <w:szCs w:val="20"/>
          <w:color w:val="auto"/>
        </w:rPr>
      </w:pPr>
    </w:p>
    <w:p>
      <w:pPr>
        <w:jc w:val="both"/>
        <w:ind w:firstLine="628"/>
        <w:spacing w:after="0" w:line="261" w:lineRule="auto"/>
        <w:rPr>
          <w:sz w:val="20"/>
          <w:szCs w:val="20"/>
          <w:color w:val="auto"/>
        </w:rPr>
      </w:pPr>
      <w:r>
        <w:rPr>
          <w:rFonts w:ascii="Arial" w:cs="Arial" w:eastAsia="Arial" w:hAnsi="Arial"/>
          <w:sz w:val="17"/>
          <w:szCs w:val="17"/>
          <w:color w:val="auto"/>
        </w:rPr>
        <w:t>In 2003, we terminated all our outstanding interest rate swaps, which were designated as fair value hedges, and recognized a $173.5 million fair value adjustment to long-term debt in our consolidated balance sheet. We amortize this amount as a reduction to interest expense over the life of the underlying debt. During the three and six months ended June 30, 2005, such reduction amounted to $3.1 million and $7.0 million, respectively. As a result of the redemption of our 6.95% Senior Notes in March 2005, we recognized $13.2 million of the unamortized fair value adjustment as a reduction to our loss on redemption of debt. In addition, as a result of the repurchase of our 6.625% notes in July 2005 (see “—Significant Events”), we expect to recognize $62.0 million of the unamortized fair value adjustment as an offset to our loss on repurchase of debt, which will result in a gain on this repurchase in the third quarter of 2005. We expect the amortization of the unamortized premiums remaining on the terminated interest rate swaps to reduce interest expense by $2.0 million during the last six months of 2005.</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Results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Quarter ended June 30, 2005 compared to quarter ended June 30, 2004</w:t>
      </w:r>
    </w:p>
    <w:p>
      <w:pPr>
        <w:spacing w:after="0" w:line="275"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Following is an analysis of our Transocean Drilling segment operating results, as well as an analysis of income and expense categories that we have not allocated to our segment. See “—Overview” for a definition of average dayrate, revenue earnings day and utilization.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gridSpan w:val="2"/>
          </w:tcPr>
          <w:p>
            <w:pPr>
              <w:spacing w:after="0"/>
              <w:rPr>
                <w:sz w:val="20"/>
                <w:szCs w:val="20"/>
                <w:color w:val="auto"/>
              </w:rPr>
            </w:pPr>
            <w:r>
              <w:rPr>
                <w:rFonts w:ascii="Arial" w:cs="Arial" w:eastAsia="Arial" w:hAnsi="Arial"/>
                <w:sz w:val="17"/>
                <w:szCs w:val="17"/>
                <w:i w:val="1"/>
                <w:iCs w:val="1"/>
                <w:color w:val="auto"/>
              </w:rPr>
              <w:t>Transocean Drilling Segment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9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gridSpan w:val="6"/>
          </w:tcPr>
          <w:p>
            <w:pPr>
              <w:jc w:val="right"/>
              <w:ind w:right="960"/>
              <w:spacing w:after="0"/>
              <w:rPr>
                <w:sz w:val="20"/>
                <w:szCs w:val="20"/>
                <w:color w:val="auto"/>
              </w:rPr>
            </w:pPr>
            <w:r>
              <w:rPr>
                <w:rFonts w:ascii="Arial" w:cs="Arial" w:eastAsia="Arial" w:hAnsi="Arial"/>
                <w:sz w:val="17"/>
                <w:szCs w:val="17"/>
                <w:color w:val="auto"/>
              </w:rPr>
              <w:t>Three Months Ended</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2"/>
        </w:trPr>
        <w:tc>
          <w:tcPr>
            <w:tcW w:w="2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7"/>
                <w:szCs w:val="17"/>
                <w:color w:val="auto"/>
              </w:rPr>
              <w:t>June 30,</w:t>
            </w:r>
          </w:p>
        </w:tc>
        <w:tc>
          <w:tcPr>
            <w:tcW w:w="104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55"/>
        </w:trPr>
        <w:tc>
          <w:tcPr>
            <w:tcW w:w="2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2005</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2004</w:t>
            </w: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Change</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 Change</w:t>
            </w:r>
          </w:p>
        </w:tc>
        <w:tc>
          <w:tcPr>
            <w:tcW w:w="20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40" w:type="dxa"/>
            <w:vAlign w:val="bottom"/>
            <w:gridSpan w:val="10"/>
          </w:tcPr>
          <w:p>
            <w:pPr>
              <w:ind w:left="1000"/>
              <w:spacing w:after="0"/>
              <w:rPr>
                <w:sz w:val="20"/>
                <w:szCs w:val="20"/>
                <w:color w:val="auto"/>
              </w:rPr>
            </w:pPr>
            <w:r>
              <w:rPr>
                <w:rFonts w:ascii="Arial" w:cs="Arial" w:eastAsia="Arial" w:hAnsi="Arial"/>
                <w:sz w:val="17"/>
                <w:szCs w:val="17"/>
                <w:color w:val="auto"/>
                <w:w w:val="95"/>
              </w:rPr>
              <w:t>(In millions, except day amounts and percentages)</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6"/>
        </w:trPr>
        <w:tc>
          <w:tcPr>
            <w:tcW w:w="51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5"/>
        </w:trPr>
        <w:tc>
          <w:tcPr>
            <w:tcW w:w="20" w:type="dxa"/>
            <w:vAlign w:val="bottom"/>
          </w:tcPr>
          <w:p>
            <w:pPr>
              <w:spacing w:after="0"/>
              <w:rPr>
                <w:sz w:val="20"/>
                <w:szCs w:val="20"/>
                <w:color w:val="auto"/>
              </w:rPr>
            </w:pPr>
          </w:p>
        </w:tc>
        <w:tc>
          <w:tcPr>
            <w:tcW w:w="5080" w:type="dxa"/>
            <w:vAlign w:val="bottom"/>
            <w:shd w:val="clear" w:color="auto" w:fill="E2EEF6"/>
          </w:tcPr>
          <w:p>
            <w:pPr>
              <w:spacing w:after="0"/>
              <w:rPr>
                <w:sz w:val="20"/>
                <w:szCs w:val="20"/>
                <w:color w:val="auto"/>
              </w:rPr>
            </w:pPr>
            <w:r>
              <w:rPr>
                <w:rFonts w:ascii="Arial" w:cs="Arial" w:eastAsia="Arial" w:hAnsi="Arial"/>
                <w:sz w:val="17"/>
                <w:szCs w:val="17"/>
                <w:color w:val="auto"/>
              </w:rPr>
              <w:t>Revenue earning days</w:t>
            </w: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6,617</w:t>
            </w:r>
          </w:p>
        </w:tc>
        <w:tc>
          <w:tcPr>
            <w:tcW w:w="18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32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240"/>
              <w:spacing w:after="0"/>
              <w:rPr>
                <w:sz w:val="20"/>
                <w:szCs w:val="20"/>
                <w:color w:val="auto"/>
              </w:rPr>
            </w:pPr>
            <w:r>
              <w:rPr>
                <w:rFonts w:ascii="Arial" w:cs="Arial" w:eastAsia="Arial" w:hAnsi="Arial"/>
                <w:sz w:val="17"/>
                <w:szCs w:val="17"/>
                <w:color w:val="auto"/>
              </w:rPr>
              <w:t>5,795</w:t>
            </w:r>
          </w:p>
        </w:tc>
        <w:tc>
          <w:tcPr>
            <w:tcW w:w="280" w:type="dxa"/>
            <w:vAlign w:val="bottom"/>
            <w:shd w:val="clear" w:color="auto" w:fill="E2EEF6"/>
          </w:tcPr>
          <w:p>
            <w:pPr>
              <w:spacing w:after="0"/>
              <w:rPr>
                <w:sz w:val="20"/>
                <w:szCs w:val="20"/>
                <w:color w:val="auto"/>
              </w:rPr>
            </w:pPr>
          </w:p>
        </w:tc>
        <w:tc>
          <w:tcPr>
            <w:tcW w:w="130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822</w:t>
            </w:r>
          </w:p>
        </w:tc>
        <w:tc>
          <w:tcPr>
            <w:tcW w:w="180" w:type="dxa"/>
            <w:vAlign w:val="bottom"/>
            <w:shd w:val="clear" w:color="auto" w:fill="E2EEF6"/>
          </w:tcPr>
          <w:p>
            <w:pPr>
              <w:spacing w:after="0"/>
              <w:rPr>
                <w:sz w:val="20"/>
                <w:szCs w:val="20"/>
                <w:color w:val="auto"/>
              </w:rPr>
            </w:pPr>
          </w:p>
        </w:tc>
        <w:tc>
          <w:tcPr>
            <w:tcW w:w="1380" w:type="dxa"/>
            <w:vAlign w:val="bottom"/>
            <w:gridSpan w:val="2"/>
            <w:shd w:val="clear" w:color="auto" w:fill="E2EEF6"/>
          </w:tcPr>
          <w:p>
            <w:pPr>
              <w:jc w:val="right"/>
              <w:ind w:right="60"/>
              <w:spacing w:after="0"/>
              <w:rPr>
                <w:sz w:val="20"/>
                <w:szCs w:val="20"/>
                <w:color w:val="auto"/>
              </w:rPr>
            </w:pPr>
            <w:r>
              <w:rPr>
                <w:rFonts w:ascii="Arial" w:cs="Arial" w:eastAsia="Arial" w:hAnsi="Arial"/>
                <w:sz w:val="17"/>
                <w:szCs w:val="17"/>
                <w:color w:val="auto"/>
              </w:rPr>
              <w:t>14%</w:t>
            </w:r>
          </w:p>
        </w:tc>
      </w:tr>
      <w:tr>
        <w:trPr>
          <w:trHeight w:val="235"/>
        </w:trPr>
        <w:tc>
          <w:tcPr>
            <w:tcW w:w="5100" w:type="dxa"/>
            <w:vAlign w:val="bottom"/>
            <w:gridSpan w:val="2"/>
          </w:tcPr>
          <w:p>
            <w:pPr>
              <w:spacing w:after="0"/>
              <w:rPr>
                <w:sz w:val="20"/>
                <w:szCs w:val="20"/>
                <w:color w:val="auto"/>
              </w:rPr>
            </w:pPr>
            <w:r>
              <w:rPr>
                <w:rFonts w:ascii="Arial" w:cs="Arial" w:eastAsia="Arial" w:hAnsi="Arial"/>
                <w:sz w:val="17"/>
                <w:szCs w:val="17"/>
                <w:color w:val="auto"/>
              </w:rPr>
              <w:t>Utilization</w:t>
            </w:r>
          </w:p>
        </w:tc>
        <w:tc>
          <w:tcPr>
            <w:tcW w:w="3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79%</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68%</w:t>
            </w:r>
          </w:p>
        </w:tc>
        <w:tc>
          <w:tcPr>
            <w:tcW w:w="280" w:type="dxa"/>
            <w:vAlign w:val="bottom"/>
          </w:tcPr>
          <w:p>
            <w:pPr>
              <w:spacing w:after="0"/>
              <w:rPr>
                <w:sz w:val="20"/>
                <w:szCs w:val="20"/>
                <w:color w:val="auto"/>
              </w:rPr>
            </w:pPr>
          </w:p>
        </w:tc>
        <w:tc>
          <w:tcPr>
            <w:tcW w:w="1480" w:type="dxa"/>
            <w:vAlign w:val="bottom"/>
            <w:gridSpan w:val="3"/>
          </w:tcPr>
          <w:p>
            <w:pPr>
              <w:ind w:left="780"/>
              <w:spacing w:after="0"/>
              <w:rPr>
                <w:sz w:val="20"/>
                <w:szCs w:val="20"/>
                <w:color w:val="auto"/>
              </w:rPr>
            </w:pPr>
            <w:r>
              <w:rPr>
                <w:rFonts w:ascii="Arial" w:cs="Arial" w:eastAsia="Arial" w:hAnsi="Arial"/>
                <w:sz w:val="17"/>
                <w:szCs w:val="17"/>
                <w:color w:val="auto"/>
              </w:rPr>
              <w:t>N/A</w:t>
            </w: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16%</w:t>
            </w:r>
          </w:p>
        </w:tc>
      </w:tr>
      <w:tr>
        <w:trPr>
          <w:trHeight w:val="236"/>
        </w:trPr>
        <w:tc>
          <w:tcPr>
            <w:tcW w:w="20" w:type="dxa"/>
            <w:vAlign w:val="bottom"/>
          </w:tcPr>
          <w:p>
            <w:pPr>
              <w:spacing w:after="0"/>
              <w:rPr>
                <w:sz w:val="20"/>
                <w:szCs w:val="20"/>
                <w:color w:val="auto"/>
              </w:rPr>
            </w:pPr>
          </w:p>
        </w:tc>
        <w:tc>
          <w:tcPr>
            <w:tcW w:w="5080" w:type="dxa"/>
            <w:vAlign w:val="bottom"/>
            <w:shd w:val="clear" w:color="auto" w:fill="E2EEF6"/>
          </w:tcPr>
          <w:p>
            <w:pPr>
              <w:spacing w:after="0"/>
              <w:rPr>
                <w:sz w:val="20"/>
                <w:szCs w:val="20"/>
                <w:color w:val="auto"/>
              </w:rPr>
            </w:pPr>
            <w:r>
              <w:rPr>
                <w:rFonts w:ascii="Arial" w:cs="Arial" w:eastAsia="Arial" w:hAnsi="Arial"/>
                <w:sz w:val="17"/>
                <w:szCs w:val="17"/>
                <w:color w:val="auto"/>
              </w:rPr>
              <w:t>Average dayrate</w:t>
            </w:r>
          </w:p>
        </w:tc>
        <w:tc>
          <w:tcPr>
            <w:tcW w:w="300" w:type="dxa"/>
            <w:vAlign w:val="bottom"/>
            <w:shd w:val="clear" w:color="auto" w:fill="E2EEF6"/>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103,100</w:t>
            </w:r>
          </w:p>
        </w:tc>
        <w:tc>
          <w:tcPr>
            <w:tcW w:w="180" w:type="dxa"/>
            <w:vAlign w:val="bottom"/>
            <w:shd w:val="clear" w:color="auto" w:fill="E2EEF6"/>
          </w:tcPr>
          <w:p>
            <w:pPr>
              <w:spacing w:after="0"/>
              <w:rPr>
                <w:sz w:val="20"/>
                <w:szCs w:val="20"/>
                <w:color w:val="auto"/>
              </w:rPr>
            </w:pPr>
          </w:p>
        </w:tc>
        <w:tc>
          <w:tcPr>
            <w:tcW w:w="360" w:type="dxa"/>
            <w:vAlign w:val="bottom"/>
            <w:gridSpan w:val="2"/>
            <w:shd w:val="clear" w:color="auto" w:fill="E2EEF6"/>
          </w:tcPr>
          <w:p>
            <w:pPr>
              <w:jc w:val="right"/>
              <w:ind w:right="133"/>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E2EEF6"/>
          </w:tcPr>
          <w:p>
            <w:pPr>
              <w:jc w:val="right"/>
              <w:ind w:right="240"/>
              <w:spacing w:after="0"/>
              <w:rPr>
                <w:sz w:val="20"/>
                <w:szCs w:val="20"/>
                <w:color w:val="auto"/>
              </w:rPr>
            </w:pPr>
            <w:r>
              <w:rPr>
                <w:rFonts w:ascii="Arial" w:cs="Arial" w:eastAsia="Arial" w:hAnsi="Arial"/>
                <w:sz w:val="17"/>
                <w:szCs w:val="17"/>
                <w:color w:val="auto"/>
              </w:rPr>
              <w:t>89,100</w:t>
            </w:r>
          </w:p>
        </w:tc>
        <w:tc>
          <w:tcPr>
            <w:tcW w:w="280" w:type="dxa"/>
            <w:vAlign w:val="bottom"/>
            <w:shd w:val="clear" w:color="auto" w:fill="E2EEF6"/>
          </w:tcPr>
          <w:p>
            <w:pPr>
              <w:jc w:val="right"/>
              <w:ind w:right="12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14,000</w:t>
            </w:r>
          </w:p>
        </w:tc>
        <w:tc>
          <w:tcPr>
            <w:tcW w:w="180" w:type="dxa"/>
            <w:vAlign w:val="bottom"/>
            <w:shd w:val="clear" w:color="auto" w:fill="E2EEF6"/>
          </w:tcPr>
          <w:p>
            <w:pPr>
              <w:spacing w:after="0"/>
              <w:rPr>
                <w:sz w:val="20"/>
                <w:szCs w:val="20"/>
                <w:color w:val="auto"/>
              </w:rPr>
            </w:pPr>
          </w:p>
        </w:tc>
        <w:tc>
          <w:tcPr>
            <w:tcW w:w="1380" w:type="dxa"/>
            <w:vAlign w:val="bottom"/>
            <w:gridSpan w:val="2"/>
            <w:shd w:val="clear" w:color="auto" w:fill="E2EEF6"/>
          </w:tcPr>
          <w:p>
            <w:pPr>
              <w:jc w:val="right"/>
              <w:ind w:right="60"/>
              <w:spacing w:after="0"/>
              <w:rPr>
                <w:sz w:val="20"/>
                <w:szCs w:val="20"/>
                <w:color w:val="auto"/>
              </w:rPr>
            </w:pPr>
            <w:r>
              <w:rPr>
                <w:rFonts w:ascii="Arial" w:cs="Arial" w:eastAsia="Arial" w:hAnsi="Arial"/>
                <w:sz w:val="17"/>
                <w:szCs w:val="17"/>
                <w:color w:val="auto"/>
              </w:rPr>
              <w:t>16%</w:t>
            </w:r>
          </w:p>
        </w:tc>
      </w:tr>
      <w:tr>
        <w:trPr>
          <w:trHeight w:val="235"/>
        </w:trPr>
        <w:tc>
          <w:tcPr>
            <w:tcW w:w="51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5"/>
        </w:trPr>
        <w:tc>
          <w:tcPr>
            <w:tcW w:w="20" w:type="dxa"/>
            <w:vAlign w:val="bottom"/>
          </w:tcPr>
          <w:p>
            <w:pPr>
              <w:spacing w:after="0"/>
              <w:rPr>
                <w:sz w:val="20"/>
                <w:szCs w:val="20"/>
                <w:color w:val="auto"/>
              </w:rPr>
            </w:pPr>
          </w:p>
        </w:tc>
        <w:tc>
          <w:tcPr>
            <w:tcW w:w="5080" w:type="dxa"/>
            <w:vAlign w:val="bottom"/>
            <w:shd w:val="clear" w:color="auto" w:fill="E2EEF6"/>
          </w:tcPr>
          <w:p>
            <w:pPr>
              <w:spacing w:after="0"/>
              <w:rPr>
                <w:sz w:val="20"/>
                <w:szCs w:val="20"/>
                <w:color w:val="auto"/>
              </w:rPr>
            </w:pPr>
            <w:r>
              <w:rPr>
                <w:rFonts w:ascii="Arial" w:cs="Arial" w:eastAsia="Arial" w:hAnsi="Arial"/>
                <w:sz w:val="17"/>
                <w:szCs w:val="17"/>
                <w:color w:val="auto"/>
              </w:rPr>
              <w:t>Contract drilling revenues</w:t>
            </w:r>
          </w:p>
        </w:tc>
        <w:tc>
          <w:tcPr>
            <w:tcW w:w="300" w:type="dxa"/>
            <w:vAlign w:val="bottom"/>
            <w:shd w:val="clear" w:color="auto" w:fill="E2EEF6"/>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682.1</w:t>
            </w:r>
          </w:p>
        </w:tc>
        <w:tc>
          <w:tcPr>
            <w:tcW w:w="180" w:type="dxa"/>
            <w:vAlign w:val="bottom"/>
            <w:shd w:val="clear" w:color="auto" w:fill="E2EEF6"/>
          </w:tcPr>
          <w:p>
            <w:pPr>
              <w:spacing w:after="0"/>
              <w:rPr>
                <w:sz w:val="20"/>
                <w:szCs w:val="20"/>
                <w:color w:val="auto"/>
              </w:rPr>
            </w:pPr>
          </w:p>
        </w:tc>
        <w:tc>
          <w:tcPr>
            <w:tcW w:w="360" w:type="dxa"/>
            <w:vAlign w:val="bottom"/>
            <w:gridSpan w:val="2"/>
            <w:shd w:val="clear" w:color="auto" w:fill="E2EEF6"/>
          </w:tcPr>
          <w:p>
            <w:pPr>
              <w:jc w:val="right"/>
              <w:ind w:right="133"/>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E2EEF6"/>
          </w:tcPr>
          <w:p>
            <w:pPr>
              <w:jc w:val="right"/>
              <w:ind w:right="240"/>
              <w:spacing w:after="0"/>
              <w:rPr>
                <w:sz w:val="20"/>
                <w:szCs w:val="20"/>
                <w:color w:val="auto"/>
              </w:rPr>
            </w:pPr>
            <w:r>
              <w:rPr>
                <w:rFonts w:ascii="Arial" w:cs="Arial" w:eastAsia="Arial" w:hAnsi="Arial"/>
                <w:sz w:val="17"/>
                <w:szCs w:val="17"/>
                <w:color w:val="auto"/>
              </w:rPr>
              <w:t>516.6</w:t>
            </w:r>
          </w:p>
        </w:tc>
        <w:tc>
          <w:tcPr>
            <w:tcW w:w="280" w:type="dxa"/>
            <w:vAlign w:val="bottom"/>
            <w:shd w:val="clear" w:color="auto" w:fill="E2EEF6"/>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2EEF6"/>
          </w:tcPr>
          <w:p>
            <w:pPr>
              <w:jc w:val="right"/>
              <w:spacing w:after="0"/>
              <w:rPr>
                <w:sz w:val="20"/>
                <w:szCs w:val="20"/>
                <w:color w:val="auto"/>
              </w:rPr>
            </w:pPr>
            <w:r>
              <w:rPr>
                <w:rFonts w:ascii="Arial" w:cs="Arial" w:eastAsia="Arial" w:hAnsi="Arial"/>
                <w:sz w:val="17"/>
                <w:szCs w:val="17"/>
                <w:color w:val="auto"/>
              </w:rPr>
              <w:t>165.5</w:t>
            </w:r>
          </w:p>
        </w:tc>
        <w:tc>
          <w:tcPr>
            <w:tcW w:w="22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380" w:type="dxa"/>
            <w:vAlign w:val="bottom"/>
            <w:gridSpan w:val="2"/>
            <w:shd w:val="clear" w:color="auto" w:fill="E2EEF6"/>
          </w:tcPr>
          <w:p>
            <w:pPr>
              <w:jc w:val="right"/>
              <w:ind w:right="60"/>
              <w:spacing w:after="0"/>
              <w:rPr>
                <w:sz w:val="20"/>
                <w:szCs w:val="20"/>
                <w:color w:val="auto"/>
              </w:rPr>
            </w:pPr>
            <w:r>
              <w:rPr>
                <w:rFonts w:ascii="Arial" w:cs="Arial" w:eastAsia="Arial" w:hAnsi="Arial"/>
                <w:sz w:val="17"/>
                <w:szCs w:val="17"/>
                <w:color w:val="auto"/>
              </w:rPr>
              <w:t>32%</w:t>
            </w:r>
          </w:p>
        </w:tc>
      </w:tr>
      <w:tr>
        <w:trPr>
          <w:trHeight w:val="235"/>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Other revenues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45.3</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35.9</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26%</w:t>
            </w: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727.4</w:t>
            </w:r>
          </w:p>
        </w:tc>
        <w:tc>
          <w:tcPr>
            <w:tcW w:w="180" w:type="dxa"/>
            <w:vAlign w:val="bottom"/>
            <w:shd w:val="clear" w:color="auto" w:fill="E2EEF6"/>
          </w:tcPr>
          <w:p>
            <w:pPr>
              <w:spacing w:after="0"/>
              <w:rPr>
                <w:sz w:val="19"/>
                <w:szCs w:val="19"/>
                <w:color w:val="auto"/>
              </w:rPr>
            </w:pPr>
          </w:p>
        </w:tc>
        <w:tc>
          <w:tcPr>
            <w:tcW w:w="40" w:type="dxa"/>
            <w:vAlign w:val="bottom"/>
            <w:shd w:val="clear" w:color="auto" w:fill="E2EEF6"/>
          </w:tcPr>
          <w:p>
            <w:pPr>
              <w:spacing w:after="0"/>
              <w:rPr>
                <w:sz w:val="19"/>
                <w:szCs w:val="19"/>
                <w:color w:val="auto"/>
              </w:rPr>
            </w:pPr>
          </w:p>
        </w:tc>
        <w:tc>
          <w:tcPr>
            <w:tcW w:w="320" w:type="dxa"/>
            <w:vAlign w:val="bottom"/>
            <w:shd w:val="clear" w:color="auto" w:fill="E2EEF6"/>
          </w:tcPr>
          <w:p>
            <w:pPr>
              <w:spacing w:after="0"/>
              <w:rPr>
                <w:sz w:val="19"/>
                <w:szCs w:val="19"/>
                <w:color w:val="auto"/>
              </w:rPr>
            </w:pPr>
          </w:p>
        </w:tc>
        <w:tc>
          <w:tcPr>
            <w:tcW w:w="1280" w:type="dxa"/>
            <w:vAlign w:val="bottom"/>
            <w:gridSpan w:val="2"/>
            <w:shd w:val="clear" w:color="auto" w:fill="E2EEF6"/>
          </w:tcPr>
          <w:p>
            <w:pPr>
              <w:jc w:val="right"/>
              <w:ind w:right="240"/>
              <w:spacing w:after="0"/>
              <w:rPr>
                <w:sz w:val="20"/>
                <w:szCs w:val="20"/>
                <w:color w:val="auto"/>
              </w:rPr>
            </w:pPr>
            <w:r>
              <w:rPr>
                <w:rFonts w:ascii="Arial" w:cs="Arial" w:eastAsia="Arial" w:hAnsi="Arial"/>
                <w:sz w:val="17"/>
                <w:szCs w:val="17"/>
                <w:color w:val="auto"/>
              </w:rPr>
              <w:t>552.5</w:t>
            </w:r>
          </w:p>
        </w:tc>
        <w:tc>
          <w:tcPr>
            <w:tcW w:w="280" w:type="dxa"/>
            <w:vAlign w:val="bottom"/>
            <w:shd w:val="clear" w:color="auto" w:fill="E2EEF6"/>
          </w:tcPr>
          <w:p>
            <w:pPr>
              <w:spacing w:after="0"/>
              <w:rPr>
                <w:sz w:val="19"/>
                <w:szCs w:val="19"/>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7"/>
                <w:szCs w:val="17"/>
                <w:color w:val="auto"/>
              </w:rPr>
              <w:t>174.9</w:t>
            </w:r>
          </w:p>
        </w:tc>
        <w:tc>
          <w:tcPr>
            <w:tcW w:w="22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380" w:type="dxa"/>
            <w:vAlign w:val="bottom"/>
            <w:gridSpan w:val="2"/>
            <w:shd w:val="clear" w:color="auto" w:fill="E2EEF6"/>
          </w:tcPr>
          <w:p>
            <w:pPr>
              <w:jc w:val="right"/>
              <w:ind w:right="60"/>
              <w:spacing w:after="0"/>
              <w:rPr>
                <w:sz w:val="20"/>
                <w:szCs w:val="20"/>
                <w:color w:val="auto"/>
              </w:rPr>
            </w:pPr>
            <w:r>
              <w:rPr>
                <w:rFonts w:ascii="Arial" w:cs="Arial" w:eastAsia="Arial" w:hAnsi="Arial"/>
                <w:sz w:val="17"/>
                <w:szCs w:val="17"/>
                <w:color w:val="auto"/>
              </w:rPr>
              <w:t>32%</w:t>
            </w:r>
          </w:p>
        </w:tc>
      </w:tr>
      <w:tr>
        <w:trPr>
          <w:trHeight w:val="235"/>
        </w:trPr>
        <w:tc>
          <w:tcPr>
            <w:tcW w:w="5100" w:type="dxa"/>
            <w:vAlign w:val="bottom"/>
            <w:gridSpan w:val="2"/>
          </w:tcPr>
          <w:p>
            <w:pPr>
              <w:spacing w:after="0"/>
              <w:rPr>
                <w:sz w:val="20"/>
                <w:szCs w:val="20"/>
                <w:color w:val="auto"/>
              </w:rPr>
            </w:pPr>
            <w:r>
              <w:rPr>
                <w:rFonts w:ascii="Arial" w:cs="Arial" w:eastAsia="Arial" w:hAnsi="Arial"/>
                <w:sz w:val="17"/>
                <w:szCs w:val="17"/>
                <w:color w:val="auto"/>
              </w:rPr>
              <w:t>Operating and maintenance expense</w:t>
            </w:r>
          </w:p>
        </w:tc>
        <w:tc>
          <w:tcPr>
            <w:tcW w:w="3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(438.9)</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(338.1)</w:t>
            </w:r>
          </w:p>
        </w:tc>
        <w:tc>
          <w:tcPr>
            <w:tcW w:w="2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(100.8)</w:t>
            </w:r>
          </w:p>
        </w:tc>
        <w:tc>
          <w:tcPr>
            <w:tcW w:w="18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30%</w:t>
            </w:r>
          </w:p>
        </w:tc>
      </w:tr>
      <w:tr>
        <w:trPr>
          <w:trHeight w:val="236"/>
        </w:trPr>
        <w:tc>
          <w:tcPr>
            <w:tcW w:w="20" w:type="dxa"/>
            <w:vAlign w:val="bottom"/>
          </w:tcPr>
          <w:p>
            <w:pPr>
              <w:spacing w:after="0"/>
              <w:rPr>
                <w:sz w:val="20"/>
                <w:szCs w:val="20"/>
                <w:color w:val="auto"/>
              </w:rPr>
            </w:pPr>
          </w:p>
        </w:tc>
        <w:tc>
          <w:tcPr>
            <w:tcW w:w="5080" w:type="dxa"/>
            <w:vAlign w:val="bottom"/>
            <w:shd w:val="clear" w:color="auto" w:fill="E2EEF6"/>
          </w:tcPr>
          <w:p>
            <w:pPr>
              <w:spacing w:after="0"/>
              <w:rPr>
                <w:sz w:val="20"/>
                <w:szCs w:val="20"/>
                <w:color w:val="auto"/>
              </w:rPr>
            </w:pPr>
            <w:r>
              <w:rPr>
                <w:rFonts w:ascii="Arial" w:cs="Arial" w:eastAsia="Arial" w:hAnsi="Arial"/>
                <w:sz w:val="17"/>
                <w:szCs w:val="17"/>
                <w:color w:val="auto"/>
              </w:rPr>
              <w:t>Depreciation</w:t>
            </w:r>
          </w:p>
        </w:tc>
        <w:tc>
          <w:tcPr>
            <w:tcW w:w="300" w:type="dxa"/>
            <w:vAlign w:val="bottom"/>
            <w:shd w:val="clear" w:color="auto" w:fill="E2EEF6"/>
          </w:tcPr>
          <w:p>
            <w:pPr>
              <w:spacing w:after="0"/>
              <w:rPr>
                <w:sz w:val="20"/>
                <w:szCs w:val="20"/>
                <w:color w:val="auto"/>
              </w:rPr>
            </w:pPr>
          </w:p>
        </w:tc>
        <w:tc>
          <w:tcPr>
            <w:tcW w:w="1240" w:type="dxa"/>
            <w:vAlign w:val="bottom"/>
            <w:gridSpan w:val="2"/>
            <w:shd w:val="clear" w:color="auto" w:fill="E2EEF6"/>
          </w:tcPr>
          <w:p>
            <w:pPr>
              <w:jc w:val="right"/>
              <w:ind w:right="120"/>
              <w:spacing w:after="0"/>
              <w:rPr>
                <w:sz w:val="20"/>
                <w:szCs w:val="20"/>
                <w:color w:val="auto"/>
              </w:rPr>
            </w:pPr>
            <w:r>
              <w:rPr>
                <w:rFonts w:ascii="Arial" w:cs="Arial" w:eastAsia="Arial" w:hAnsi="Arial"/>
                <w:sz w:val="17"/>
                <w:szCs w:val="17"/>
                <w:color w:val="auto"/>
              </w:rPr>
              <w:t>(101.2)</w:t>
            </w:r>
          </w:p>
        </w:tc>
        <w:tc>
          <w:tcPr>
            <w:tcW w:w="40" w:type="dxa"/>
            <w:vAlign w:val="bottom"/>
            <w:shd w:val="clear" w:color="auto" w:fill="E2EEF6"/>
          </w:tcPr>
          <w:p>
            <w:pPr>
              <w:spacing w:after="0"/>
              <w:rPr>
                <w:sz w:val="20"/>
                <w:szCs w:val="20"/>
                <w:color w:val="auto"/>
              </w:rPr>
            </w:pPr>
          </w:p>
        </w:tc>
        <w:tc>
          <w:tcPr>
            <w:tcW w:w="32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180"/>
              <w:spacing w:after="0"/>
              <w:rPr>
                <w:sz w:val="20"/>
                <w:szCs w:val="20"/>
                <w:color w:val="auto"/>
              </w:rPr>
            </w:pPr>
            <w:r>
              <w:rPr>
                <w:rFonts w:ascii="Arial" w:cs="Arial" w:eastAsia="Arial" w:hAnsi="Arial"/>
                <w:sz w:val="17"/>
                <w:szCs w:val="17"/>
                <w:color w:val="auto"/>
              </w:rPr>
              <w:t>(109.1)</w:t>
            </w:r>
          </w:p>
        </w:tc>
        <w:tc>
          <w:tcPr>
            <w:tcW w:w="280" w:type="dxa"/>
            <w:vAlign w:val="bottom"/>
            <w:shd w:val="clear" w:color="auto" w:fill="E2EEF6"/>
          </w:tcPr>
          <w:p>
            <w:pPr>
              <w:spacing w:after="0"/>
              <w:rPr>
                <w:sz w:val="20"/>
                <w:szCs w:val="20"/>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7"/>
                <w:szCs w:val="17"/>
                <w:color w:val="auto"/>
              </w:rPr>
              <w:t>7.9</w:t>
            </w:r>
          </w:p>
        </w:tc>
        <w:tc>
          <w:tcPr>
            <w:tcW w:w="22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38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(7)%</w:t>
            </w:r>
          </w:p>
        </w:tc>
      </w:tr>
      <w:tr>
        <w:trPr>
          <w:trHeight w:val="235"/>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Gain from sale of assets, net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15.5</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21.9</w:t>
            </w:r>
          </w:p>
        </w:tc>
        <w:tc>
          <w:tcPr>
            <w:tcW w:w="2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(6.4)</w:t>
            </w:r>
          </w:p>
        </w:tc>
        <w:tc>
          <w:tcPr>
            <w:tcW w:w="18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(29)%</w:t>
            </w:r>
          </w:p>
        </w:tc>
      </w:tr>
      <w:tr>
        <w:trPr>
          <w:trHeight w:val="20"/>
        </w:trPr>
        <w:tc>
          <w:tcPr>
            <w:tcW w:w="51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5080" w:type="dxa"/>
            <w:vAlign w:val="bottom"/>
            <w:shd w:val="clear" w:color="auto" w:fill="E2EEF6"/>
          </w:tcPr>
          <w:p>
            <w:pPr>
              <w:spacing w:after="0"/>
              <w:rPr>
                <w:sz w:val="20"/>
                <w:szCs w:val="20"/>
                <w:color w:val="auto"/>
              </w:rPr>
            </w:pPr>
            <w:r>
              <w:rPr>
                <w:rFonts w:ascii="Arial" w:cs="Arial" w:eastAsia="Arial" w:hAnsi="Arial"/>
                <w:sz w:val="17"/>
                <w:szCs w:val="17"/>
                <w:color w:val="auto"/>
              </w:rPr>
              <w:t>Operating income before general and administrative expense</w:t>
            </w:r>
          </w:p>
        </w:tc>
        <w:tc>
          <w:tcPr>
            <w:tcW w:w="300" w:type="dxa"/>
            <w:vAlign w:val="bottom"/>
            <w:shd w:val="clear" w:color="auto" w:fill="E2EEF6"/>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202.8</w:t>
            </w:r>
          </w:p>
        </w:tc>
        <w:tc>
          <w:tcPr>
            <w:tcW w:w="180" w:type="dxa"/>
            <w:vAlign w:val="bottom"/>
            <w:shd w:val="clear" w:color="auto" w:fill="E2EEF6"/>
          </w:tcPr>
          <w:p>
            <w:pPr>
              <w:spacing w:after="0"/>
              <w:rPr>
                <w:sz w:val="23"/>
                <w:szCs w:val="23"/>
                <w:color w:val="auto"/>
              </w:rPr>
            </w:pPr>
          </w:p>
        </w:tc>
        <w:tc>
          <w:tcPr>
            <w:tcW w:w="40" w:type="dxa"/>
            <w:vAlign w:val="bottom"/>
            <w:shd w:val="clear" w:color="auto" w:fill="E2EEF6"/>
          </w:tcPr>
          <w:p>
            <w:pPr>
              <w:spacing w:after="0"/>
              <w:rPr>
                <w:sz w:val="23"/>
                <w:szCs w:val="23"/>
                <w:color w:val="auto"/>
              </w:rPr>
            </w:pPr>
          </w:p>
        </w:tc>
        <w:tc>
          <w:tcPr>
            <w:tcW w:w="320" w:type="dxa"/>
            <w:vAlign w:val="bottom"/>
            <w:shd w:val="clear" w:color="auto" w:fill="E2EEF6"/>
          </w:tcPr>
          <w:p>
            <w:pPr>
              <w:jc w:val="right"/>
              <w:ind w:right="133"/>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E2EEF6"/>
          </w:tcPr>
          <w:p>
            <w:pPr>
              <w:jc w:val="right"/>
              <w:ind w:right="240"/>
              <w:spacing w:after="0"/>
              <w:rPr>
                <w:sz w:val="20"/>
                <w:szCs w:val="20"/>
                <w:color w:val="auto"/>
              </w:rPr>
            </w:pPr>
            <w:r>
              <w:rPr>
                <w:rFonts w:ascii="Arial" w:cs="Arial" w:eastAsia="Arial" w:hAnsi="Arial"/>
                <w:sz w:val="17"/>
                <w:szCs w:val="17"/>
                <w:color w:val="auto"/>
              </w:rPr>
              <w:t>127.2</w:t>
            </w:r>
          </w:p>
        </w:tc>
        <w:tc>
          <w:tcPr>
            <w:tcW w:w="280" w:type="dxa"/>
            <w:vAlign w:val="bottom"/>
            <w:shd w:val="clear" w:color="auto" w:fill="E2EEF6"/>
          </w:tcPr>
          <w:p>
            <w:pPr>
              <w:jc w:val="right"/>
              <w:ind w:right="12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75.6</w:t>
            </w:r>
          </w:p>
        </w:tc>
        <w:tc>
          <w:tcPr>
            <w:tcW w:w="180" w:type="dxa"/>
            <w:vAlign w:val="bottom"/>
            <w:shd w:val="clear" w:color="auto" w:fill="E2EEF6"/>
          </w:tcPr>
          <w:p>
            <w:pPr>
              <w:spacing w:after="0"/>
              <w:rPr>
                <w:sz w:val="23"/>
                <w:szCs w:val="23"/>
                <w:color w:val="auto"/>
              </w:rPr>
            </w:pPr>
          </w:p>
        </w:tc>
        <w:tc>
          <w:tcPr>
            <w:tcW w:w="1380" w:type="dxa"/>
            <w:vAlign w:val="bottom"/>
            <w:gridSpan w:val="2"/>
            <w:shd w:val="clear" w:color="auto" w:fill="E2EEF6"/>
          </w:tcPr>
          <w:p>
            <w:pPr>
              <w:jc w:val="right"/>
              <w:ind w:right="60"/>
              <w:spacing w:after="0"/>
              <w:rPr>
                <w:sz w:val="20"/>
                <w:szCs w:val="20"/>
                <w:color w:val="auto"/>
              </w:rPr>
            </w:pPr>
            <w:r>
              <w:rPr>
                <w:rFonts w:ascii="Arial" w:cs="Arial" w:eastAsia="Arial" w:hAnsi="Arial"/>
                <w:sz w:val="17"/>
                <w:szCs w:val="17"/>
                <w:color w:val="auto"/>
              </w:rPr>
              <w:t>59%</w:t>
            </w:r>
          </w:p>
        </w:tc>
      </w:tr>
      <w:tr>
        <w:trPr>
          <w:trHeight w:val="190"/>
        </w:trPr>
        <w:tc>
          <w:tcPr>
            <w:tcW w:w="20" w:type="dxa"/>
            <w:vAlign w:val="bottom"/>
          </w:tcPr>
          <w:p>
            <w:pPr>
              <w:spacing w:after="0"/>
              <w:rPr>
                <w:sz w:val="16"/>
                <w:szCs w:val="16"/>
                <w:color w:val="auto"/>
              </w:rPr>
            </w:pPr>
          </w:p>
        </w:tc>
        <w:tc>
          <w:tcPr>
            <w:tcW w:w="5080" w:type="dxa"/>
            <w:vAlign w:val="bottom"/>
            <w:tcBorders>
              <w:top w:val="single" w:sz="8" w:color="E2EEF6"/>
            </w:tcBorders>
          </w:tcPr>
          <w:p>
            <w:pPr>
              <w:spacing w:after="0" w:line="190" w:lineRule="exact"/>
              <w:rPr>
                <w:sz w:val="20"/>
                <w:szCs w:val="20"/>
                <w:color w:val="auto"/>
              </w:rPr>
            </w:pPr>
            <w:r>
              <w:rPr>
                <w:rFonts w:ascii="Arial" w:cs="Arial" w:eastAsia="Arial" w:hAnsi="Arial"/>
                <w:sz w:val="17"/>
                <w:szCs w:val="17"/>
                <w:color w:val="auto"/>
              </w:rPr>
              <w:t>_________________</w:t>
            </w: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80" w:type="dxa"/>
            <w:vAlign w:val="bottom"/>
            <w:tcBorders>
              <w:top w:val="single" w:sz="8" w:color="E2EEF6"/>
            </w:tcBorders>
          </w:tcPr>
          <w:p>
            <w:pPr>
              <w:spacing w:after="0"/>
              <w:rPr>
                <w:sz w:val="16"/>
                <w:szCs w:val="16"/>
                <w:color w:val="auto"/>
              </w:rPr>
            </w:pPr>
          </w:p>
        </w:tc>
        <w:tc>
          <w:tcPr>
            <w:tcW w:w="40" w:type="dxa"/>
            <w:vAlign w:val="bottom"/>
            <w:tcBorders>
              <w:top w:val="single" w:sz="8" w:color="E2EEF6"/>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E2EEF6"/>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E2EEF6"/>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0" w:type="dxa"/>
            <w:vAlign w:val="bottom"/>
            <w:tcBorders>
              <w:top w:val="single" w:sz="8" w:color="E2EEF6"/>
            </w:tcBorders>
          </w:tcPr>
          <w:p>
            <w:pPr>
              <w:spacing w:after="0"/>
              <w:rPr>
                <w:sz w:val="16"/>
                <w:szCs w:val="16"/>
                <w:color w:val="auto"/>
              </w:rPr>
            </w:pPr>
          </w:p>
        </w:tc>
      </w:tr>
    </w:tbl>
    <w:p>
      <w:pPr>
        <w:spacing w:after="0"/>
        <w:rPr>
          <w:sz w:val="20"/>
          <w:szCs w:val="20"/>
          <w:color w:val="auto"/>
        </w:rPr>
      </w:pPr>
      <w:r>
        <w:rPr>
          <w:rFonts w:ascii="Arial" w:cs="Arial" w:eastAsia="Arial" w:hAnsi="Arial"/>
          <w:sz w:val="17"/>
          <w:szCs w:val="17"/>
          <w:color w:val="auto"/>
        </w:rPr>
        <w:t>“N/A” means not applicable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“N/M” means not meaningful</w:t>
      </w:r>
    </w:p>
    <w:p>
      <w:pPr>
        <w:spacing w:after="0" w:line="263"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This segment’s contract drilling revenues increased by $165.5 million primarily due to increased activity resulting in higher average dayrates and utilization.</w:t>
      </w:r>
    </w:p>
    <w:p>
      <w:pPr>
        <w:spacing w:after="0" w:line="211"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Other revenues for the three months ended June 30, 2005 increased $9.4 million primarily due to a $4.3 million increase in integrated services revenue, an increase of $3.5 million from client reimbursable revenue and compensation received in 2005 relating to a 2004 labor strike of $2.3 million.</w:t>
      </w:r>
    </w:p>
    <w:p>
      <w:pPr>
        <w:spacing w:after="0" w:line="211" w:lineRule="exact"/>
        <w:rPr>
          <w:sz w:val="20"/>
          <w:szCs w:val="20"/>
          <w:color w:val="auto"/>
        </w:rPr>
      </w:pPr>
    </w:p>
    <w:p>
      <w:pPr>
        <w:jc w:val="both"/>
        <w:ind w:firstLine="628"/>
        <w:spacing w:after="0" w:line="325" w:lineRule="auto"/>
        <w:rPr>
          <w:sz w:val="20"/>
          <w:szCs w:val="20"/>
          <w:color w:val="auto"/>
        </w:rPr>
      </w:pPr>
      <w:r>
        <w:rPr>
          <w:rFonts w:ascii="Arial" w:cs="Arial" w:eastAsia="Arial" w:hAnsi="Arial"/>
          <w:sz w:val="15"/>
          <w:szCs w:val="15"/>
          <w:color w:val="auto"/>
        </w:rPr>
        <w:t xml:space="preserve">This segment’s operating and maintenance expenses increased by $100.8 million primarily from increased activity resulting in higher labor and rig maintenance costs, insurance proceeds received in 2004 related to the 2003 </w:t>
      </w:r>
      <w:r>
        <w:rPr>
          <w:rFonts w:ascii="Arial" w:cs="Arial" w:eastAsia="Arial" w:hAnsi="Arial"/>
          <w:sz w:val="15"/>
          <w:szCs w:val="15"/>
          <w:i w:val="1"/>
          <w:iCs w:val="1"/>
          <w:color w:val="auto"/>
        </w:rPr>
        <w:t>Discoverer Enterprise</w:t>
      </w:r>
      <w:r>
        <w:rPr>
          <w:rFonts w:ascii="Arial" w:cs="Arial" w:eastAsia="Arial" w:hAnsi="Arial"/>
          <w:sz w:val="15"/>
          <w:szCs w:val="15"/>
          <w:color w:val="auto"/>
        </w:rPr>
        <w:t xml:space="preserve"> riser separation incident partially offset by a comparable settlement in 2005, increased local personnel taxes related to stock option exercises and restricted stock vestings and increased integrated services activity in 2005.</w:t>
      </w:r>
    </w:p>
    <w:p>
      <w:pPr>
        <w:spacing w:after="0" w:line="189"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The decrease in this segment’s depreciation expense was due primarily to extending the useful lives of four rigs with original useful lives from 30 to 32 years to 35 years and the reduction in depreciation on one rig and certain other equipment that were substantially depreciated during 2004.</w:t>
      </w:r>
    </w:p>
    <w:p>
      <w:pPr>
        <w:spacing w:after="0" w:line="211"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 xml:space="preserve">During the three months ended June 30, 2005, this segment recognized net gains of $15.5 million related to the sale of the jackup rig </w:t>
      </w:r>
      <w:r>
        <w:rPr>
          <w:rFonts w:ascii="Arial" w:cs="Arial" w:eastAsia="Arial" w:hAnsi="Arial"/>
          <w:sz w:val="17"/>
          <w:szCs w:val="17"/>
          <w:i w:val="1"/>
          <w:iCs w:val="1"/>
          <w:color w:val="auto"/>
        </w:rPr>
        <w:t>Transocean Jupiter</w:t>
      </w:r>
      <w:r>
        <w:rPr>
          <w:rFonts w:ascii="Arial" w:cs="Arial" w:eastAsia="Arial" w:hAnsi="Arial"/>
          <w:sz w:val="17"/>
          <w:szCs w:val="17"/>
          <w:color w:val="auto"/>
        </w:rPr>
        <w:t xml:space="preserve">, the sale of a land rig and the sale of other assets. During the three months ended June 30, 2004, this segment recognized net gains of $21.9 million related to the sale of the semisubmersible rig </w:t>
      </w:r>
      <w:r>
        <w:rPr>
          <w:rFonts w:ascii="Arial" w:cs="Arial" w:eastAsia="Arial" w:hAnsi="Arial"/>
          <w:sz w:val="17"/>
          <w:szCs w:val="17"/>
          <w:i w:val="1"/>
          <w:iCs w:val="1"/>
          <w:color w:val="auto"/>
        </w:rPr>
        <w:t>Sedco 602</w:t>
      </w:r>
      <w:r>
        <w:rPr>
          <w:rFonts w:ascii="Arial" w:cs="Arial" w:eastAsia="Arial" w:hAnsi="Arial"/>
          <w:sz w:val="17"/>
          <w:szCs w:val="17"/>
          <w:color w:val="auto"/>
        </w:rPr>
        <w:t xml:space="preserve"> and the sale of other assets.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51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 to Form 10-Q</w:t>
              </w:r>
            </w:hyperlink>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37"/>
        </w:trPr>
        <w:tc>
          <w:tcPr>
            <w:tcW w:w="5100" w:type="dxa"/>
            <w:vAlign w:val="bottom"/>
            <w:gridSpan w:val="2"/>
          </w:tcPr>
          <w:p>
            <w:pPr>
              <w:spacing w:after="0"/>
              <w:rPr>
                <w:sz w:val="20"/>
                <w:szCs w:val="20"/>
                <w:color w:val="auto"/>
              </w:rPr>
            </w:pPr>
            <w:r>
              <w:rPr>
                <w:rFonts w:ascii="Arial" w:cs="Arial" w:eastAsia="Arial" w:hAnsi="Arial"/>
                <w:sz w:val="17"/>
                <w:szCs w:val="17"/>
                <w:i w:val="1"/>
                <w:iCs w:val="1"/>
                <w:color w:val="auto"/>
              </w:rPr>
              <w:t>Total Company Results of Operations</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97"/>
        </w:trPr>
        <w:tc>
          <w:tcPr>
            <w:tcW w:w="1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180" w:type="dxa"/>
            <w:vAlign w:val="bottom"/>
            <w:gridSpan w:val="7"/>
          </w:tcPr>
          <w:p>
            <w:pPr>
              <w:jc w:val="center"/>
              <w:ind w:right="220"/>
              <w:spacing w:after="0"/>
              <w:rPr>
                <w:sz w:val="20"/>
                <w:szCs w:val="20"/>
                <w:color w:val="auto"/>
              </w:rPr>
            </w:pPr>
            <w:r>
              <w:rPr>
                <w:rFonts w:ascii="Arial" w:cs="Arial" w:eastAsia="Arial" w:hAnsi="Arial"/>
                <w:sz w:val="17"/>
                <w:szCs w:val="17"/>
                <w:color w:val="auto"/>
                <w:w w:val="93"/>
              </w:rPr>
              <w:t>Three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2"/>
        </w:trPr>
        <w:tc>
          <w:tcPr>
            <w:tcW w:w="11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4"/>
          </w:tcPr>
          <w:p>
            <w:pPr>
              <w:jc w:val="center"/>
              <w:ind w:left="133"/>
              <w:spacing w:after="0"/>
              <w:rPr>
                <w:sz w:val="20"/>
                <w:szCs w:val="20"/>
                <w:color w:val="auto"/>
              </w:rPr>
            </w:pPr>
            <w:r>
              <w:rPr>
                <w:rFonts w:ascii="Arial" w:cs="Arial" w:eastAsia="Arial" w:hAnsi="Arial"/>
                <w:sz w:val="17"/>
                <w:szCs w:val="17"/>
                <w:color w:val="auto"/>
                <w:w w:val="88"/>
              </w:rPr>
              <w:t>June 30,</w:t>
            </w:r>
          </w:p>
        </w:tc>
        <w:tc>
          <w:tcPr>
            <w:tcW w:w="10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55"/>
        </w:trPr>
        <w:tc>
          <w:tcPr>
            <w:tcW w:w="11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2005</w:t>
            </w:r>
          </w:p>
        </w:tc>
        <w:tc>
          <w:tcPr>
            <w:tcW w:w="4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2004</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Change</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 Change</w:t>
            </w:r>
          </w:p>
        </w:tc>
        <w:tc>
          <w:tcPr>
            <w:tcW w:w="200" w:type="dxa"/>
            <w:vAlign w:val="bottom"/>
          </w:tcPr>
          <w:p>
            <w:pPr>
              <w:spacing w:after="0"/>
              <w:rPr>
                <w:sz w:val="22"/>
                <w:szCs w:val="22"/>
                <w:color w:val="auto"/>
              </w:rPr>
            </w:pPr>
          </w:p>
        </w:tc>
      </w:tr>
      <w:tr>
        <w:trPr>
          <w:trHeight w:val="228"/>
        </w:trPr>
        <w:tc>
          <w:tcPr>
            <w:tcW w:w="1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5"/>
          </w:tcPr>
          <w:p>
            <w:pPr>
              <w:jc w:val="right"/>
              <w:ind w:right="620"/>
              <w:spacing w:after="0"/>
              <w:rPr>
                <w:sz w:val="20"/>
                <w:szCs w:val="20"/>
                <w:color w:val="auto"/>
              </w:rPr>
            </w:pPr>
            <w:r>
              <w:rPr>
                <w:rFonts w:ascii="Arial" w:cs="Arial" w:eastAsia="Arial" w:hAnsi="Arial"/>
                <w:sz w:val="17"/>
                <w:szCs w:val="17"/>
                <w:color w:val="auto"/>
                <w:w w:val="98"/>
              </w:rPr>
              <w:t>(In millions, except % change)</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6"/>
        </w:trPr>
        <w:tc>
          <w:tcPr>
            <w:tcW w:w="11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5"/>
        </w:trPr>
        <w:tc>
          <w:tcPr>
            <w:tcW w:w="5100" w:type="dxa"/>
            <w:vAlign w:val="bottom"/>
            <w:gridSpan w:val="2"/>
            <w:shd w:val="clear" w:color="auto" w:fill="E2EEF6"/>
          </w:tcPr>
          <w:p>
            <w:pPr>
              <w:spacing w:after="0"/>
              <w:rPr>
                <w:sz w:val="20"/>
                <w:szCs w:val="20"/>
                <w:color w:val="auto"/>
              </w:rPr>
            </w:pPr>
            <w:r>
              <w:rPr>
                <w:rFonts w:ascii="Arial" w:cs="Arial" w:eastAsia="Arial" w:hAnsi="Arial"/>
                <w:sz w:val="17"/>
                <w:szCs w:val="17"/>
                <w:color w:val="auto"/>
              </w:rPr>
              <w:t>General and Administrative Expense</w:t>
            </w:r>
          </w:p>
        </w:tc>
        <w:tc>
          <w:tcPr>
            <w:tcW w:w="880" w:type="dxa"/>
            <w:vAlign w:val="bottom"/>
            <w:shd w:val="clear" w:color="auto" w:fill="E2EEF6"/>
          </w:tcPr>
          <w:p>
            <w:pPr>
              <w:jc w:val="right"/>
              <w:ind w:right="693"/>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18.0</w:t>
            </w:r>
          </w:p>
        </w:tc>
        <w:tc>
          <w:tcPr>
            <w:tcW w:w="380" w:type="dxa"/>
            <w:vAlign w:val="bottom"/>
            <w:gridSpan w:val="2"/>
            <w:shd w:val="clear" w:color="auto" w:fill="E2EEF6"/>
          </w:tcPr>
          <w:p>
            <w:pPr>
              <w:jc w:val="right"/>
              <w:ind w:right="20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E2EEF6"/>
          </w:tcPr>
          <w:p>
            <w:pPr>
              <w:jc w:val="right"/>
              <w:ind w:right="240"/>
              <w:spacing w:after="0"/>
              <w:rPr>
                <w:sz w:val="20"/>
                <w:szCs w:val="20"/>
                <w:color w:val="auto"/>
              </w:rPr>
            </w:pPr>
            <w:r>
              <w:rPr>
                <w:rFonts w:ascii="Arial" w:cs="Arial" w:eastAsia="Arial" w:hAnsi="Arial"/>
                <w:sz w:val="17"/>
                <w:szCs w:val="17"/>
                <w:color w:val="auto"/>
              </w:rPr>
              <w:t>14.0</w:t>
            </w:r>
          </w:p>
        </w:tc>
        <w:tc>
          <w:tcPr>
            <w:tcW w:w="240" w:type="dxa"/>
            <w:vAlign w:val="bottom"/>
            <w:shd w:val="clear" w:color="auto" w:fill="E2EEF6"/>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2EEF6"/>
          </w:tcPr>
          <w:p>
            <w:pPr>
              <w:jc w:val="right"/>
              <w:spacing w:after="0"/>
              <w:rPr>
                <w:sz w:val="20"/>
                <w:szCs w:val="20"/>
                <w:color w:val="auto"/>
              </w:rPr>
            </w:pPr>
            <w:r>
              <w:rPr>
                <w:rFonts w:ascii="Arial" w:cs="Arial" w:eastAsia="Arial" w:hAnsi="Arial"/>
                <w:sz w:val="17"/>
                <w:szCs w:val="17"/>
                <w:color w:val="auto"/>
              </w:rPr>
              <w:t>4.0</w:t>
            </w:r>
          </w:p>
        </w:tc>
        <w:tc>
          <w:tcPr>
            <w:tcW w:w="220" w:type="dxa"/>
            <w:vAlign w:val="bottom"/>
            <w:shd w:val="clear" w:color="auto" w:fill="E2EEF6"/>
          </w:tcPr>
          <w:p>
            <w:pPr>
              <w:spacing w:after="0"/>
              <w:rPr>
                <w:sz w:val="20"/>
                <w:szCs w:val="20"/>
                <w:color w:val="auto"/>
              </w:rPr>
            </w:pPr>
          </w:p>
        </w:tc>
        <w:tc>
          <w:tcPr>
            <w:tcW w:w="1560" w:type="dxa"/>
            <w:vAlign w:val="bottom"/>
            <w:gridSpan w:val="2"/>
            <w:shd w:val="clear" w:color="auto" w:fill="E2EEF6"/>
          </w:tcPr>
          <w:p>
            <w:pPr>
              <w:jc w:val="right"/>
              <w:ind w:right="60"/>
              <w:spacing w:after="0"/>
              <w:rPr>
                <w:sz w:val="20"/>
                <w:szCs w:val="20"/>
                <w:color w:val="auto"/>
              </w:rPr>
            </w:pPr>
            <w:r>
              <w:rPr>
                <w:rFonts w:ascii="Arial" w:cs="Arial" w:eastAsia="Arial" w:hAnsi="Arial"/>
                <w:sz w:val="17"/>
                <w:szCs w:val="17"/>
                <w:color w:val="auto"/>
              </w:rPr>
              <w:t>29%</w:t>
            </w:r>
          </w:p>
        </w:tc>
      </w:tr>
      <w:tr>
        <w:trPr>
          <w:trHeight w:val="235"/>
        </w:trPr>
        <w:tc>
          <w:tcPr>
            <w:tcW w:w="5100" w:type="dxa"/>
            <w:vAlign w:val="bottom"/>
            <w:gridSpan w:val="2"/>
          </w:tcPr>
          <w:p>
            <w:pPr>
              <w:spacing w:after="0"/>
              <w:rPr>
                <w:sz w:val="20"/>
                <w:szCs w:val="20"/>
                <w:color w:val="auto"/>
              </w:rPr>
            </w:pPr>
            <w:r>
              <w:rPr>
                <w:rFonts w:ascii="Arial" w:cs="Arial" w:eastAsia="Arial" w:hAnsi="Arial"/>
                <w:sz w:val="17"/>
                <w:szCs w:val="17"/>
                <w:color w:val="auto"/>
              </w:rPr>
              <w:t>Other (Income) Expense, net</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6"/>
        </w:trPr>
        <w:tc>
          <w:tcPr>
            <w:tcW w:w="5100" w:type="dxa"/>
            <w:vAlign w:val="bottom"/>
            <w:gridSpan w:val="2"/>
            <w:shd w:val="clear" w:color="auto" w:fill="E2EEF6"/>
          </w:tcPr>
          <w:p>
            <w:pPr>
              <w:ind w:left="160"/>
              <w:spacing w:after="0"/>
              <w:rPr>
                <w:sz w:val="20"/>
                <w:szCs w:val="20"/>
                <w:color w:val="auto"/>
              </w:rPr>
            </w:pPr>
            <w:r>
              <w:rPr>
                <w:rFonts w:ascii="Arial" w:cs="Arial" w:eastAsia="Arial" w:hAnsi="Arial"/>
                <w:sz w:val="17"/>
                <w:szCs w:val="17"/>
                <w:color w:val="auto"/>
              </w:rPr>
              <w:t>Equity in earnings of unconsolidated affiliates</w:t>
            </w:r>
          </w:p>
        </w:tc>
        <w:tc>
          <w:tcPr>
            <w:tcW w:w="880" w:type="dxa"/>
            <w:vAlign w:val="bottom"/>
            <w:shd w:val="clear" w:color="auto" w:fill="E2EEF6"/>
          </w:tcPr>
          <w:p>
            <w:pPr>
              <w:spacing w:after="0"/>
              <w:rPr>
                <w:sz w:val="20"/>
                <w:szCs w:val="20"/>
                <w:color w:val="auto"/>
              </w:rPr>
            </w:pPr>
          </w:p>
        </w:tc>
        <w:tc>
          <w:tcPr>
            <w:tcW w:w="620" w:type="dxa"/>
            <w:vAlign w:val="bottom"/>
            <w:gridSpan w:val="2"/>
            <w:shd w:val="clear" w:color="auto" w:fill="E2EEF6"/>
          </w:tcPr>
          <w:p>
            <w:pPr>
              <w:jc w:val="right"/>
              <w:ind w:right="80"/>
              <w:spacing w:after="0"/>
              <w:rPr>
                <w:sz w:val="20"/>
                <w:szCs w:val="20"/>
                <w:color w:val="auto"/>
              </w:rPr>
            </w:pPr>
            <w:r>
              <w:rPr>
                <w:rFonts w:ascii="Arial" w:cs="Arial" w:eastAsia="Arial" w:hAnsi="Arial"/>
                <w:sz w:val="17"/>
                <w:szCs w:val="17"/>
                <w:color w:val="auto"/>
              </w:rPr>
              <w:t>(3.4)</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300" w:type="dxa"/>
            <w:vAlign w:val="bottom"/>
            <w:gridSpan w:val="2"/>
            <w:shd w:val="clear" w:color="auto" w:fill="E2EEF6"/>
          </w:tcPr>
          <w:p>
            <w:pPr>
              <w:jc w:val="right"/>
              <w:ind w:right="180"/>
              <w:spacing w:after="0"/>
              <w:rPr>
                <w:sz w:val="20"/>
                <w:szCs w:val="20"/>
                <w:color w:val="auto"/>
              </w:rPr>
            </w:pPr>
            <w:r>
              <w:rPr>
                <w:rFonts w:ascii="Arial" w:cs="Arial" w:eastAsia="Arial" w:hAnsi="Arial"/>
                <w:sz w:val="17"/>
                <w:szCs w:val="17"/>
                <w:color w:val="auto"/>
              </w:rPr>
              <w:t>(3.7)</w:t>
            </w:r>
          </w:p>
        </w:tc>
        <w:tc>
          <w:tcPr>
            <w:tcW w:w="240" w:type="dxa"/>
            <w:vAlign w:val="bottom"/>
            <w:shd w:val="clear" w:color="auto" w:fill="E2EEF6"/>
          </w:tcPr>
          <w:p>
            <w:pPr>
              <w:spacing w:after="0"/>
              <w:rPr>
                <w:sz w:val="20"/>
                <w:szCs w:val="20"/>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7"/>
                <w:szCs w:val="17"/>
                <w:color w:val="auto"/>
              </w:rPr>
              <w:t>0.3</w:t>
            </w:r>
          </w:p>
        </w:tc>
        <w:tc>
          <w:tcPr>
            <w:tcW w:w="220" w:type="dxa"/>
            <w:vAlign w:val="bottom"/>
            <w:shd w:val="clear" w:color="auto" w:fill="E2EEF6"/>
          </w:tcPr>
          <w:p>
            <w:pPr>
              <w:spacing w:after="0"/>
              <w:rPr>
                <w:sz w:val="20"/>
                <w:szCs w:val="20"/>
                <w:color w:val="auto"/>
              </w:rPr>
            </w:pPr>
          </w:p>
        </w:tc>
        <w:tc>
          <w:tcPr>
            <w:tcW w:w="156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(8)%</w:t>
            </w:r>
          </w:p>
        </w:tc>
      </w:tr>
      <w:tr>
        <w:trPr>
          <w:trHeight w:val="235"/>
        </w:trPr>
        <w:tc>
          <w:tcPr>
            <w:tcW w:w="5100" w:type="dxa"/>
            <w:vAlign w:val="bottom"/>
            <w:gridSpan w:val="2"/>
          </w:tcPr>
          <w:p>
            <w:pPr>
              <w:ind w:left="160"/>
              <w:spacing w:after="0"/>
              <w:rPr>
                <w:sz w:val="20"/>
                <w:szCs w:val="20"/>
                <w:color w:val="auto"/>
              </w:rPr>
            </w:pPr>
            <w:r>
              <w:rPr>
                <w:rFonts w:ascii="Arial" w:cs="Arial" w:eastAsia="Arial" w:hAnsi="Arial"/>
                <w:sz w:val="17"/>
                <w:szCs w:val="17"/>
                <w:color w:val="auto"/>
              </w:rPr>
              <w:t>Interest income</w:t>
            </w:r>
          </w:p>
        </w:tc>
        <w:tc>
          <w:tcPr>
            <w:tcW w:w="88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(1.9)</w:t>
            </w:r>
          </w:p>
        </w:tc>
        <w:tc>
          <w:tcPr>
            <w:tcW w:w="2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(2.9)</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N/M</w:t>
            </w:r>
          </w:p>
        </w:tc>
      </w:tr>
      <w:tr>
        <w:trPr>
          <w:trHeight w:val="236"/>
        </w:trPr>
        <w:tc>
          <w:tcPr>
            <w:tcW w:w="5100" w:type="dxa"/>
            <w:vAlign w:val="bottom"/>
            <w:gridSpan w:val="2"/>
            <w:shd w:val="clear" w:color="auto" w:fill="E2EEF6"/>
          </w:tcPr>
          <w:p>
            <w:pPr>
              <w:ind w:left="160"/>
              <w:spacing w:after="0"/>
              <w:rPr>
                <w:sz w:val="20"/>
                <w:szCs w:val="20"/>
                <w:color w:val="auto"/>
              </w:rPr>
            </w:pPr>
            <w:r>
              <w:rPr>
                <w:rFonts w:ascii="Arial" w:cs="Arial" w:eastAsia="Arial" w:hAnsi="Arial"/>
                <w:sz w:val="17"/>
                <w:szCs w:val="17"/>
                <w:color w:val="auto"/>
              </w:rPr>
              <w:t>Interest expense</w:t>
            </w:r>
          </w:p>
        </w:tc>
        <w:tc>
          <w:tcPr>
            <w:tcW w:w="880" w:type="dxa"/>
            <w:vAlign w:val="bottom"/>
            <w:shd w:val="clear" w:color="auto" w:fill="E2EEF6"/>
          </w:tcPr>
          <w:p>
            <w:pPr>
              <w:spacing w:after="0"/>
              <w:rPr>
                <w:sz w:val="20"/>
                <w:szCs w:val="20"/>
                <w:color w:val="auto"/>
              </w:rPr>
            </w:pPr>
          </w:p>
        </w:tc>
        <w:tc>
          <w:tcPr>
            <w:tcW w:w="62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29.8</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300" w:type="dxa"/>
            <w:vAlign w:val="bottom"/>
            <w:gridSpan w:val="2"/>
            <w:shd w:val="clear" w:color="auto" w:fill="E2EEF6"/>
          </w:tcPr>
          <w:p>
            <w:pPr>
              <w:jc w:val="right"/>
              <w:ind w:right="240"/>
              <w:spacing w:after="0"/>
              <w:rPr>
                <w:sz w:val="20"/>
                <w:szCs w:val="20"/>
                <w:color w:val="auto"/>
              </w:rPr>
            </w:pPr>
            <w:r>
              <w:rPr>
                <w:rFonts w:ascii="Arial" w:cs="Arial" w:eastAsia="Arial" w:hAnsi="Arial"/>
                <w:sz w:val="17"/>
                <w:szCs w:val="17"/>
                <w:color w:val="auto"/>
              </w:rPr>
              <w:t>42.6</w:t>
            </w:r>
          </w:p>
        </w:tc>
        <w:tc>
          <w:tcPr>
            <w:tcW w:w="240" w:type="dxa"/>
            <w:vAlign w:val="bottom"/>
            <w:shd w:val="clear" w:color="auto" w:fill="E2EEF6"/>
          </w:tcPr>
          <w:p>
            <w:pPr>
              <w:spacing w:after="0"/>
              <w:rPr>
                <w:sz w:val="20"/>
                <w:szCs w:val="20"/>
                <w:color w:val="auto"/>
              </w:rPr>
            </w:pPr>
          </w:p>
        </w:tc>
        <w:tc>
          <w:tcPr>
            <w:tcW w:w="1340" w:type="dxa"/>
            <w:vAlign w:val="bottom"/>
            <w:gridSpan w:val="2"/>
            <w:shd w:val="clear" w:color="auto" w:fill="E2EEF6"/>
          </w:tcPr>
          <w:p>
            <w:pPr>
              <w:jc w:val="right"/>
              <w:ind w:right="180"/>
              <w:spacing w:after="0"/>
              <w:rPr>
                <w:sz w:val="20"/>
                <w:szCs w:val="20"/>
                <w:color w:val="auto"/>
              </w:rPr>
            </w:pPr>
            <w:r>
              <w:rPr>
                <w:rFonts w:ascii="Arial" w:cs="Arial" w:eastAsia="Arial" w:hAnsi="Arial"/>
                <w:sz w:val="17"/>
                <w:szCs w:val="17"/>
                <w:color w:val="auto"/>
              </w:rPr>
              <w:t>(12.8)</w:t>
            </w:r>
          </w:p>
        </w:tc>
        <w:tc>
          <w:tcPr>
            <w:tcW w:w="156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(30)%</w:t>
            </w:r>
          </w:p>
        </w:tc>
      </w:tr>
      <w:tr>
        <w:trPr>
          <w:trHeight w:val="235"/>
        </w:trPr>
        <w:tc>
          <w:tcPr>
            <w:tcW w:w="5100" w:type="dxa"/>
            <w:vAlign w:val="bottom"/>
            <w:gridSpan w:val="2"/>
          </w:tcPr>
          <w:p>
            <w:pPr>
              <w:ind w:left="160"/>
              <w:spacing w:after="0"/>
              <w:rPr>
                <w:sz w:val="20"/>
                <w:szCs w:val="20"/>
                <w:color w:val="auto"/>
              </w:rPr>
            </w:pPr>
            <w:r>
              <w:rPr>
                <w:rFonts w:ascii="Arial" w:cs="Arial" w:eastAsia="Arial" w:hAnsi="Arial"/>
                <w:sz w:val="17"/>
                <w:szCs w:val="17"/>
                <w:color w:val="auto"/>
              </w:rPr>
              <w:t>Gain from TODCO Stock Sales</w:t>
            </w:r>
          </w:p>
        </w:tc>
        <w:tc>
          <w:tcPr>
            <w:tcW w:w="88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(165.0)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(165.0)</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N/M</w:t>
            </w:r>
          </w:p>
        </w:tc>
      </w:tr>
      <w:tr>
        <w:trPr>
          <w:trHeight w:val="236"/>
        </w:trPr>
        <w:tc>
          <w:tcPr>
            <w:tcW w:w="5100" w:type="dxa"/>
            <w:vAlign w:val="bottom"/>
            <w:gridSpan w:val="2"/>
            <w:shd w:val="clear" w:color="auto" w:fill="E2EEF6"/>
          </w:tcPr>
          <w:p>
            <w:pPr>
              <w:ind w:left="160"/>
              <w:spacing w:after="0"/>
              <w:rPr>
                <w:sz w:val="20"/>
                <w:szCs w:val="20"/>
                <w:color w:val="auto"/>
              </w:rPr>
            </w:pPr>
            <w:r>
              <w:rPr>
                <w:rFonts w:ascii="Arial" w:cs="Arial" w:eastAsia="Arial" w:hAnsi="Arial"/>
                <w:sz w:val="17"/>
                <w:szCs w:val="17"/>
                <w:color w:val="auto"/>
              </w:rPr>
              <w:t>Other, net</w:t>
            </w:r>
          </w:p>
        </w:tc>
        <w:tc>
          <w:tcPr>
            <w:tcW w:w="880" w:type="dxa"/>
            <w:vAlign w:val="bottom"/>
            <w:shd w:val="clear" w:color="auto" w:fill="E2EEF6"/>
          </w:tcPr>
          <w:p>
            <w:pPr>
              <w:spacing w:after="0"/>
              <w:rPr>
                <w:sz w:val="20"/>
                <w:szCs w:val="20"/>
                <w:color w:val="auto"/>
              </w:rPr>
            </w:pPr>
          </w:p>
        </w:tc>
        <w:tc>
          <w:tcPr>
            <w:tcW w:w="62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3.0</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300" w:type="dxa"/>
            <w:vAlign w:val="bottom"/>
            <w:gridSpan w:val="2"/>
            <w:shd w:val="clear" w:color="auto" w:fill="E2EEF6"/>
          </w:tcPr>
          <w:p>
            <w:pPr>
              <w:jc w:val="right"/>
              <w:ind w:right="240"/>
              <w:spacing w:after="0"/>
              <w:rPr>
                <w:sz w:val="20"/>
                <w:szCs w:val="20"/>
                <w:color w:val="auto"/>
              </w:rPr>
            </w:pPr>
            <w:r>
              <w:rPr>
                <w:rFonts w:ascii="Arial" w:cs="Arial" w:eastAsia="Arial" w:hAnsi="Arial"/>
                <w:sz w:val="17"/>
                <w:szCs w:val="17"/>
                <w:color w:val="auto"/>
              </w:rPr>
              <w:t>1.1</w:t>
            </w:r>
          </w:p>
        </w:tc>
        <w:tc>
          <w:tcPr>
            <w:tcW w:w="240" w:type="dxa"/>
            <w:vAlign w:val="bottom"/>
            <w:shd w:val="clear" w:color="auto" w:fill="E2EEF6"/>
          </w:tcPr>
          <w:p>
            <w:pPr>
              <w:spacing w:after="0"/>
              <w:rPr>
                <w:sz w:val="20"/>
                <w:szCs w:val="20"/>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7"/>
                <w:szCs w:val="17"/>
                <w:color w:val="auto"/>
              </w:rPr>
              <w:t>1.9</w:t>
            </w:r>
          </w:p>
        </w:tc>
        <w:tc>
          <w:tcPr>
            <w:tcW w:w="220" w:type="dxa"/>
            <w:vAlign w:val="bottom"/>
            <w:shd w:val="clear" w:color="auto" w:fill="E2EEF6"/>
          </w:tcPr>
          <w:p>
            <w:pPr>
              <w:spacing w:after="0"/>
              <w:rPr>
                <w:sz w:val="20"/>
                <w:szCs w:val="20"/>
                <w:color w:val="auto"/>
              </w:rPr>
            </w:pPr>
          </w:p>
        </w:tc>
        <w:tc>
          <w:tcPr>
            <w:tcW w:w="1560" w:type="dxa"/>
            <w:vAlign w:val="bottom"/>
            <w:gridSpan w:val="2"/>
            <w:shd w:val="clear" w:color="auto" w:fill="E2EEF6"/>
          </w:tcPr>
          <w:p>
            <w:pPr>
              <w:jc w:val="right"/>
              <w:ind w:right="200"/>
              <w:spacing w:after="0"/>
              <w:rPr>
                <w:sz w:val="20"/>
                <w:szCs w:val="20"/>
                <w:color w:val="auto"/>
              </w:rPr>
            </w:pPr>
            <w:r>
              <w:rPr>
                <w:rFonts w:ascii="Arial" w:cs="Arial" w:eastAsia="Arial" w:hAnsi="Arial"/>
                <w:sz w:val="17"/>
                <w:szCs w:val="17"/>
                <w:color w:val="auto"/>
              </w:rPr>
              <w:t>N/M</w:t>
            </w:r>
          </w:p>
        </w:tc>
      </w:tr>
      <w:tr>
        <w:trPr>
          <w:trHeight w:val="235"/>
        </w:trPr>
        <w:tc>
          <w:tcPr>
            <w:tcW w:w="5100" w:type="dxa"/>
            <w:vAlign w:val="bottom"/>
            <w:gridSpan w:val="2"/>
          </w:tcPr>
          <w:p>
            <w:pPr>
              <w:spacing w:after="0"/>
              <w:rPr>
                <w:sz w:val="20"/>
                <w:szCs w:val="20"/>
                <w:color w:val="auto"/>
              </w:rPr>
            </w:pPr>
            <w:r>
              <w:rPr>
                <w:rFonts w:ascii="Arial" w:cs="Arial" w:eastAsia="Arial" w:hAnsi="Arial"/>
                <w:sz w:val="17"/>
                <w:szCs w:val="17"/>
                <w:color w:val="auto"/>
              </w:rPr>
              <w:t>Income Tax Expense</w:t>
            </w:r>
          </w:p>
        </w:tc>
        <w:tc>
          <w:tcPr>
            <w:tcW w:w="88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23.6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19.9</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3.7</w:t>
            </w:r>
          </w:p>
        </w:tc>
        <w:tc>
          <w:tcPr>
            <w:tcW w:w="220" w:type="dxa"/>
            <w:vAlign w:val="bottom"/>
          </w:tcPr>
          <w:p>
            <w:pPr>
              <w:spacing w:after="0"/>
              <w:rPr>
                <w:sz w:val="20"/>
                <w:szCs w:val="20"/>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r>
      <w:tr>
        <w:trPr>
          <w:trHeight w:val="236"/>
        </w:trPr>
        <w:tc>
          <w:tcPr>
            <w:tcW w:w="5100" w:type="dxa"/>
            <w:vAlign w:val="bottom"/>
            <w:gridSpan w:val="2"/>
            <w:shd w:val="clear" w:color="auto" w:fill="E2EEF6"/>
          </w:tcPr>
          <w:p>
            <w:pPr>
              <w:spacing w:after="0"/>
              <w:rPr>
                <w:sz w:val="20"/>
                <w:szCs w:val="20"/>
                <w:color w:val="auto"/>
              </w:rPr>
            </w:pPr>
            <w:r>
              <w:rPr>
                <w:rFonts w:ascii="Arial" w:cs="Arial" w:eastAsia="Arial" w:hAnsi="Arial"/>
                <w:sz w:val="17"/>
                <w:szCs w:val="17"/>
                <w:color w:val="auto"/>
              </w:rPr>
              <w:t>Minority Interest</w:t>
            </w:r>
          </w:p>
        </w:tc>
        <w:tc>
          <w:tcPr>
            <w:tcW w:w="880" w:type="dxa"/>
            <w:vAlign w:val="bottom"/>
            <w:shd w:val="clear" w:color="auto" w:fill="E2EEF6"/>
          </w:tcPr>
          <w:p>
            <w:pPr>
              <w:spacing w:after="0"/>
              <w:rPr>
                <w:sz w:val="20"/>
                <w:szCs w:val="20"/>
                <w:color w:val="auto"/>
              </w:rPr>
            </w:pPr>
          </w:p>
        </w:tc>
        <w:tc>
          <w:tcPr>
            <w:tcW w:w="620" w:type="dxa"/>
            <w:vAlign w:val="bottom"/>
            <w:gridSpan w:val="2"/>
            <w:shd w:val="clear" w:color="auto" w:fill="E2EEF6"/>
          </w:tcPr>
          <w:p>
            <w:pPr>
              <w:jc w:val="right"/>
              <w:ind w:right="80"/>
              <w:spacing w:after="0"/>
              <w:rPr>
                <w:sz w:val="20"/>
                <w:szCs w:val="20"/>
                <w:color w:val="auto"/>
              </w:rPr>
            </w:pPr>
            <w:r>
              <w:rPr>
                <w:rFonts w:ascii="Arial" w:cs="Arial" w:eastAsia="Arial" w:hAnsi="Arial"/>
                <w:sz w:val="17"/>
                <w:szCs w:val="17"/>
                <w:color w:val="auto"/>
              </w:rPr>
              <w:t>(0.2)</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300" w:type="dxa"/>
            <w:vAlign w:val="bottom"/>
            <w:gridSpan w:val="2"/>
            <w:shd w:val="clear" w:color="auto" w:fill="E2EEF6"/>
          </w:tcPr>
          <w:p>
            <w:pPr>
              <w:jc w:val="right"/>
              <w:ind w:right="180"/>
              <w:spacing w:after="0"/>
              <w:rPr>
                <w:sz w:val="20"/>
                <w:szCs w:val="20"/>
                <w:color w:val="auto"/>
              </w:rPr>
            </w:pPr>
            <w:r>
              <w:rPr>
                <w:rFonts w:ascii="Arial" w:cs="Arial" w:eastAsia="Arial" w:hAnsi="Arial"/>
                <w:sz w:val="17"/>
                <w:szCs w:val="17"/>
                <w:color w:val="auto"/>
              </w:rPr>
              <w:t>(2.2)</w:t>
            </w:r>
          </w:p>
        </w:tc>
        <w:tc>
          <w:tcPr>
            <w:tcW w:w="240" w:type="dxa"/>
            <w:vAlign w:val="bottom"/>
            <w:shd w:val="clear" w:color="auto" w:fill="E2EEF6"/>
          </w:tcPr>
          <w:p>
            <w:pPr>
              <w:spacing w:after="0"/>
              <w:rPr>
                <w:sz w:val="20"/>
                <w:szCs w:val="20"/>
                <w:color w:val="auto"/>
              </w:rPr>
            </w:pPr>
          </w:p>
        </w:tc>
        <w:tc>
          <w:tcPr>
            <w:tcW w:w="1120" w:type="dxa"/>
            <w:vAlign w:val="bottom"/>
            <w:shd w:val="clear" w:color="auto" w:fill="E2EEF6"/>
          </w:tcPr>
          <w:p>
            <w:pPr>
              <w:jc w:val="right"/>
              <w:spacing w:after="0"/>
              <w:rPr>
                <w:sz w:val="20"/>
                <w:szCs w:val="20"/>
                <w:color w:val="auto"/>
              </w:rPr>
            </w:pPr>
            <w:r>
              <w:rPr>
                <w:rFonts w:ascii="Arial" w:cs="Arial" w:eastAsia="Arial" w:hAnsi="Arial"/>
                <w:sz w:val="17"/>
                <w:szCs w:val="17"/>
                <w:color w:val="auto"/>
              </w:rPr>
              <w:t>2.0</w:t>
            </w:r>
          </w:p>
        </w:tc>
        <w:tc>
          <w:tcPr>
            <w:tcW w:w="220" w:type="dxa"/>
            <w:vAlign w:val="bottom"/>
            <w:shd w:val="clear" w:color="auto" w:fill="E2EEF6"/>
          </w:tcPr>
          <w:p>
            <w:pPr>
              <w:spacing w:after="0"/>
              <w:rPr>
                <w:sz w:val="20"/>
                <w:szCs w:val="20"/>
                <w:color w:val="auto"/>
              </w:rPr>
            </w:pPr>
          </w:p>
        </w:tc>
        <w:tc>
          <w:tcPr>
            <w:tcW w:w="1560" w:type="dxa"/>
            <w:vAlign w:val="bottom"/>
            <w:gridSpan w:val="2"/>
            <w:shd w:val="clear" w:color="auto" w:fill="E2EEF6"/>
          </w:tcPr>
          <w:p>
            <w:pPr>
              <w:jc w:val="right"/>
              <w:ind w:right="200"/>
              <w:spacing w:after="0"/>
              <w:rPr>
                <w:sz w:val="20"/>
                <w:szCs w:val="20"/>
                <w:color w:val="auto"/>
              </w:rPr>
            </w:pPr>
            <w:r>
              <w:rPr>
                <w:rFonts w:ascii="Arial" w:cs="Arial" w:eastAsia="Arial" w:hAnsi="Arial"/>
                <w:sz w:val="17"/>
                <w:szCs w:val="17"/>
                <w:color w:val="auto"/>
              </w:rPr>
              <w:t>N/M</w:t>
            </w:r>
          </w:p>
        </w:tc>
      </w:tr>
      <w:tr>
        <w:trPr>
          <w:trHeight w:val="197"/>
        </w:trPr>
        <w:tc>
          <w:tcPr>
            <w:tcW w:w="5100" w:type="dxa"/>
            <w:vAlign w:val="bottom"/>
            <w:gridSpan w:val="2"/>
          </w:tcPr>
          <w:p>
            <w:pPr>
              <w:spacing w:after="0"/>
              <w:rPr>
                <w:sz w:val="20"/>
                <w:szCs w:val="20"/>
                <w:color w:val="auto"/>
              </w:rPr>
            </w:pPr>
            <w:r>
              <w:rPr>
                <w:rFonts w:ascii="Arial" w:cs="Arial" w:eastAsia="Arial" w:hAnsi="Arial"/>
                <w:sz w:val="17"/>
                <w:szCs w:val="17"/>
                <w:color w:val="auto"/>
              </w:rPr>
              <w:t>_________________________</w:t>
            </w: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1"/>
        </w:trPr>
        <w:tc>
          <w:tcPr>
            <w:tcW w:w="5100" w:type="dxa"/>
            <w:vAlign w:val="bottom"/>
            <w:gridSpan w:val="2"/>
          </w:tcPr>
          <w:p>
            <w:pPr>
              <w:spacing w:after="0"/>
              <w:rPr>
                <w:sz w:val="20"/>
                <w:szCs w:val="20"/>
                <w:color w:val="auto"/>
              </w:rPr>
            </w:pPr>
            <w:r>
              <w:rPr>
                <w:rFonts w:ascii="Arial" w:cs="Arial" w:eastAsia="Arial" w:hAnsi="Arial"/>
                <w:sz w:val="17"/>
                <w:szCs w:val="17"/>
                <w:color w:val="auto"/>
              </w:rPr>
              <w:t>“N/M” means not meaningful</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50" w:lineRule="exact"/>
        <w:rPr>
          <w:sz w:val="20"/>
          <w:szCs w:val="20"/>
          <w:color w:val="auto"/>
        </w:rPr>
      </w:pPr>
    </w:p>
    <w:p>
      <w:pPr>
        <w:jc w:val="both"/>
        <w:ind w:firstLine="628"/>
        <w:spacing w:after="0" w:line="321" w:lineRule="auto"/>
        <w:rPr>
          <w:sz w:val="20"/>
          <w:szCs w:val="20"/>
          <w:color w:val="auto"/>
        </w:rPr>
      </w:pPr>
      <w:r>
        <w:rPr>
          <w:rFonts w:ascii="Arial" w:cs="Arial" w:eastAsia="Arial" w:hAnsi="Arial"/>
          <w:sz w:val="16"/>
          <w:szCs w:val="16"/>
          <w:color w:val="auto"/>
        </w:rPr>
        <w:t>The increase in general and administrative expense was primarily attributable to increases of approximately $1.2 million in rent expense, $1.0 million in personnel expense and $0.9 million in public accounting and professional fees primarily related to compliance with the Sarbanes Oxley Act of 2002.</w:t>
      </w:r>
    </w:p>
    <w:p>
      <w:pPr>
        <w:spacing w:after="0" w:line="188"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The decrease in interest expense was primarily attributable to reductions of $11.6 million associated with debt that was redeemed, retired or repurchased during or subsequent to the second quarter of 2004. Additional decreases resulted from $1.0 million of interest expense in the second quarter of 2004 on TODCO’s debt with no comparable activity for the same period in 2005.</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During the second quarter of 2005, we recognized gains of $165.0 million from the 2005 Offering and Sale. See “—TODCO Segment.”</w:t>
      </w:r>
    </w:p>
    <w:p>
      <w:pPr>
        <w:spacing w:after="0" w:line="275" w:lineRule="exact"/>
        <w:rPr>
          <w:sz w:val="20"/>
          <w:szCs w:val="20"/>
          <w:color w:val="auto"/>
        </w:rPr>
      </w:pPr>
    </w:p>
    <w:p>
      <w:pPr>
        <w:jc w:val="both"/>
        <w:ind w:firstLine="628"/>
        <w:spacing w:after="0" w:line="277" w:lineRule="auto"/>
        <w:rPr>
          <w:sz w:val="20"/>
          <w:szCs w:val="20"/>
          <w:color w:val="auto"/>
        </w:rPr>
      </w:pPr>
      <w:r>
        <w:rPr>
          <w:rFonts w:ascii="Arial" w:cs="Arial" w:eastAsia="Arial" w:hAnsi="Arial"/>
          <w:sz w:val="16"/>
          <w:szCs w:val="16"/>
          <w:color w:val="auto"/>
        </w:rPr>
        <w:t xml:space="preserve">We operate internationally and provide for income taxes based on the tax laws and rates in the countries in which we operate and earn income. There is no expected relationship between the provision for income taxes and income before income taxes. The estimated annual effective tax rates for 2005 and 2004 were estimated to be approximately 17 percent and 35 percent, respectively, based on estimated 2005 and 2004 annual income before income taxes and minority interest. In accordance with Accounting Principles Board Opinion (“APB”)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certain items have been excluded from the estimated annual effective tax rate and treated as period items. These items included portions of the net gains on sales of assets, TODCO Stock Sales-related items and losses on retirements of debt. The estimated annual effective tax rate at June 30, 2005 increased from approximately 16 percent estimated at March 31, 2005 as a result of developments in the second quarter on certain international tax disputes and changes in the expected amount and geographical concentration of income. The catch-up effect of the increase in the estimated annual effective tax rate, a reduction in earnings of $1.4 million, was reflected in the second quarter of 2005 resulting in an effective tax rate of 18 percent on earnings for the three months ended June 30, 2005. The estimated annual effective tax rate at June 30, 2004 increased from approximately 27 percent estimated at March 31, 2004 as a result of developments in the second quarter on certain international tax disputes, an increase in the valuation allowance established at the time of the TODCO IPO and changes in the expected amount and geographical concentration of income. The catch-up effect of the increase in the annual effective tax rate, a reduction in earnings of $4.6 million, was reflected in the second quarter of 2004 resulting in an effective tax rate of 45 percent on earnings for the three months ended June 30, 2004.</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09"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Six months ended June 30, 2005 compared to six months ended June 30, 2004</w:t>
      </w:r>
    </w:p>
    <w:p>
      <w:pPr>
        <w:spacing w:after="0" w:line="275"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Following is an analysis of our Transocean Drilling segment operating results, as well as an analysis of income and expense categories that we have not allocated to our segment.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gridSpan w:val="2"/>
          </w:tcPr>
          <w:p>
            <w:pPr>
              <w:spacing w:after="0"/>
              <w:rPr>
                <w:sz w:val="20"/>
                <w:szCs w:val="20"/>
                <w:color w:val="auto"/>
              </w:rPr>
            </w:pPr>
            <w:r>
              <w:rPr>
                <w:rFonts w:ascii="Arial" w:cs="Arial" w:eastAsia="Arial" w:hAnsi="Arial"/>
                <w:sz w:val="17"/>
                <w:szCs w:val="17"/>
                <w:i w:val="1"/>
                <w:iCs w:val="1"/>
                <w:color w:val="auto"/>
              </w:rPr>
              <w:t>Transocean Drilling Segment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9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gridSpan w:val="6"/>
          </w:tcPr>
          <w:p>
            <w:pPr>
              <w:jc w:val="right"/>
              <w:ind w:right="1060"/>
              <w:spacing w:after="0"/>
              <w:rPr>
                <w:sz w:val="20"/>
                <w:szCs w:val="20"/>
                <w:color w:val="auto"/>
              </w:rPr>
            </w:pPr>
            <w:r>
              <w:rPr>
                <w:rFonts w:ascii="Arial" w:cs="Arial" w:eastAsia="Arial" w:hAnsi="Arial"/>
                <w:sz w:val="17"/>
                <w:szCs w:val="17"/>
                <w:color w:val="auto"/>
              </w:rPr>
              <w:t>Six Months Ended</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2"/>
        </w:trPr>
        <w:tc>
          <w:tcPr>
            <w:tcW w:w="2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7"/>
                <w:szCs w:val="17"/>
                <w:color w:val="auto"/>
              </w:rPr>
              <w:t>June 30,</w:t>
            </w:r>
          </w:p>
        </w:tc>
        <w:tc>
          <w:tcPr>
            <w:tcW w:w="104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55"/>
        </w:trPr>
        <w:tc>
          <w:tcPr>
            <w:tcW w:w="2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2005</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2004</w:t>
            </w: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Change</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 Change</w:t>
            </w:r>
          </w:p>
        </w:tc>
        <w:tc>
          <w:tcPr>
            <w:tcW w:w="20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40" w:type="dxa"/>
            <w:vAlign w:val="bottom"/>
            <w:gridSpan w:val="10"/>
          </w:tcPr>
          <w:p>
            <w:pPr>
              <w:ind w:left="1000"/>
              <w:spacing w:after="0"/>
              <w:rPr>
                <w:sz w:val="20"/>
                <w:szCs w:val="20"/>
                <w:color w:val="auto"/>
              </w:rPr>
            </w:pPr>
            <w:r>
              <w:rPr>
                <w:rFonts w:ascii="Arial" w:cs="Arial" w:eastAsia="Arial" w:hAnsi="Arial"/>
                <w:sz w:val="17"/>
                <w:szCs w:val="17"/>
                <w:color w:val="auto"/>
                <w:w w:val="95"/>
              </w:rPr>
              <w:t>(In millions, except day amounts and percentages)</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6"/>
        </w:trPr>
        <w:tc>
          <w:tcPr>
            <w:tcW w:w="51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5"/>
        </w:trPr>
        <w:tc>
          <w:tcPr>
            <w:tcW w:w="20" w:type="dxa"/>
            <w:vAlign w:val="bottom"/>
          </w:tcPr>
          <w:p>
            <w:pPr>
              <w:spacing w:after="0"/>
              <w:rPr>
                <w:sz w:val="20"/>
                <w:szCs w:val="20"/>
                <w:color w:val="auto"/>
              </w:rPr>
            </w:pPr>
          </w:p>
        </w:tc>
        <w:tc>
          <w:tcPr>
            <w:tcW w:w="5080" w:type="dxa"/>
            <w:vAlign w:val="bottom"/>
            <w:shd w:val="clear" w:color="auto" w:fill="E2EEF6"/>
          </w:tcPr>
          <w:p>
            <w:pPr>
              <w:spacing w:after="0"/>
              <w:rPr>
                <w:sz w:val="20"/>
                <w:szCs w:val="20"/>
                <w:color w:val="auto"/>
              </w:rPr>
            </w:pPr>
            <w:r>
              <w:rPr>
                <w:rFonts w:ascii="Arial" w:cs="Arial" w:eastAsia="Arial" w:hAnsi="Arial"/>
                <w:sz w:val="17"/>
                <w:szCs w:val="17"/>
                <w:color w:val="auto"/>
              </w:rPr>
              <w:t>Revenue earnings days</w:t>
            </w:r>
          </w:p>
        </w:tc>
        <w:tc>
          <w:tcPr>
            <w:tcW w:w="300" w:type="dxa"/>
            <w:vAlign w:val="bottom"/>
            <w:shd w:val="clear" w:color="auto" w:fill="E2EEF6"/>
          </w:tcPr>
          <w:p>
            <w:pPr>
              <w:spacing w:after="0"/>
              <w:rPr>
                <w:sz w:val="20"/>
                <w:szCs w:val="20"/>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12,835</w:t>
            </w:r>
          </w:p>
        </w:tc>
        <w:tc>
          <w:tcPr>
            <w:tcW w:w="18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32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240"/>
              <w:spacing w:after="0"/>
              <w:rPr>
                <w:sz w:val="20"/>
                <w:szCs w:val="20"/>
                <w:color w:val="auto"/>
              </w:rPr>
            </w:pPr>
            <w:r>
              <w:rPr>
                <w:rFonts w:ascii="Arial" w:cs="Arial" w:eastAsia="Arial" w:hAnsi="Arial"/>
                <w:sz w:val="17"/>
                <w:szCs w:val="17"/>
                <w:color w:val="auto"/>
              </w:rPr>
              <w:t>11,731</w:t>
            </w:r>
          </w:p>
        </w:tc>
        <w:tc>
          <w:tcPr>
            <w:tcW w:w="280" w:type="dxa"/>
            <w:vAlign w:val="bottom"/>
            <w:shd w:val="clear" w:color="auto" w:fill="E2EEF6"/>
          </w:tcPr>
          <w:p>
            <w:pPr>
              <w:spacing w:after="0"/>
              <w:rPr>
                <w:sz w:val="20"/>
                <w:szCs w:val="20"/>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7"/>
                <w:szCs w:val="17"/>
                <w:color w:val="auto"/>
              </w:rPr>
              <w:t>1,104</w:t>
            </w:r>
          </w:p>
        </w:tc>
        <w:tc>
          <w:tcPr>
            <w:tcW w:w="22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380" w:type="dxa"/>
            <w:vAlign w:val="bottom"/>
            <w:gridSpan w:val="2"/>
            <w:shd w:val="clear" w:color="auto" w:fill="E2EEF6"/>
          </w:tcPr>
          <w:p>
            <w:pPr>
              <w:jc w:val="right"/>
              <w:ind w:right="60"/>
              <w:spacing w:after="0"/>
              <w:rPr>
                <w:sz w:val="20"/>
                <w:szCs w:val="20"/>
                <w:color w:val="auto"/>
              </w:rPr>
            </w:pPr>
            <w:r>
              <w:rPr>
                <w:rFonts w:ascii="Arial" w:cs="Arial" w:eastAsia="Arial" w:hAnsi="Arial"/>
                <w:sz w:val="17"/>
                <w:szCs w:val="17"/>
                <w:color w:val="auto"/>
              </w:rPr>
              <w:t>9%</w:t>
            </w:r>
          </w:p>
        </w:tc>
      </w:tr>
      <w:tr>
        <w:trPr>
          <w:trHeight w:val="235"/>
        </w:trPr>
        <w:tc>
          <w:tcPr>
            <w:tcW w:w="5100" w:type="dxa"/>
            <w:vAlign w:val="bottom"/>
            <w:gridSpan w:val="2"/>
          </w:tcPr>
          <w:p>
            <w:pPr>
              <w:spacing w:after="0"/>
              <w:rPr>
                <w:sz w:val="20"/>
                <w:szCs w:val="20"/>
                <w:color w:val="auto"/>
              </w:rPr>
            </w:pPr>
            <w:r>
              <w:rPr>
                <w:rFonts w:ascii="Arial" w:cs="Arial" w:eastAsia="Arial" w:hAnsi="Arial"/>
                <w:sz w:val="17"/>
                <w:szCs w:val="17"/>
                <w:color w:val="auto"/>
              </w:rPr>
              <w:t>Utilization</w:t>
            </w:r>
          </w:p>
        </w:tc>
        <w:tc>
          <w:tcPr>
            <w:tcW w:w="3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77%</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68%</w:t>
            </w:r>
          </w:p>
        </w:tc>
        <w:tc>
          <w:tcPr>
            <w:tcW w:w="280" w:type="dxa"/>
            <w:vAlign w:val="bottom"/>
          </w:tcPr>
          <w:p>
            <w:pPr>
              <w:spacing w:after="0"/>
              <w:rPr>
                <w:sz w:val="20"/>
                <w:szCs w:val="20"/>
                <w:color w:val="auto"/>
              </w:rPr>
            </w:pPr>
          </w:p>
        </w:tc>
        <w:tc>
          <w:tcPr>
            <w:tcW w:w="1480" w:type="dxa"/>
            <w:vAlign w:val="bottom"/>
            <w:gridSpan w:val="3"/>
          </w:tcPr>
          <w:p>
            <w:pPr>
              <w:ind w:left="780"/>
              <w:spacing w:after="0"/>
              <w:rPr>
                <w:sz w:val="20"/>
                <w:szCs w:val="20"/>
                <w:color w:val="auto"/>
              </w:rPr>
            </w:pPr>
            <w:r>
              <w:rPr>
                <w:rFonts w:ascii="Arial" w:cs="Arial" w:eastAsia="Arial" w:hAnsi="Arial"/>
                <w:sz w:val="17"/>
                <w:szCs w:val="17"/>
                <w:color w:val="auto"/>
              </w:rPr>
              <w:t>N/A</w:t>
            </w: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r>
      <w:tr>
        <w:trPr>
          <w:trHeight w:val="236"/>
        </w:trPr>
        <w:tc>
          <w:tcPr>
            <w:tcW w:w="20" w:type="dxa"/>
            <w:vAlign w:val="bottom"/>
          </w:tcPr>
          <w:p>
            <w:pPr>
              <w:spacing w:after="0"/>
              <w:rPr>
                <w:sz w:val="20"/>
                <w:szCs w:val="20"/>
                <w:color w:val="auto"/>
              </w:rPr>
            </w:pPr>
          </w:p>
        </w:tc>
        <w:tc>
          <w:tcPr>
            <w:tcW w:w="5080" w:type="dxa"/>
            <w:vAlign w:val="bottom"/>
            <w:shd w:val="clear" w:color="auto" w:fill="E2EEF6"/>
          </w:tcPr>
          <w:p>
            <w:pPr>
              <w:spacing w:after="0"/>
              <w:rPr>
                <w:sz w:val="20"/>
                <w:szCs w:val="20"/>
                <w:color w:val="auto"/>
              </w:rPr>
            </w:pPr>
            <w:r>
              <w:rPr>
                <w:rFonts w:ascii="Arial" w:cs="Arial" w:eastAsia="Arial" w:hAnsi="Arial"/>
                <w:sz w:val="17"/>
                <w:szCs w:val="17"/>
                <w:color w:val="auto"/>
              </w:rPr>
              <w:t>Average dayrate</w:t>
            </w:r>
          </w:p>
        </w:tc>
        <w:tc>
          <w:tcPr>
            <w:tcW w:w="300" w:type="dxa"/>
            <w:vAlign w:val="bottom"/>
            <w:shd w:val="clear" w:color="auto" w:fill="E2EEF6"/>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99,900</w:t>
            </w:r>
          </w:p>
        </w:tc>
        <w:tc>
          <w:tcPr>
            <w:tcW w:w="180" w:type="dxa"/>
            <w:vAlign w:val="bottom"/>
            <w:shd w:val="clear" w:color="auto" w:fill="E2EEF6"/>
          </w:tcPr>
          <w:p>
            <w:pPr>
              <w:spacing w:after="0"/>
              <w:rPr>
                <w:sz w:val="20"/>
                <w:szCs w:val="20"/>
                <w:color w:val="auto"/>
              </w:rPr>
            </w:pPr>
          </w:p>
        </w:tc>
        <w:tc>
          <w:tcPr>
            <w:tcW w:w="360" w:type="dxa"/>
            <w:vAlign w:val="bottom"/>
            <w:gridSpan w:val="2"/>
            <w:shd w:val="clear" w:color="auto" w:fill="E2EEF6"/>
          </w:tcPr>
          <w:p>
            <w:pPr>
              <w:jc w:val="right"/>
              <w:ind w:right="133"/>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E2EEF6"/>
          </w:tcPr>
          <w:p>
            <w:pPr>
              <w:jc w:val="right"/>
              <w:ind w:right="240"/>
              <w:spacing w:after="0"/>
              <w:rPr>
                <w:sz w:val="20"/>
                <w:szCs w:val="20"/>
                <w:color w:val="auto"/>
              </w:rPr>
            </w:pPr>
            <w:r>
              <w:rPr>
                <w:rFonts w:ascii="Arial" w:cs="Arial" w:eastAsia="Arial" w:hAnsi="Arial"/>
                <w:sz w:val="17"/>
                <w:szCs w:val="17"/>
                <w:color w:val="auto"/>
              </w:rPr>
              <w:t>89,700</w:t>
            </w:r>
          </w:p>
        </w:tc>
        <w:tc>
          <w:tcPr>
            <w:tcW w:w="280" w:type="dxa"/>
            <w:vAlign w:val="bottom"/>
            <w:shd w:val="clear" w:color="auto" w:fill="E2EEF6"/>
          </w:tcPr>
          <w:p>
            <w:pPr>
              <w:jc w:val="right"/>
              <w:ind w:right="12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10,200</w:t>
            </w:r>
          </w:p>
        </w:tc>
        <w:tc>
          <w:tcPr>
            <w:tcW w:w="180" w:type="dxa"/>
            <w:vAlign w:val="bottom"/>
            <w:shd w:val="clear" w:color="auto" w:fill="E2EEF6"/>
          </w:tcPr>
          <w:p>
            <w:pPr>
              <w:spacing w:after="0"/>
              <w:rPr>
                <w:sz w:val="20"/>
                <w:szCs w:val="20"/>
                <w:color w:val="auto"/>
              </w:rPr>
            </w:pPr>
          </w:p>
        </w:tc>
        <w:tc>
          <w:tcPr>
            <w:tcW w:w="1380" w:type="dxa"/>
            <w:vAlign w:val="bottom"/>
            <w:gridSpan w:val="2"/>
            <w:shd w:val="clear" w:color="auto" w:fill="E2EEF6"/>
          </w:tcPr>
          <w:p>
            <w:pPr>
              <w:jc w:val="right"/>
              <w:ind w:right="60"/>
              <w:spacing w:after="0"/>
              <w:rPr>
                <w:sz w:val="20"/>
                <w:szCs w:val="20"/>
                <w:color w:val="auto"/>
              </w:rPr>
            </w:pPr>
            <w:r>
              <w:rPr>
                <w:rFonts w:ascii="Arial" w:cs="Arial" w:eastAsia="Arial" w:hAnsi="Arial"/>
                <w:sz w:val="17"/>
                <w:szCs w:val="17"/>
                <w:color w:val="auto"/>
              </w:rPr>
              <w:t>11%</w:t>
            </w:r>
          </w:p>
        </w:tc>
      </w:tr>
      <w:tr>
        <w:trPr>
          <w:trHeight w:val="235"/>
        </w:trPr>
        <w:tc>
          <w:tcPr>
            <w:tcW w:w="51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5"/>
        </w:trPr>
        <w:tc>
          <w:tcPr>
            <w:tcW w:w="20" w:type="dxa"/>
            <w:vAlign w:val="bottom"/>
          </w:tcPr>
          <w:p>
            <w:pPr>
              <w:spacing w:after="0"/>
              <w:rPr>
                <w:sz w:val="20"/>
                <w:szCs w:val="20"/>
                <w:color w:val="auto"/>
              </w:rPr>
            </w:pPr>
          </w:p>
        </w:tc>
        <w:tc>
          <w:tcPr>
            <w:tcW w:w="5080" w:type="dxa"/>
            <w:vAlign w:val="bottom"/>
            <w:shd w:val="clear" w:color="auto" w:fill="E2EEF6"/>
          </w:tcPr>
          <w:p>
            <w:pPr>
              <w:spacing w:after="0"/>
              <w:rPr>
                <w:sz w:val="20"/>
                <w:szCs w:val="20"/>
                <w:color w:val="auto"/>
              </w:rPr>
            </w:pPr>
            <w:r>
              <w:rPr>
                <w:rFonts w:ascii="Arial" w:cs="Arial" w:eastAsia="Arial" w:hAnsi="Arial"/>
                <w:sz w:val="17"/>
                <w:szCs w:val="17"/>
                <w:color w:val="auto"/>
              </w:rPr>
              <w:t>Contract drilling revenues</w:t>
            </w:r>
          </w:p>
        </w:tc>
        <w:tc>
          <w:tcPr>
            <w:tcW w:w="300" w:type="dxa"/>
            <w:vAlign w:val="bottom"/>
            <w:shd w:val="clear" w:color="auto" w:fill="E2EEF6"/>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1,282.7</w:t>
            </w:r>
          </w:p>
        </w:tc>
        <w:tc>
          <w:tcPr>
            <w:tcW w:w="180" w:type="dxa"/>
            <w:vAlign w:val="bottom"/>
            <w:shd w:val="clear" w:color="auto" w:fill="E2EEF6"/>
          </w:tcPr>
          <w:p>
            <w:pPr>
              <w:spacing w:after="0"/>
              <w:rPr>
                <w:sz w:val="20"/>
                <w:szCs w:val="20"/>
                <w:color w:val="auto"/>
              </w:rPr>
            </w:pPr>
          </w:p>
        </w:tc>
        <w:tc>
          <w:tcPr>
            <w:tcW w:w="360" w:type="dxa"/>
            <w:vAlign w:val="bottom"/>
            <w:gridSpan w:val="2"/>
            <w:shd w:val="clear" w:color="auto" w:fill="E2EEF6"/>
          </w:tcPr>
          <w:p>
            <w:pPr>
              <w:jc w:val="right"/>
              <w:ind w:right="133"/>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E2EEF6"/>
          </w:tcPr>
          <w:p>
            <w:pPr>
              <w:jc w:val="right"/>
              <w:ind w:right="240"/>
              <w:spacing w:after="0"/>
              <w:rPr>
                <w:sz w:val="20"/>
                <w:szCs w:val="20"/>
                <w:color w:val="auto"/>
              </w:rPr>
            </w:pPr>
            <w:r>
              <w:rPr>
                <w:rFonts w:ascii="Arial" w:cs="Arial" w:eastAsia="Arial" w:hAnsi="Arial"/>
                <w:sz w:val="17"/>
                <w:szCs w:val="17"/>
                <w:color w:val="auto"/>
              </w:rPr>
              <w:t>1,052.1</w:t>
            </w:r>
          </w:p>
        </w:tc>
        <w:tc>
          <w:tcPr>
            <w:tcW w:w="280" w:type="dxa"/>
            <w:vAlign w:val="bottom"/>
            <w:shd w:val="clear" w:color="auto" w:fill="E2EEF6"/>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2EEF6"/>
          </w:tcPr>
          <w:p>
            <w:pPr>
              <w:jc w:val="right"/>
              <w:spacing w:after="0"/>
              <w:rPr>
                <w:sz w:val="20"/>
                <w:szCs w:val="20"/>
                <w:color w:val="auto"/>
              </w:rPr>
            </w:pPr>
            <w:r>
              <w:rPr>
                <w:rFonts w:ascii="Arial" w:cs="Arial" w:eastAsia="Arial" w:hAnsi="Arial"/>
                <w:sz w:val="17"/>
                <w:szCs w:val="17"/>
                <w:color w:val="auto"/>
              </w:rPr>
              <w:t>230.6</w:t>
            </w:r>
          </w:p>
        </w:tc>
        <w:tc>
          <w:tcPr>
            <w:tcW w:w="22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380" w:type="dxa"/>
            <w:vAlign w:val="bottom"/>
            <w:gridSpan w:val="2"/>
            <w:shd w:val="clear" w:color="auto" w:fill="E2EEF6"/>
          </w:tcPr>
          <w:p>
            <w:pPr>
              <w:jc w:val="right"/>
              <w:ind w:right="60"/>
              <w:spacing w:after="0"/>
              <w:rPr>
                <w:sz w:val="20"/>
                <w:szCs w:val="20"/>
                <w:color w:val="auto"/>
              </w:rPr>
            </w:pPr>
            <w:r>
              <w:rPr>
                <w:rFonts w:ascii="Arial" w:cs="Arial" w:eastAsia="Arial" w:hAnsi="Arial"/>
                <w:sz w:val="17"/>
                <w:szCs w:val="17"/>
                <w:color w:val="auto"/>
              </w:rPr>
              <w:t>22%</w:t>
            </w:r>
          </w:p>
        </w:tc>
      </w:tr>
      <w:tr>
        <w:trPr>
          <w:trHeight w:val="235"/>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Other revenues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75.2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78.6</w:t>
            </w:r>
          </w:p>
        </w:tc>
        <w:tc>
          <w:tcPr>
            <w:tcW w:w="2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(3.4)</w:t>
            </w:r>
          </w:p>
        </w:tc>
        <w:tc>
          <w:tcPr>
            <w:tcW w:w="18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(4)%</w:t>
            </w: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0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1,357.9</w:t>
            </w:r>
          </w:p>
        </w:tc>
        <w:tc>
          <w:tcPr>
            <w:tcW w:w="180" w:type="dxa"/>
            <w:vAlign w:val="bottom"/>
            <w:shd w:val="clear" w:color="auto" w:fill="E2EEF6"/>
          </w:tcPr>
          <w:p>
            <w:pPr>
              <w:spacing w:after="0"/>
              <w:rPr>
                <w:sz w:val="19"/>
                <w:szCs w:val="19"/>
                <w:color w:val="auto"/>
              </w:rPr>
            </w:pPr>
          </w:p>
        </w:tc>
        <w:tc>
          <w:tcPr>
            <w:tcW w:w="40" w:type="dxa"/>
            <w:vAlign w:val="bottom"/>
            <w:shd w:val="clear" w:color="auto" w:fill="E2EEF6"/>
          </w:tcPr>
          <w:p>
            <w:pPr>
              <w:spacing w:after="0"/>
              <w:rPr>
                <w:sz w:val="19"/>
                <w:szCs w:val="19"/>
                <w:color w:val="auto"/>
              </w:rPr>
            </w:pPr>
          </w:p>
        </w:tc>
        <w:tc>
          <w:tcPr>
            <w:tcW w:w="320" w:type="dxa"/>
            <w:vAlign w:val="bottom"/>
            <w:shd w:val="clear" w:color="auto" w:fill="E2EEF6"/>
          </w:tcPr>
          <w:p>
            <w:pPr>
              <w:spacing w:after="0"/>
              <w:rPr>
                <w:sz w:val="19"/>
                <w:szCs w:val="19"/>
                <w:color w:val="auto"/>
              </w:rPr>
            </w:pPr>
          </w:p>
        </w:tc>
        <w:tc>
          <w:tcPr>
            <w:tcW w:w="1280" w:type="dxa"/>
            <w:vAlign w:val="bottom"/>
            <w:gridSpan w:val="2"/>
            <w:shd w:val="clear" w:color="auto" w:fill="E2EEF6"/>
          </w:tcPr>
          <w:p>
            <w:pPr>
              <w:jc w:val="right"/>
              <w:ind w:right="240"/>
              <w:spacing w:after="0"/>
              <w:rPr>
                <w:sz w:val="20"/>
                <w:szCs w:val="20"/>
                <w:color w:val="auto"/>
              </w:rPr>
            </w:pPr>
            <w:r>
              <w:rPr>
                <w:rFonts w:ascii="Arial" w:cs="Arial" w:eastAsia="Arial" w:hAnsi="Arial"/>
                <w:sz w:val="17"/>
                <w:szCs w:val="17"/>
                <w:color w:val="auto"/>
              </w:rPr>
              <w:t>1,130.7</w:t>
            </w:r>
          </w:p>
        </w:tc>
        <w:tc>
          <w:tcPr>
            <w:tcW w:w="280" w:type="dxa"/>
            <w:vAlign w:val="bottom"/>
            <w:shd w:val="clear" w:color="auto" w:fill="E2EEF6"/>
          </w:tcPr>
          <w:p>
            <w:pPr>
              <w:spacing w:after="0"/>
              <w:rPr>
                <w:sz w:val="19"/>
                <w:szCs w:val="19"/>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7"/>
                <w:szCs w:val="17"/>
                <w:color w:val="auto"/>
              </w:rPr>
              <w:t>227.2</w:t>
            </w:r>
          </w:p>
        </w:tc>
        <w:tc>
          <w:tcPr>
            <w:tcW w:w="22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380" w:type="dxa"/>
            <w:vAlign w:val="bottom"/>
            <w:gridSpan w:val="2"/>
            <w:shd w:val="clear" w:color="auto" w:fill="E2EEF6"/>
          </w:tcPr>
          <w:p>
            <w:pPr>
              <w:jc w:val="right"/>
              <w:ind w:right="60"/>
              <w:spacing w:after="0"/>
              <w:rPr>
                <w:sz w:val="20"/>
                <w:szCs w:val="20"/>
                <w:color w:val="auto"/>
              </w:rPr>
            </w:pPr>
            <w:r>
              <w:rPr>
                <w:rFonts w:ascii="Arial" w:cs="Arial" w:eastAsia="Arial" w:hAnsi="Arial"/>
                <w:sz w:val="17"/>
                <w:szCs w:val="17"/>
                <w:color w:val="auto"/>
              </w:rPr>
              <w:t>20%</w:t>
            </w:r>
          </w:p>
        </w:tc>
      </w:tr>
      <w:tr>
        <w:trPr>
          <w:trHeight w:val="235"/>
        </w:trPr>
        <w:tc>
          <w:tcPr>
            <w:tcW w:w="5100" w:type="dxa"/>
            <w:vAlign w:val="bottom"/>
            <w:gridSpan w:val="2"/>
          </w:tcPr>
          <w:p>
            <w:pPr>
              <w:spacing w:after="0"/>
              <w:rPr>
                <w:sz w:val="20"/>
                <w:szCs w:val="20"/>
                <w:color w:val="auto"/>
              </w:rPr>
            </w:pPr>
            <w:r>
              <w:rPr>
                <w:rFonts w:ascii="Arial" w:cs="Arial" w:eastAsia="Arial" w:hAnsi="Arial"/>
                <w:sz w:val="17"/>
                <w:szCs w:val="17"/>
                <w:color w:val="auto"/>
              </w:rPr>
              <w:t>Operating and maintenance expense</w:t>
            </w:r>
          </w:p>
        </w:tc>
        <w:tc>
          <w:tcPr>
            <w:tcW w:w="3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(827.5)</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(671.3)</w:t>
            </w:r>
          </w:p>
        </w:tc>
        <w:tc>
          <w:tcPr>
            <w:tcW w:w="2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(156.2)</w:t>
            </w:r>
          </w:p>
        </w:tc>
        <w:tc>
          <w:tcPr>
            <w:tcW w:w="18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23%</w:t>
            </w:r>
          </w:p>
        </w:tc>
      </w:tr>
      <w:tr>
        <w:trPr>
          <w:trHeight w:val="236"/>
        </w:trPr>
        <w:tc>
          <w:tcPr>
            <w:tcW w:w="20" w:type="dxa"/>
            <w:vAlign w:val="bottom"/>
          </w:tcPr>
          <w:p>
            <w:pPr>
              <w:spacing w:after="0"/>
              <w:rPr>
                <w:sz w:val="20"/>
                <w:szCs w:val="20"/>
                <w:color w:val="auto"/>
              </w:rPr>
            </w:pPr>
          </w:p>
        </w:tc>
        <w:tc>
          <w:tcPr>
            <w:tcW w:w="5080" w:type="dxa"/>
            <w:vAlign w:val="bottom"/>
            <w:shd w:val="clear" w:color="auto" w:fill="E2EEF6"/>
          </w:tcPr>
          <w:p>
            <w:pPr>
              <w:spacing w:after="0"/>
              <w:rPr>
                <w:sz w:val="20"/>
                <w:szCs w:val="20"/>
                <w:color w:val="auto"/>
              </w:rPr>
            </w:pPr>
            <w:r>
              <w:rPr>
                <w:rFonts w:ascii="Arial" w:cs="Arial" w:eastAsia="Arial" w:hAnsi="Arial"/>
                <w:sz w:val="17"/>
                <w:szCs w:val="17"/>
                <w:color w:val="auto"/>
              </w:rPr>
              <w:t>Depreciation</w:t>
            </w:r>
          </w:p>
        </w:tc>
        <w:tc>
          <w:tcPr>
            <w:tcW w:w="300" w:type="dxa"/>
            <w:vAlign w:val="bottom"/>
            <w:shd w:val="clear" w:color="auto" w:fill="E2EEF6"/>
          </w:tcPr>
          <w:p>
            <w:pPr>
              <w:spacing w:after="0"/>
              <w:rPr>
                <w:sz w:val="20"/>
                <w:szCs w:val="20"/>
                <w:color w:val="auto"/>
              </w:rPr>
            </w:pPr>
          </w:p>
        </w:tc>
        <w:tc>
          <w:tcPr>
            <w:tcW w:w="1240" w:type="dxa"/>
            <w:vAlign w:val="bottom"/>
            <w:gridSpan w:val="2"/>
            <w:shd w:val="clear" w:color="auto" w:fill="E2EEF6"/>
          </w:tcPr>
          <w:p>
            <w:pPr>
              <w:jc w:val="right"/>
              <w:ind w:right="120"/>
              <w:spacing w:after="0"/>
              <w:rPr>
                <w:sz w:val="20"/>
                <w:szCs w:val="20"/>
                <w:color w:val="auto"/>
              </w:rPr>
            </w:pPr>
            <w:r>
              <w:rPr>
                <w:rFonts w:ascii="Arial" w:cs="Arial" w:eastAsia="Arial" w:hAnsi="Arial"/>
                <w:sz w:val="17"/>
                <w:szCs w:val="17"/>
                <w:color w:val="auto"/>
              </w:rPr>
              <w:t>(201.9)</w:t>
            </w:r>
          </w:p>
        </w:tc>
        <w:tc>
          <w:tcPr>
            <w:tcW w:w="40" w:type="dxa"/>
            <w:vAlign w:val="bottom"/>
            <w:shd w:val="clear" w:color="auto" w:fill="E2EEF6"/>
          </w:tcPr>
          <w:p>
            <w:pPr>
              <w:spacing w:after="0"/>
              <w:rPr>
                <w:sz w:val="20"/>
                <w:szCs w:val="20"/>
                <w:color w:val="auto"/>
              </w:rPr>
            </w:pPr>
          </w:p>
        </w:tc>
        <w:tc>
          <w:tcPr>
            <w:tcW w:w="320" w:type="dxa"/>
            <w:vAlign w:val="bottom"/>
            <w:shd w:val="clear" w:color="auto" w:fill="E2EEF6"/>
          </w:tcPr>
          <w:p>
            <w:pPr>
              <w:spacing w:after="0"/>
              <w:rPr>
                <w:sz w:val="20"/>
                <w:szCs w:val="20"/>
                <w:color w:val="auto"/>
              </w:rPr>
            </w:pPr>
          </w:p>
        </w:tc>
        <w:tc>
          <w:tcPr>
            <w:tcW w:w="1280" w:type="dxa"/>
            <w:vAlign w:val="bottom"/>
            <w:gridSpan w:val="2"/>
            <w:shd w:val="clear" w:color="auto" w:fill="E2EEF6"/>
          </w:tcPr>
          <w:p>
            <w:pPr>
              <w:jc w:val="right"/>
              <w:ind w:right="180"/>
              <w:spacing w:after="0"/>
              <w:rPr>
                <w:sz w:val="20"/>
                <w:szCs w:val="20"/>
                <w:color w:val="auto"/>
              </w:rPr>
            </w:pPr>
            <w:r>
              <w:rPr>
                <w:rFonts w:ascii="Arial" w:cs="Arial" w:eastAsia="Arial" w:hAnsi="Arial"/>
                <w:sz w:val="17"/>
                <w:szCs w:val="17"/>
                <w:color w:val="auto"/>
              </w:rPr>
              <w:t>(216.4)</w:t>
            </w:r>
          </w:p>
        </w:tc>
        <w:tc>
          <w:tcPr>
            <w:tcW w:w="280" w:type="dxa"/>
            <w:vAlign w:val="bottom"/>
            <w:shd w:val="clear" w:color="auto" w:fill="E2EEF6"/>
          </w:tcPr>
          <w:p>
            <w:pPr>
              <w:spacing w:after="0"/>
              <w:rPr>
                <w:sz w:val="20"/>
                <w:szCs w:val="20"/>
                <w:color w:val="auto"/>
              </w:rPr>
            </w:pPr>
          </w:p>
        </w:tc>
        <w:tc>
          <w:tcPr>
            <w:tcW w:w="130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14.5</w:t>
            </w:r>
          </w:p>
        </w:tc>
        <w:tc>
          <w:tcPr>
            <w:tcW w:w="180" w:type="dxa"/>
            <w:vAlign w:val="bottom"/>
            <w:shd w:val="clear" w:color="auto" w:fill="E2EEF6"/>
          </w:tcPr>
          <w:p>
            <w:pPr>
              <w:spacing w:after="0"/>
              <w:rPr>
                <w:sz w:val="20"/>
                <w:szCs w:val="20"/>
                <w:color w:val="auto"/>
              </w:rPr>
            </w:pPr>
          </w:p>
        </w:tc>
        <w:tc>
          <w:tcPr>
            <w:tcW w:w="138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(7)%</w:t>
            </w:r>
          </w:p>
        </w:tc>
      </w:tr>
      <w:tr>
        <w:trPr>
          <w:trHeight w:val="235"/>
        </w:trPr>
        <w:tc>
          <w:tcPr>
            <w:tcW w:w="5100" w:type="dxa"/>
            <w:vAlign w:val="bottom"/>
            <w:gridSpan w:val="2"/>
          </w:tcPr>
          <w:p>
            <w:pPr>
              <w:spacing w:after="0"/>
              <w:rPr>
                <w:sz w:val="20"/>
                <w:szCs w:val="20"/>
                <w:color w:val="auto"/>
              </w:rPr>
            </w:pPr>
            <w:r>
              <w:rPr>
                <w:rFonts w:ascii="Arial" w:cs="Arial" w:eastAsia="Arial" w:hAnsi="Arial"/>
                <w:sz w:val="17"/>
                <w:szCs w:val="17"/>
                <w:color w:val="auto"/>
              </w:rPr>
              <w:t>Gain from sale of assets, net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35.7</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23.0</w:t>
            </w:r>
          </w:p>
        </w:tc>
        <w:tc>
          <w:tcPr>
            <w:tcW w:w="2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12.7</w:t>
            </w:r>
          </w:p>
        </w:tc>
        <w:tc>
          <w:tcPr>
            <w:tcW w:w="18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55%</w:t>
            </w:r>
          </w:p>
        </w:tc>
      </w:tr>
      <w:tr>
        <w:trPr>
          <w:trHeight w:val="20"/>
        </w:trPr>
        <w:tc>
          <w:tcPr>
            <w:tcW w:w="51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5080" w:type="dxa"/>
            <w:vAlign w:val="bottom"/>
            <w:shd w:val="clear" w:color="auto" w:fill="E2EEF6"/>
          </w:tcPr>
          <w:p>
            <w:pPr>
              <w:spacing w:after="0"/>
              <w:rPr>
                <w:sz w:val="20"/>
                <w:szCs w:val="20"/>
                <w:color w:val="auto"/>
              </w:rPr>
            </w:pPr>
            <w:r>
              <w:rPr>
                <w:rFonts w:ascii="Arial" w:cs="Arial" w:eastAsia="Arial" w:hAnsi="Arial"/>
                <w:sz w:val="17"/>
                <w:szCs w:val="17"/>
                <w:color w:val="auto"/>
              </w:rPr>
              <w:t>Operating income before general and administrative expense</w:t>
            </w:r>
          </w:p>
        </w:tc>
        <w:tc>
          <w:tcPr>
            <w:tcW w:w="300" w:type="dxa"/>
            <w:vAlign w:val="bottom"/>
            <w:shd w:val="clear" w:color="auto" w:fill="E2EEF6"/>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E2EEF6"/>
          </w:tcPr>
          <w:p>
            <w:pPr>
              <w:jc w:val="right"/>
              <w:spacing w:after="0"/>
              <w:rPr>
                <w:sz w:val="20"/>
                <w:szCs w:val="20"/>
                <w:color w:val="auto"/>
              </w:rPr>
            </w:pPr>
            <w:r>
              <w:rPr>
                <w:rFonts w:ascii="Arial" w:cs="Arial" w:eastAsia="Arial" w:hAnsi="Arial"/>
                <w:sz w:val="17"/>
                <w:szCs w:val="17"/>
                <w:color w:val="auto"/>
              </w:rPr>
              <w:t>364.2</w:t>
            </w:r>
          </w:p>
        </w:tc>
        <w:tc>
          <w:tcPr>
            <w:tcW w:w="180" w:type="dxa"/>
            <w:vAlign w:val="bottom"/>
            <w:shd w:val="clear" w:color="auto" w:fill="E2EEF6"/>
          </w:tcPr>
          <w:p>
            <w:pPr>
              <w:spacing w:after="0"/>
              <w:rPr>
                <w:sz w:val="23"/>
                <w:szCs w:val="23"/>
                <w:color w:val="auto"/>
              </w:rPr>
            </w:pPr>
          </w:p>
        </w:tc>
        <w:tc>
          <w:tcPr>
            <w:tcW w:w="40" w:type="dxa"/>
            <w:vAlign w:val="bottom"/>
            <w:shd w:val="clear" w:color="auto" w:fill="E2EEF6"/>
          </w:tcPr>
          <w:p>
            <w:pPr>
              <w:spacing w:after="0"/>
              <w:rPr>
                <w:sz w:val="23"/>
                <w:szCs w:val="23"/>
                <w:color w:val="auto"/>
              </w:rPr>
            </w:pPr>
          </w:p>
        </w:tc>
        <w:tc>
          <w:tcPr>
            <w:tcW w:w="320" w:type="dxa"/>
            <w:vAlign w:val="bottom"/>
            <w:shd w:val="clear" w:color="auto" w:fill="E2EEF6"/>
          </w:tcPr>
          <w:p>
            <w:pPr>
              <w:jc w:val="right"/>
              <w:ind w:right="133"/>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E2EEF6"/>
          </w:tcPr>
          <w:p>
            <w:pPr>
              <w:jc w:val="right"/>
              <w:ind w:right="240"/>
              <w:spacing w:after="0"/>
              <w:rPr>
                <w:sz w:val="20"/>
                <w:szCs w:val="20"/>
                <w:color w:val="auto"/>
              </w:rPr>
            </w:pPr>
            <w:r>
              <w:rPr>
                <w:rFonts w:ascii="Arial" w:cs="Arial" w:eastAsia="Arial" w:hAnsi="Arial"/>
                <w:sz w:val="17"/>
                <w:szCs w:val="17"/>
                <w:color w:val="auto"/>
              </w:rPr>
              <w:t>266.0</w:t>
            </w:r>
          </w:p>
        </w:tc>
        <w:tc>
          <w:tcPr>
            <w:tcW w:w="280" w:type="dxa"/>
            <w:vAlign w:val="bottom"/>
            <w:shd w:val="clear" w:color="auto" w:fill="E2EEF6"/>
          </w:tcPr>
          <w:p>
            <w:pPr>
              <w:jc w:val="right"/>
              <w:ind w:right="12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98.2</w:t>
            </w:r>
          </w:p>
        </w:tc>
        <w:tc>
          <w:tcPr>
            <w:tcW w:w="180" w:type="dxa"/>
            <w:vAlign w:val="bottom"/>
            <w:shd w:val="clear" w:color="auto" w:fill="E2EEF6"/>
          </w:tcPr>
          <w:p>
            <w:pPr>
              <w:spacing w:after="0"/>
              <w:rPr>
                <w:sz w:val="23"/>
                <w:szCs w:val="23"/>
                <w:color w:val="auto"/>
              </w:rPr>
            </w:pPr>
          </w:p>
        </w:tc>
        <w:tc>
          <w:tcPr>
            <w:tcW w:w="1380" w:type="dxa"/>
            <w:vAlign w:val="bottom"/>
            <w:gridSpan w:val="2"/>
            <w:shd w:val="clear" w:color="auto" w:fill="E2EEF6"/>
          </w:tcPr>
          <w:p>
            <w:pPr>
              <w:jc w:val="right"/>
              <w:ind w:right="60"/>
              <w:spacing w:after="0"/>
              <w:rPr>
                <w:sz w:val="20"/>
                <w:szCs w:val="20"/>
                <w:color w:val="auto"/>
              </w:rPr>
            </w:pPr>
            <w:r>
              <w:rPr>
                <w:rFonts w:ascii="Arial" w:cs="Arial" w:eastAsia="Arial" w:hAnsi="Arial"/>
                <w:sz w:val="17"/>
                <w:szCs w:val="17"/>
                <w:color w:val="auto"/>
              </w:rPr>
              <w:t>37%</w:t>
            </w:r>
          </w:p>
        </w:tc>
      </w:tr>
      <w:tr>
        <w:trPr>
          <w:trHeight w:val="190"/>
        </w:trPr>
        <w:tc>
          <w:tcPr>
            <w:tcW w:w="20" w:type="dxa"/>
            <w:vAlign w:val="bottom"/>
          </w:tcPr>
          <w:p>
            <w:pPr>
              <w:spacing w:after="0"/>
              <w:rPr>
                <w:sz w:val="16"/>
                <w:szCs w:val="16"/>
                <w:color w:val="auto"/>
              </w:rPr>
            </w:pPr>
          </w:p>
        </w:tc>
        <w:tc>
          <w:tcPr>
            <w:tcW w:w="5080" w:type="dxa"/>
            <w:vAlign w:val="bottom"/>
            <w:tcBorders>
              <w:top w:val="single" w:sz="8" w:color="E2EEF6"/>
            </w:tcBorders>
          </w:tcPr>
          <w:p>
            <w:pPr>
              <w:spacing w:after="0" w:line="190" w:lineRule="exact"/>
              <w:rPr>
                <w:sz w:val="20"/>
                <w:szCs w:val="20"/>
                <w:color w:val="auto"/>
              </w:rPr>
            </w:pPr>
            <w:r>
              <w:rPr>
                <w:rFonts w:ascii="Arial" w:cs="Arial" w:eastAsia="Arial" w:hAnsi="Arial"/>
                <w:sz w:val="17"/>
                <w:szCs w:val="17"/>
                <w:color w:val="auto"/>
              </w:rPr>
              <w:t>_________________</w:t>
            </w: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80" w:type="dxa"/>
            <w:vAlign w:val="bottom"/>
            <w:tcBorders>
              <w:top w:val="single" w:sz="8" w:color="E2EEF6"/>
            </w:tcBorders>
          </w:tcPr>
          <w:p>
            <w:pPr>
              <w:spacing w:after="0"/>
              <w:rPr>
                <w:sz w:val="16"/>
                <w:szCs w:val="16"/>
                <w:color w:val="auto"/>
              </w:rPr>
            </w:pPr>
          </w:p>
        </w:tc>
        <w:tc>
          <w:tcPr>
            <w:tcW w:w="40" w:type="dxa"/>
            <w:vAlign w:val="bottom"/>
            <w:tcBorders>
              <w:top w:val="single" w:sz="8" w:color="E2EEF6"/>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E2EEF6"/>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E2EEF6"/>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0" w:type="dxa"/>
            <w:vAlign w:val="bottom"/>
            <w:tcBorders>
              <w:top w:val="single" w:sz="8" w:color="E2EEF6"/>
            </w:tcBorders>
          </w:tcPr>
          <w:p>
            <w:pPr>
              <w:spacing w:after="0"/>
              <w:rPr>
                <w:sz w:val="16"/>
                <w:szCs w:val="16"/>
                <w:color w:val="auto"/>
              </w:rPr>
            </w:pPr>
          </w:p>
        </w:tc>
      </w:tr>
    </w:tbl>
    <w:p>
      <w:pPr>
        <w:spacing w:after="0"/>
        <w:rPr>
          <w:sz w:val="20"/>
          <w:szCs w:val="20"/>
          <w:color w:val="auto"/>
        </w:rPr>
      </w:pPr>
      <w:r>
        <w:rPr>
          <w:rFonts w:ascii="Arial" w:cs="Arial" w:eastAsia="Arial" w:hAnsi="Arial"/>
          <w:sz w:val="17"/>
          <w:szCs w:val="17"/>
          <w:color w:val="auto"/>
        </w:rPr>
        <w:t>“N/A” means not applicable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“N/M” means not meaningful</w:t>
      </w:r>
    </w:p>
    <w:p>
      <w:pPr>
        <w:spacing w:after="0" w:line="263"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 xml:space="preserve">This segment’s contract drilling revenues increased by $230.6 million primarily due to increased activity resulting in higher average dayrates and utilization and $3.5 million related to equipment rentals on the </w:t>
      </w:r>
      <w:r>
        <w:rPr>
          <w:rFonts w:ascii="Arial" w:cs="Arial" w:eastAsia="Arial" w:hAnsi="Arial"/>
          <w:sz w:val="17"/>
          <w:szCs w:val="17"/>
          <w:i w:val="1"/>
          <w:iCs w:val="1"/>
          <w:color w:val="auto"/>
        </w:rPr>
        <w:t>Jim Cunningham</w:t>
      </w:r>
      <w:r>
        <w:rPr>
          <w:rFonts w:ascii="Arial" w:cs="Arial" w:eastAsia="Arial" w:hAnsi="Arial"/>
          <w:sz w:val="17"/>
          <w:szCs w:val="17"/>
          <w:color w:val="auto"/>
        </w:rPr>
        <w:t xml:space="preserve"> following its well control incident that resulted in a fire while operating offshore Egypt in August 2004. Partially offsetting these increases was a decrease of approximately $13.7 million resulting from the 2004 favorable settlement of the 2003 </w:t>
      </w:r>
      <w:r>
        <w:rPr>
          <w:rFonts w:ascii="Arial" w:cs="Arial" w:eastAsia="Arial" w:hAnsi="Arial"/>
          <w:sz w:val="17"/>
          <w:szCs w:val="17"/>
          <w:i w:val="1"/>
          <w:iCs w:val="1"/>
          <w:color w:val="auto"/>
        </w:rPr>
        <w:t xml:space="preserve">Discoverer Enterprise </w:t>
      </w:r>
      <w:r>
        <w:rPr>
          <w:rFonts w:ascii="Arial" w:cs="Arial" w:eastAsia="Arial" w:hAnsi="Arial"/>
          <w:sz w:val="17"/>
          <w:szCs w:val="17"/>
          <w:color w:val="auto"/>
        </w:rPr>
        <w:t>riser separation incident.</w:t>
      </w:r>
    </w:p>
    <w:p>
      <w:pPr>
        <w:spacing w:after="0" w:line="229" w:lineRule="exact"/>
        <w:rPr>
          <w:sz w:val="20"/>
          <w:szCs w:val="20"/>
          <w:color w:val="auto"/>
        </w:rPr>
      </w:pPr>
    </w:p>
    <w:p>
      <w:pPr>
        <w:jc w:val="both"/>
        <w:ind w:firstLine="628"/>
        <w:spacing w:after="0" w:line="321" w:lineRule="auto"/>
        <w:rPr>
          <w:sz w:val="20"/>
          <w:szCs w:val="20"/>
          <w:color w:val="auto"/>
        </w:rPr>
      </w:pPr>
      <w:r>
        <w:rPr>
          <w:rFonts w:ascii="Arial" w:cs="Arial" w:eastAsia="Arial" w:hAnsi="Arial"/>
          <w:sz w:val="16"/>
          <w:szCs w:val="16"/>
          <w:color w:val="auto"/>
        </w:rPr>
        <w:t>Other revenues for the six months ended June 30, 2005 decreased $3.4 million primarily due to a $12.6 million decrease in integrated services revenue partially offset by compensation received in 2005 relating to a 2004 labor strike of $4.9 million and an increase of $5.8 million from client reimbursable revenue.</w:t>
      </w:r>
    </w:p>
    <w:p>
      <w:pPr>
        <w:spacing w:after="0" w:line="188" w:lineRule="exact"/>
        <w:rPr>
          <w:sz w:val="20"/>
          <w:szCs w:val="20"/>
          <w:color w:val="auto"/>
        </w:rPr>
      </w:pPr>
    </w:p>
    <w:p>
      <w:pPr>
        <w:jc w:val="both"/>
        <w:ind w:firstLine="628"/>
        <w:spacing w:after="0" w:line="285" w:lineRule="auto"/>
        <w:rPr>
          <w:sz w:val="20"/>
          <w:szCs w:val="20"/>
          <w:color w:val="auto"/>
        </w:rPr>
      </w:pPr>
      <w:r>
        <w:rPr>
          <w:rFonts w:ascii="Arial" w:cs="Arial" w:eastAsia="Arial" w:hAnsi="Arial"/>
          <w:sz w:val="16"/>
          <w:szCs w:val="16"/>
          <w:color w:val="auto"/>
        </w:rPr>
        <w:t xml:space="preserve">This segment’s operating and maintenance expenses increased by $156.2 million primarily from increased activity resulting in higher labor and rig maintenance costs and from additional costs related to the </w:t>
      </w:r>
      <w:r>
        <w:rPr>
          <w:rFonts w:ascii="Arial" w:cs="Arial" w:eastAsia="Arial" w:hAnsi="Arial"/>
          <w:sz w:val="16"/>
          <w:szCs w:val="16"/>
          <w:i w:val="1"/>
          <w:iCs w:val="1"/>
          <w:color w:val="auto"/>
        </w:rPr>
        <w:t>Jim Cunningham</w:t>
      </w:r>
      <w:r>
        <w:rPr>
          <w:rFonts w:ascii="Arial" w:cs="Arial" w:eastAsia="Arial" w:hAnsi="Arial"/>
          <w:sz w:val="16"/>
          <w:szCs w:val="16"/>
          <w:color w:val="auto"/>
        </w:rPr>
        <w:t xml:space="preserve"> well control incident. Operating and maintenance expenses also increased as a result of the favorable settlement in 2004 of a prior year </w:t>
      </w:r>
      <w:r>
        <w:rPr>
          <w:rFonts w:ascii="Arial" w:cs="Arial" w:eastAsia="Arial" w:hAnsi="Arial"/>
          <w:sz w:val="16"/>
          <w:szCs w:val="16"/>
          <w:i w:val="1"/>
          <w:iCs w:val="1"/>
          <w:color w:val="auto"/>
        </w:rPr>
        <w:t>Peregrine I</w:t>
      </w:r>
      <w:r>
        <w:rPr>
          <w:rFonts w:ascii="Arial" w:cs="Arial" w:eastAsia="Arial" w:hAnsi="Arial"/>
          <w:sz w:val="16"/>
          <w:szCs w:val="16"/>
          <w:color w:val="auto"/>
        </w:rPr>
        <w:t xml:space="preserve"> riser incident and a turnkey dispute with no comparable activity for the same period in 2005, insurance proceeds received in 2004 related to the 2003 </w:t>
      </w:r>
      <w:r>
        <w:rPr>
          <w:rFonts w:ascii="Arial" w:cs="Arial" w:eastAsia="Arial" w:hAnsi="Arial"/>
          <w:sz w:val="16"/>
          <w:szCs w:val="16"/>
          <w:i w:val="1"/>
          <w:iCs w:val="1"/>
          <w:color w:val="auto"/>
        </w:rPr>
        <w:t>Discoverer Enterprise</w:t>
      </w:r>
      <w:r>
        <w:rPr>
          <w:rFonts w:ascii="Arial" w:cs="Arial" w:eastAsia="Arial" w:hAnsi="Arial"/>
          <w:sz w:val="16"/>
          <w:szCs w:val="16"/>
          <w:color w:val="auto"/>
        </w:rPr>
        <w:t xml:space="preserve"> riser separation incident, which was partially offset by costs incurred in 2004 and a comparable settlement in 2005 and increased local personnel taxes related to stock option exercises and restricted stock vestings.</w:t>
      </w:r>
    </w:p>
    <w:p>
      <w:pPr>
        <w:spacing w:after="0" w:line="216"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The decrease in this segment’s depreciation expense was due primarily to extending the useful lives of four rigs, with original useful lives from 30 to 32 years to 35 years, and the reduction in depreciation on two rigs and certain other equipment that were substantially depreciated during 2004.</w:t>
      </w:r>
    </w:p>
    <w:p>
      <w:pPr>
        <w:spacing w:after="0" w:line="211"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 xml:space="preserve">During the six months ended June 30, 2005, this segment recognized net gains of $35.7 million related to the sale of the semisubmersible rig </w:t>
      </w:r>
      <w:r>
        <w:rPr>
          <w:rFonts w:ascii="Arial" w:cs="Arial" w:eastAsia="Arial" w:hAnsi="Arial"/>
          <w:sz w:val="17"/>
          <w:szCs w:val="17"/>
          <w:i w:val="1"/>
          <w:iCs w:val="1"/>
          <w:color w:val="auto"/>
        </w:rPr>
        <w:t>Sedco 600</w:t>
      </w:r>
      <w:r>
        <w:rPr>
          <w:rFonts w:ascii="Arial" w:cs="Arial" w:eastAsia="Arial" w:hAnsi="Arial"/>
          <w:sz w:val="17"/>
          <w:szCs w:val="17"/>
          <w:color w:val="auto"/>
        </w:rPr>
        <w:t xml:space="preserve">, the jackup rig </w:t>
      </w:r>
      <w:r>
        <w:rPr>
          <w:rFonts w:ascii="Arial" w:cs="Arial" w:eastAsia="Arial" w:hAnsi="Arial"/>
          <w:sz w:val="17"/>
          <w:szCs w:val="17"/>
          <w:i w:val="1"/>
          <w:iCs w:val="1"/>
          <w:color w:val="auto"/>
        </w:rPr>
        <w:t>Transocean Jupiter</w:t>
      </w:r>
      <w:r>
        <w:rPr>
          <w:rFonts w:ascii="Arial" w:cs="Arial" w:eastAsia="Arial" w:hAnsi="Arial"/>
          <w:sz w:val="17"/>
          <w:szCs w:val="17"/>
          <w:color w:val="auto"/>
        </w:rPr>
        <w:t xml:space="preserve">, a land rig and the sale of other assets. During the six months ended June 30, 2004, this segment recognized net gains of $23.0 million related to the sale of the semisubmersible rig </w:t>
      </w:r>
      <w:r>
        <w:rPr>
          <w:rFonts w:ascii="Arial" w:cs="Arial" w:eastAsia="Arial" w:hAnsi="Arial"/>
          <w:sz w:val="17"/>
          <w:szCs w:val="17"/>
          <w:i w:val="1"/>
          <w:iCs w:val="1"/>
          <w:color w:val="auto"/>
        </w:rPr>
        <w:t>Sedco 602</w:t>
      </w:r>
      <w:r>
        <w:rPr>
          <w:rFonts w:ascii="Arial" w:cs="Arial" w:eastAsia="Arial" w:hAnsi="Arial"/>
          <w:sz w:val="17"/>
          <w:szCs w:val="17"/>
          <w:color w:val="auto"/>
        </w:rPr>
        <w:t xml:space="preserve"> and the sale of other assets.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51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 to Form 10-Q</w:t>
              </w:r>
            </w:hyperlink>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37"/>
        </w:trPr>
        <w:tc>
          <w:tcPr>
            <w:tcW w:w="5100" w:type="dxa"/>
            <w:vAlign w:val="bottom"/>
            <w:gridSpan w:val="2"/>
          </w:tcPr>
          <w:p>
            <w:pPr>
              <w:spacing w:after="0"/>
              <w:rPr>
                <w:sz w:val="20"/>
                <w:szCs w:val="20"/>
                <w:color w:val="auto"/>
              </w:rPr>
            </w:pPr>
            <w:r>
              <w:rPr>
                <w:rFonts w:ascii="Arial" w:cs="Arial" w:eastAsia="Arial" w:hAnsi="Arial"/>
                <w:sz w:val="17"/>
                <w:szCs w:val="17"/>
                <w:i w:val="1"/>
                <w:iCs w:val="1"/>
                <w:color w:val="auto"/>
              </w:rPr>
              <w:t>Total Company Results of Operations</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97"/>
        </w:trPr>
        <w:tc>
          <w:tcPr>
            <w:tcW w:w="1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180" w:type="dxa"/>
            <w:vAlign w:val="bottom"/>
            <w:gridSpan w:val="7"/>
          </w:tcPr>
          <w:p>
            <w:pPr>
              <w:jc w:val="center"/>
              <w:ind w:right="240"/>
              <w:spacing w:after="0"/>
              <w:rPr>
                <w:sz w:val="20"/>
                <w:szCs w:val="20"/>
                <w:color w:val="auto"/>
              </w:rPr>
            </w:pPr>
            <w:r>
              <w:rPr>
                <w:rFonts w:ascii="Arial" w:cs="Arial" w:eastAsia="Arial" w:hAnsi="Arial"/>
                <w:sz w:val="17"/>
                <w:szCs w:val="17"/>
                <w:color w:val="auto"/>
                <w:w w:val="94"/>
              </w:rPr>
              <w:t>Six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2"/>
        </w:trPr>
        <w:tc>
          <w:tcPr>
            <w:tcW w:w="11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4"/>
          </w:tcPr>
          <w:p>
            <w:pPr>
              <w:jc w:val="center"/>
              <w:ind w:left="133"/>
              <w:spacing w:after="0"/>
              <w:rPr>
                <w:sz w:val="20"/>
                <w:szCs w:val="20"/>
                <w:color w:val="auto"/>
              </w:rPr>
            </w:pPr>
            <w:r>
              <w:rPr>
                <w:rFonts w:ascii="Arial" w:cs="Arial" w:eastAsia="Arial" w:hAnsi="Arial"/>
                <w:sz w:val="17"/>
                <w:szCs w:val="17"/>
                <w:color w:val="auto"/>
                <w:w w:val="88"/>
              </w:rPr>
              <w:t>June 30,</w:t>
            </w:r>
          </w:p>
        </w:tc>
        <w:tc>
          <w:tcPr>
            <w:tcW w:w="10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55"/>
        </w:trPr>
        <w:tc>
          <w:tcPr>
            <w:tcW w:w="11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2005</w:t>
            </w:r>
          </w:p>
        </w:tc>
        <w:tc>
          <w:tcPr>
            <w:tcW w:w="4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2004</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Change</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 Change</w:t>
            </w:r>
          </w:p>
        </w:tc>
        <w:tc>
          <w:tcPr>
            <w:tcW w:w="200" w:type="dxa"/>
            <w:vAlign w:val="bottom"/>
          </w:tcPr>
          <w:p>
            <w:pPr>
              <w:spacing w:after="0"/>
              <w:rPr>
                <w:sz w:val="22"/>
                <w:szCs w:val="22"/>
                <w:color w:val="auto"/>
              </w:rPr>
            </w:pPr>
          </w:p>
        </w:tc>
      </w:tr>
      <w:tr>
        <w:trPr>
          <w:trHeight w:val="228"/>
        </w:trPr>
        <w:tc>
          <w:tcPr>
            <w:tcW w:w="1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5"/>
          </w:tcPr>
          <w:p>
            <w:pPr>
              <w:jc w:val="right"/>
              <w:ind w:right="620"/>
              <w:spacing w:after="0"/>
              <w:rPr>
                <w:sz w:val="20"/>
                <w:szCs w:val="20"/>
                <w:color w:val="auto"/>
              </w:rPr>
            </w:pPr>
            <w:r>
              <w:rPr>
                <w:rFonts w:ascii="Arial" w:cs="Arial" w:eastAsia="Arial" w:hAnsi="Arial"/>
                <w:sz w:val="17"/>
                <w:szCs w:val="17"/>
                <w:color w:val="auto"/>
                <w:w w:val="98"/>
              </w:rPr>
              <w:t>(In millions, except % change)</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6"/>
        </w:trPr>
        <w:tc>
          <w:tcPr>
            <w:tcW w:w="11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5"/>
        </w:trPr>
        <w:tc>
          <w:tcPr>
            <w:tcW w:w="5100" w:type="dxa"/>
            <w:vAlign w:val="bottom"/>
            <w:gridSpan w:val="2"/>
            <w:shd w:val="clear" w:color="auto" w:fill="E2EEF6"/>
          </w:tcPr>
          <w:p>
            <w:pPr>
              <w:spacing w:after="0"/>
              <w:rPr>
                <w:sz w:val="20"/>
                <w:szCs w:val="20"/>
                <w:color w:val="auto"/>
              </w:rPr>
            </w:pPr>
            <w:r>
              <w:rPr>
                <w:rFonts w:ascii="Arial" w:cs="Arial" w:eastAsia="Arial" w:hAnsi="Arial"/>
                <w:sz w:val="17"/>
                <w:szCs w:val="17"/>
                <w:color w:val="auto"/>
              </w:rPr>
              <w:t>General and Administrative Expense</w:t>
            </w:r>
          </w:p>
        </w:tc>
        <w:tc>
          <w:tcPr>
            <w:tcW w:w="880" w:type="dxa"/>
            <w:vAlign w:val="bottom"/>
            <w:shd w:val="clear" w:color="auto" w:fill="E2EEF6"/>
          </w:tcPr>
          <w:p>
            <w:pPr>
              <w:jc w:val="right"/>
              <w:ind w:right="693"/>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36.1</w:t>
            </w:r>
          </w:p>
        </w:tc>
        <w:tc>
          <w:tcPr>
            <w:tcW w:w="380" w:type="dxa"/>
            <w:vAlign w:val="bottom"/>
            <w:gridSpan w:val="2"/>
            <w:shd w:val="clear" w:color="auto" w:fill="E2EEF6"/>
          </w:tcPr>
          <w:p>
            <w:pPr>
              <w:jc w:val="right"/>
              <w:ind w:right="20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E2EEF6"/>
          </w:tcPr>
          <w:p>
            <w:pPr>
              <w:jc w:val="right"/>
              <w:ind w:right="240"/>
              <w:spacing w:after="0"/>
              <w:rPr>
                <w:sz w:val="20"/>
                <w:szCs w:val="20"/>
                <w:color w:val="auto"/>
              </w:rPr>
            </w:pPr>
            <w:r>
              <w:rPr>
                <w:rFonts w:ascii="Arial" w:cs="Arial" w:eastAsia="Arial" w:hAnsi="Arial"/>
                <w:sz w:val="17"/>
                <w:szCs w:val="17"/>
                <w:color w:val="auto"/>
              </w:rPr>
              <w:t>29.1</w:t>
            </w:r>
          </w:p>
        </w:tc>
        <w:tc>
          <w:tcPr>
            <w:tcW w:w="240" w:type="dxa"/>
            <w:vAlign w:val="bottom"/>
            <w:shd w:val="clear" w:color="auto" w:fill="E2EEF6"/>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2EEF6"/>
          </w:tcPr>
          <w:p>
            <w:pPr>
              <w:jc w:val="right"/>
              <w:spacing w:after="0"/>
              <w:rPr>
                <w:sz w:val="20"/>
                <w:szCs w:val="20"/>
                <w:color w:val="auto"/>
              </w:rPr>
            </w:pPr>
            <w:r>
              <w:rPr>
                <w:rFonts w:ascii="Arial" w:cs="Arial" w:eastAsia="Arial" w:hAnsi="Arial"/>
                <w:sz w:val="17"/>
                <w:szCs w:val="17"/>
                <w:color w:val="auto"/>
              </w:rPr>
              <w:t>7.0</w:t>
            </w:r>
          </w:p>
        </w:tc>
        <w:tc>
          <w:tcPr>
            <w:tcW w:w="220" w:type="dxa"/>
            <w:vAlign w:val="bottom"/>
            <w:shd w:val="clear" w:color="auto" w:fill="E2EEF6"/>
          </w:tcPr>
          <w:p>
            <w:pPr>
              <w:spacing w:after="0"/>
              <w:rPr>
                <w:sz w:val="20"/>
                <w:szCs w:val="20"/>
                <w:color w:val="auto"/>
              </w:rPr>
            </w:pPr>
          </w:p>
        </w:tc>
        <w:tc>
          <w:tcPr>
            <w:tcW w:w="1560" w:type="dxa"/>
            <w:vAlign w:val="bottom"/>
            <w:gridSpan w:val="2"/>
            <w:shd w:val="clear" w:color="auto" w:fill="E2EEF6"/>
          </w:tcPr>
          <w:p>
            <w:pPr>
              <w:jc w:val="right"/>
              <w:ind w:right="60"/>
              <w:spacing w:after="0"/>
              <w:rPr>
                <w:sz w:val="20"/>
                <w:szCs w:val="20"/>
                <w:color w:val="auto"/>
              </w:rPr>
            </w:pPr>
            <w:r>
              <w:rPr>
                <w:rFonts w:ascii="Arial" w:cs="Arial" w:eastAsia="Arial" w:hAnsi="Arial"/>
                <w:sz w:val="17"/>
                <w:szCs w:val="17"/>
                <w:color w:val="auto"/>
              </w:rPr>
              <w:t>24%</w:t>
            </w:r>
          </w:p>
        </w:tc>
      </w:tr>
      <w:tr>
        <w:trPr>
          <w:trHeight w:val="235"/>
        </w:trPr>
        <w:tc>
          <w:tcPr>
            <w:tcW w:w="5100" w:type="dxa"/>
            <w:vAlign w:val="bottom"/>
            <w:gridSpan w:val="2"/>
          </w:tcPr>
          <w:p>
            <w:pPr>
              <w:spacing w:after="0"/>
              <w:rPr>
                <w:sz w:val="20"/>
                <w:szCs w:val="20"/>
                <w:color w:val="auto"/>
              </w:rPr>
            </w:pPr>
            <w:r>
              <w:rPr>
                <w:rFonts w:ascii="Arial" w:cs="Arial" w:eastAsia="Arial" w:hAnsi="Arial"/>
                <w:sz w:val="17"/>
                <w:szCs w:val="17"/>
                <w:color w:val="auto"/>
              </w:rPr>
              <w:t>Other (Income) Expense, net</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6"/>
        </w:trPr>
        <w:tc>
          <w:tcPr>
            <w:tcW w:w="5100" w:type="dxa"/>
            <w:vAlign w:val="bottom"/>
            <w:gridSpan w:val="2"/>
            <w:shd w:val="clear" w:color="auto" w:fill="E2EEF6"/>
          </w:tcPr>
          <w:p>
            <w:pPr>
              <w:ind w:left="160"/>
              <w:spacing w:after="0"/>
              <w:rPr>
                <w:sz w:val="20"/>
                <w:szCs w:val="20"/>
                <w:color w:val="auto"/>
              </w:rPr>
            </w:pPr>
            <w:r>
              <w:rPr>
                <w:rFonts w:ascii="Arial" w:cs="Arial" w:eastAsia="Arial" w:hAnsi="Arial"/>
                <w:sz w:val="17"/>
                <w:szCs w:val="17"/>
                <w:color w:val="auto"/>
              </w:rPr>
              <w:t>Equity in earnings of unconsolidated affiliates</w:t>
            </w:r>
          </w:p>
        </w:tc>
        <w:tc>
          <w:tcPr>
            <w:tcW w:w="880" w:type="dxa"/>
            <w:vAlign w:val="bottom"/>
            <w:shd w:val="clear" w:color="auto" w:fill="E2EEF6"/>
          </w:tcPr>
          <w:p>
            <w:pPr>
              <w:spacing w:after="0"/>
              <w:rPr>
                <w:sz w:val="20"/>
                <w:szCs w:val="20"/>
                <w:color w:val="auto"/>
              </w:rPr>
            </w:pPr>
          </w:p>
        </w:tc>
        <w:tc>
          <w:tcPr>
            <w:tcW w:w="620" w:type="dxa"/>
            <w:vAlign w:val="bottom"/>
            <w:gridSpan w:val="2"/>
            <w:shd w:val="clear" w:color="auto" w:fill="E2EEF6"/>
          </w:tcPr>
          <w:p>
            <w:pPr>
              <w:jc w:val="right"/>
              <w:ind w:right="80"/>
              <w:spacing w:after="0"/>
              <w:rPr>
                <w:sz w:val="20"/>
                <w:szCs w:val="20"/>
                <w:color w:val="auto"/>
              </w:rPr>
            </w:pPr>
            <w:r>
              <w:rPr>
                <w:rFonts w:ascii="Arial" w:cs="Arial" w:eastAsia="Arial" w:hAnsi="Arial"/>
                <w:sz w:val="17"/>
                <w:szCs w:val="17"/>
                <w:color w:val="auto"/>
              </w:rPr>
              <w:t>(6.5)</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300" w:type="dxa"/>
            <w:vAlign w:val="bottom"/>
            <w:gridSpan w:val="2"/>
            <w:shd w:val="clear" w:color="auto" w:fill="E2EEF6"/>
          </w:tcPr>
          <w:p>
            <w:pPr>
              <w:jc w:val="right"/>
              <w:ind w:right="180"/>
              <w:spacing w:after="0"/>
              <w:rPr>
                <w:sz w:val="20"/>
                <w:szCs w:val="20"/>
                <w:color w:val="auto"/>
              </w:rPr>
            </w:pPr>
            <w:r>
              <w:rPr>
                <w:rFonts w:ascii="Arial" w:cs="Arial" w:eastAsia="Arial" w:hAnsi="Arial"/>
                <w:sz w:val="17"/>
                <w:szCs w:val="17"/>
                <w:color w:val="auto"/>
              </w:rPr>
              <w:t>(6.0)</w:t>
            </w:r>
          </w:p>
        </w:tc>
        <w:tc>
          <w:tcPr>
            <w:tcW w:w="240" w:type="dxa"/>
            <w:vAlign w:val="bottom"/>
            <w:shd w:val="clear" w:color="auto" w:fill="E2EEF6"/>
          </w:tcPr>
          <w:p>
            <w:pPr>
              <w:spacing w:after="0"/>
              <w:rPr>
                <w:sz w:val="20"/>
                <w:szCs w:val="20"/>
                <w:color w:val="auto"/>
              </w:rPr>
            </w:pPr>
          </w:p>
        </w:tc>
        <w:tc>
          <w:tcPr>
            <w:tcW w:w="1340" w:type="dxa"/>
            <w:vAlign w:val="bottom"/>
            <w:gridSpan w:val="2"/>
            <w:shd w:val="clear" w:color="auto" w:fill="E2EEF6"/>
          </w:tcPr>
          <w:p>
            <w:pPr>
              <w:jc w:val="right"/>
              <w:ind w:right="180"/>
              <w:spacing w:after="0"/>
              <w:rPr>
                <w:sz w:val="20"/>
                <w:szCs w:val="20"/>
                <w:color w:val="auto"/>
              </w:rPr>
            </w:pPr>
            <w:r>
              <w:rPr>
                <w:rFonts w:ascii="Arial" w:cs="Arial" w:eastAsia="Arial" w:hAnsi="Arial"/>
                <w:sz w:val="17"/>
                <w:szCs w:val="17"/>
                <w:color w:val="auto"/>
              </w:rPr>
              <w:t>(0.5)</w:t>
            </w:r>
          </w:p>
        </w:tc>
        <w:tc>
          <w:tcPr>
            <w:tcW w:w="1560" w:type="dxa"/>
            <w:vAlign w:val="bottom"/>
            <w:gridSpan w:val="2"/>
            <w:shd w:val="clear" w:color="auto" w:fill="E2EEF6"/>
          </w:tcPr>
          <w:p>
            <w:pPr>
              <w:jc w:val="right"/>
              <w:ind w:right="60"/>
              <w:spacing w:after="0"/>
              <w:rPr>
                <w:sz w:val="20"/>
                <w:szCs w:val="20"/>
                <w:color w:val="auto"/>
              </w:rPr>
            </w:pPr>
            <w:r>
              <w:rPr>
                <w:rFonts w:ascii="Arial" w:cs="Arial" w:eastAsia="Arial" w:hAnsi="Arial"/>
                <w:sz w:val="17"/>
                <w:szCs w:val="17"/>
                <w:color w:val="auto"/>
              </w:rPr>
              <w:t>8%</w:t>
            </w:r>
          </w:p>
        </w:tc>
      </w:tr>
      <w:tr>
        <w:trPr>
          <w:trHeight w:val="235"/>
        </w:trPr>
        <w:tc>
          <w:tcPr>
            <w:tcW w:w="5100" w:type="dxa"/>
            <w:vAlign w:val="bottom"/>
            <w:gridSpan w:val="2"/>
          </w:tcPr>
          <w:p>
            <w:pPr>
              <w:ind w:left="160"/>
              <w:spacing w:after="0"/>
              <w:rPr>
                <w:sz w:val="20"/>
                <w:szCs w:val="20"/>
                <w:color w:val="auto"/>
              </w:rPr>
            </w:pPr>
            <w:r>
              <w:rPr>
                <w:rFonts w:ascii="Arial" w:cs="Arial" w:eastAsia="Arial" w:hAnsi="Arial"/>
                <w:sz w:val="17"/>
                <w:szCs w:val="17"/>
                <w:color w:val="auto"/>
              </w:rPr>
              <w:t>Interest income</w:t>
            </w:r>
          </w:p>
        </w:tc>
        <w:tc>
          <w:tcPr>
            <w:tcW w:w="88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(8.8)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(4.0)</w:t>
            </w:r>
          </w:p>
        </w:tc>
        <w:tc>
          <w:tcPr>
            <w:tcW w:w="2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(4.8)</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N/M</w:t>
            </w:r>
          </w:p>
        </w:tc>
      </w:tr>
      <w:tr>
        <w:trPr>
          <w:trHeight w:val="236"/>
        </w:trPr>
        <w:tc>
          <w:tcPr>
            <w:tcW w:w="5100" w:type="dxa"/>
            <w:vAlign w:val="bottom"/>
            <w:gridSpan w:val="2"/>
            <w:shd w:val="clear" w:color="auto" w:fill="E2EEF6"/>
          </w:tcPr>
          <w:p>
            <w:pPr>
              <w:ind w:left="160"/>
              <w:spacing w:after="0"/>
              <w:rPr>
                <w:sz w:val="20"/>
                <w:szCs w:val="20"/>
                <w:color w:val="auto"/>
              </w:rPr>
            </w:pPr>
            <w:r>
              <w:rPr>
                <w:rFonts w:ascii="Arial" w:cs="Arial" w:eastAsia="Arial" w:hAnsi="Arial"/>
                <w:sz w:val="17"/>
                <w:szCs w:val="17"/>
                <w:color w:val="auto"/>
              </w:rPr>
              <w:t>Interest expense</w:t>
            </w:r>
          </w:p>
        </w:tc>
        <w:tc>
          <w:tcPr>
            <w:tcW w:w="880" w:type="dxa"/>
            <w:vAlign w:val="bottom"/>
            <w:shd w:val="clear" w:color="auto" w:fill="E2EEF6"/>
          </w:tcPr>
          <w:p>
            <w:pPr>
              <w:spacing w:after="0"/>
              <w:rPr>
                <w:sz w:val="20"/>
                <w:szCs w:val="20"/>
                <w:color w:val="auto"/>
              </w:rPr>
            </w:pPr>
          </w:p>
        </w:tc>
        <w:tc>
          <w:tcPr>
            <w:tcW w:w="62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62.9</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300" w:type="dxa"/>
            <w:vAlign w:val="bottom"/>
            <w:gridSpan w:val="2"/>
            <w:shd w:val="clear" w:color="auto" w:fill="E2EEF6"/>
          </w:tcPr>
          <w:p>
            <w:pPr>
              <w:jc w:val="right"/>
              <w:ind w:right="240"/>
              <w:spacing w:after="0"/>
              <w:rPr>
                <w:sz w:val="20"/>
                <w:szCs w:val="20"/>
                <w:color w:val="auto"/>
              </w:rPr>
            </w:pPr>
            <w:r>
              <w:rPr>
                <w:rFonts w:ascii="Arial" w:cs="Arial" w:eastAsia="Arial" w:hAnsi="Arial"/>
                <w:sz w:val="17"/>
                <w:szCs w:val="17"/>
                <w:color w:val="auto"/>
              </w:rPr>
              <w:t>90.0</w:t>
            </w:r>
          </w:p>
        </w:tc>
        <w:tc>
          <w:tcPr>
            <w:tcW w:w="240" w:type="dxa"/>
            <w:vAlign w:val="bottom"/>
            <w:shd w:val="clear" w:color="auto" w:fill="E2EEF6"/>
          </w:tcPr>
          <w:p>
            <w:pPr>
              <w:spacing w:after="0"/>
              <w:rPr>
                <w:sz w:val="20"/>
                <w:szCs w:val="20"/>
                <w:color w:val="auto"/>
              </w:rPr>
            </w:pPr>
          </w:p>
        </w:tc>
        <w:tc>
          <w:tcPr>
            <w:tcW w:w="1340" w:type="dxa"/>
            <w:vAlign w:val="bottom"/>
            <w:gridSpan w:val="2"/>
            <w:shd w:val="clear" w:color="auto" w:fill="E2EEF6"/>
          </w:tcPr>
          <w:p>
            <w:pPr>
              <w:jc w:val="right"/>
              <w:ind w:right="180"/>
              <w:spacing w:after="0"/>
              <w:rPr>
                <w:sz w:val="20"/>
                <w:szCs w:val="20"/>
                <w:color w:val="auto"/>
              </w:rPr>
            </w:pPr>
            <w:r>
              <w:rPr>
                <w:rFonts w:ascii="Arial" w:cs="Arial" w:eastAsia="Arial" w:hAnsi="Arial"/>
                <w:sz w:val="17"/>
                <w:szCs w:val="17"/>
                <w:color w:val="auto"/>
              </w:rPr>
              <w:t>(27.1)</w:t>
            </w:r>
          </w:p>
        </w:tc>
        <w:tc>
          <w:tcPr>
            <w:tcW w:w="156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(30)%</w:t>
            </w:r>
          </w:p>
        </w:tc>
      </w:tr>
      <w:tr>
        <w:trPr>
          <w:trHeight w:val="235"/>
        </w:trPr>
        <w:tc>
          <w:tcPr>
            <w:tcW w:w="5100" w:type="dxa"/>
            <w:vAlign w:val="bottom"/>
            <w:gridSpan w:val="2"/>
          </w:tcPr>
          <w:p>
            <w:pPr>
              <w:ind w:left="160"/>
              <w:spacing w:after="0"/>
              <w:rPr>
                <w:sz w:val="20"/>
                <w:szCs w:val="20"/>
                <w:color w:val="auto"/>
              </w:rPr>
            </w:pPr>
            <w:r>
              <w:rPr>
                <w:rFonts w:ascii="Arial" w:cs="Arial" w:eastAsia="Arial" w:hAnsi="Arial"/>
                <w:sz w:val="17"/>
                <w:szCs w:val="17"/>
                <w:color w:val="auto"/>
              </w:rPr>
              <w:t>Gain from TODCO Stock Sales</w:t>
            </w:r>
          </w:p>
        </w:tc>
        <w:tc>
          <w:tcPr>
            <w:tcW w:w="88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(165.0)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(39.4)</w:t>
            </w:r>
          </w:p>
        </w:tc>
        <w:tc>
          <w:tcPr>
            <w:tcW w:w="2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(125.6)</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N/M</w:t>
            </w:r>
          </w:p>
        </w:tc>
      </w:tr>
      <w:tr>
        <w:trPr>
          <w:trHeight w:val="236"/>
        </w:trPr>
        <w:tc>
          <w:tcPr>
            <w:tcW w:w="5100" w:type="dxa"/>
            <w:vAlign w:val="bottom"/>
            <w:gridSpan w:val="2"/>
            <w:shd w:val="clear" w:color="auto" w:fill="E2EEF6"/>
          </w:tcPr>
          <w:p>
            <w:pPr>
              <w:ind w:left="160"/>
              <w:spacing w:after="0"/>
              <w:rPr>
                <w:sz w:val="20"/>
                <w:szCs w:val="20"/>
                <w:color w:val="auto"/>
              </w:rPr>
            </w:pPr>
            <w:r>
              <w:rPr>
                <w:rFonts w:ascii="Arial" w:cs="Arial" w:eastAsia="Arial" w:hAnsi="Arial"/>
                <w:sz w:val="17"/>
                <w:szCs w:val="17"/>
                <w:color w:val="auto"/>
              </w:rPr>
              <w:t>Loss on retirement of debt</w:t>
            </w:r>
          </w:p>
        </w:tc>
        <w:tc>
          <w:tcPr>
            <w:tcW w:w="880" w:type="dxa"/>
            <w:vAlign w:val="bottom"/>
            <w:shd w:val="clear" w:color="auto" w:fill="E2EEF6"/>
          </w:tcPr>
          <w:p>
            <w:pPr>
              <w:spacing w:after="0"/>
              <w:rPr>
                <w:sz w:val="20"/>
                <w:szCs w:val="20"/>
                <w:color w:val="auto"/>
              </w:rPr>
            </w:pPr>
          </w:p>
        </w:tc>
        <w:tc>
          <w:tcPr>
            <w:tcW w:w="62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6.7</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300" w:type="dxa"/>
            <w:vAlign w:val="bottom"/>
            <w:gridSpan w:val="2"/>
            <w:shd w:val="clear" w:color="auto" w:fill="E2EEF6"/>
          </w:tcPr>
          <w:p>
            <w:pPr>
              <w:jc w:val="right"/>
              <w:ind w:right="240"/>
              <w:spacing w:after="0"/>
              <w:rPr>
                <w:sz w:val="20"/>
                <w:szCs w:val="20"/>
                <w:color w:val="auto"/>
              </w:rPr>
            </w:pPr>
            <w:r>
              <w:rPr>
                <w:rFonts w:ascii="Arial" w:cs="Arial" w:eastAsia="Arial" w:hAnsi="Arial"/>
                <w:sz w:val="17"/>
                <w:szCs w:val="17"/>
                <w:color w:val="auto"/>
              </w:rPr>
              <w:t>28.1</w:t>
            </w:r>
          </w:p>
        </w:tc>
        <w:tc>
          <w:tcPr>
            <w:tcW w:w="240" w:type="dxa"/>
            <w:vAlign w:val="bottom"/>
            <w:shd w:val="clear" w:color="auto" w:fill="E2EEF6"/>
          </w:tcPr>
          <w:p>
            <w:pPr>
              <w:spacing w:after="0"/>
              <w:rPr>
                <w:sz w:val="20"/>
                <w:szCs w:val="20"/>
                <w:color w:val="auto"/>
              </w:rPr>
            </w:pPr>
          </w:p>
        </w:tc>
        <w:tc>
          <w:tcPr>
            <w:tcW w:w="1340" w:type="dxa"/>
            <w:vAlign w:val="bottom"/>
            <w:gridSpan w:val="2"/>
            <w:shd w:val="clear" w:color="auto" w:fill="E2EEF6"/>
          </w:tcPr>
          <w:p>
            <w:pPr>
              <w:jc w:val="right"/>
              <w:ind w:right="180"/>
              <w:spacing w:after="0"/>
              <w:rPr>
                <w:sz w:val="20"/>
                <w:szCs w:val="20"/>
                <w:color w:val="auto"/>
              </w:rPr>
            </w:pPr>
            <w:r>
              <w:rPr>
                <w:rFonts w:ascii="Arial" w:cs="Arial" w:eastAsia="Arial" w:hAnsi="Arial"/>
                <w:sz w:val="17"/>
                <w:szCs w:val="17"/>
                <w:color w:val="auto"/>
              </w:rPr>
              <w:t>(21.4)</w:t>
            </w:r>
          </w:p>
        </w:tc>
        <w:tc>
          <w:tcPr>
            <w:tcW w:w="1560" w:type="dxa"/>
            <w:vAlign w:val="bottom"/>
            <w:gridSpan w:val="2"/>
            <w:shd w:val="clear" w:color="auto" w:fill="E2EEF6"/>
          </w:tcPr>
          <w:p>
            <w:pPr>
              <w:jc w:val="right"/>
              <w:ind w:right="60"/>
              <w:spacing w:after="0"/>
              <w:rPr>
                <w:sz w:val="20"/>
                <w:szCs w:val="20"/>
                <w:color w:val="auto"/>
              </w:rPr>
            </w:pPr>
            <w:r>
              <w:rPr>
                <w:rFonts w:ascii="Arial" w:cs="Arial" w:eastAsia="Arial" w:hAnsi="Arial"/>
                <w:sz w:val="17"/>
                <w:szCs w:val="17"/>
                <w:color w:val="auto"/>
              </w:rPr>
              <w:t>76%</w:t>
            </w:r>
          </w:p>
        </w:tc>
      </w:tr>
      <w:tr>
        <w:trPr>
          <w:trHeight w:val="235"/>
        </w:trPr>
        <w:tc>
          <w:tcPr>
            <w:tcW w:w="5100" w:type="dxa"/>
            <w:vAlign w:val="bottom"/>
            <w:gridSpan w:val="2"/>
          </w:tcPr>
          <w:p>
            <w:pPr>
              <w:ind w:left="160"/>
              <w:spacing w:after="0"/>
              <w:rPr>
                <w:sz w:val="20"/>
                <w:szCs w:val="20"/>
                <w:color w:val="auto"/>
              </w:rPr>
            </w:pPr>
            <w:r>
              <w:rPr>
                <w:rFonts w:ascii="Arial" w:cs="Arial" w:eastAsia="Arial" w:hAnsi="Arial"/>
                <w:sz w:val="17"/>
                <w:szCs w:val="17"/>
                <w:color w:val="auto"/>
              </w:rPr>
              <w:t>Other, net</w:t>
            </w:r>
          </w:p>
        </w:tc>
        <w:tc>
          <w:tcPr>
            <w:tcW w:w="88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(0.3)</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4.4</w:t>
            </w:r>
          </w:p>
        </w:tc>
        <w:tc>
          <w:tcPr>
            <w:tcW w:w="22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N/M</w:t>
            </w:r>
          </w:p>
        </w:tc>
      </w:tr>
      <w:tr>
        <w:trPr>
          <w:trHeight w:val="236"/>
        </w:trPr>
        <w:tc>
          <w:tcPr>
            <w:tcW w:w="5100" w:type="dxa"/>
            <w:vAlign w:val="bottom"/>
            <w:gridSpan w:val="2"/>
            <w:shd w:val="clear" w:color="auto" w:fill="E2EEF6"/>
          </w:tcPr>
          <w:p>
            <w:pPr>
              <w:spacing w:after="0"/>
              <w:rPr>
                <w:sz w:val="20"/>
                <w:szCs w:val="20"/>
                <w:color w:val="auto"/>
              </w:rPr>
            </w:pPr>
            <w:r>
              <w:rPr>
                <w:rFonts w:ascii="Arial" w:cs="Arial" w:eastAsia="Arial" w:hAnsi="Arial"/>
                <w:sz w:val="17"/>
                <w:szCs w:val="17"/>
                <w:color w:val="auto"/>
              </w:rPr>
              <w:t>Income Tax Expense</w:t>
            </w:r>
          </w:p>
        </w:tc>
        <w:tc>
          <w:tcPr>
            <w:tcW w:w="880" w:type="dxa"/>
            <w:vAlign w:val="bottom"/>
            <w:shd w:val="clear" w:color="auto" w:fill="E2EEF6"/>
          </w:tcPr>
          <w:p>
            <w:pPr>
              <w:spacing w:after="0"/>
              <w:rPr>
                <w:sz w:val="20"/>
                <w:szCs w:val="20"/>
                <w:color w:val="auto"/>
              </w:rPr>
            </w:pPr>
          </w:p>
        </w:tc>
        <w:tc>
          <w:tcPr>
            <w:tcW w:w="620" w:type="dxa"/>
            <w:vAlign w:val="bottom"/>
            <w:gridSpan w:val="2"/>
            <w:shd w:val="clear" w:color="auto" w:fill="E2EEF6"/>
          </w:tcPr>
          <w:p>
            <w:pPr>
              <w:jc w:val="right"/>
              <w:ind w:right="140"/>
              <w:spacing w:after="0"/>
              <w:rPr>
                <w:sz w:val="20"/>
                <w:szCs w:val="20"/>
                <w:color w:val="auto"/>
              </w:rPr>
            </w:pPr>
            <w:r>
              <w:rPr>
                <w:rFonts w:ascii="Arial" w:cs="Arial" w:eastAsia="Arial" w:hAnsi="Arial"/>
                <w:sz w:val="17"/>
                <w:szCs w:val="17"/>
                <w:color w:val="auto"/>
              </w:rPr>
              <w:t>41.1</w:t>
            </w:r>
          </w:p>
        </w:tc>
        <w:tc>
          <w:tcPr>
            <w:tcW w:w="8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300" w:type="dxa"/>
            <w:vAlign w:val="bottom"/>
            <w:gridSpan w:val="2"/>
            <w:shd w:val="clear" w:color="auto" w:fill="E2EEF6"/>
          </w:tcPr>
          <w:p>
            <w:pPr>
              <w:jc w:val="right"/>
              <w:ind w:right="240"/>
              <w:spacing w:after="0"/>
              <w:rPr>
                <w:sz w:val="20"/>
                <w:szCs w:val="20"/>
                <w:color w:val="auto"/>
              </w:rPr>
            </w:pPr>
            <w:r>
              <w:rPr>
                <w:rFonts w:ascii="Arial" w:cs="Arial" w:eastAsia="Arial" w:hAnsi="Arial"/>
                <w:sz w:val="17"/>
                <w:szCs w:val="17"/>
                <w:color w:val="auto"/>
              </w:rPr>
              <w:t>67.9</w:t>
            </w:r>
          </w:p>
        </w:tc>
        <w:tc>
          <w:tcPr>
            <w:tcW w:w="240" w:type="dxa"/>
            <w:vAlign w:val="bottom"/>
            <w:shd w:val="clear" w:color="auto" w:fill="E2EEF6"/>
          </w:tcPr>
          <w:p>
            <w:pPr>
              <w:spacing w:after="0"/>
              <w:rPr>
                <w:sz w:val="20"/>
                <w:szCs w:val="20"/>
                <w:color w:val="auto"/>
              </w:rPr>
            </w:pPr>
          </w:p>
        </w:tc>
        <w:tc>
          <w:tcPr>
            <w:tcW w:w="1340" w:type="dxa"/>
            <w:vAlign w:val="bottom"/>
            <w:gridSpan w:val="2"/>
            <w:shd w:val="clear" w:color="auto" w:fill="E2EEF6"/>
          </w:tcPr>
          <w:p>
            <w:pPr>
              <w:jc w:val="right"/>
              <w:ind w:right="180"/>
              <w:spacing w:after="0"/>
              <w:rPr>
                <w:sz w:val="20"/>
                <w:szCs w:val="20"/>
                <w:color w:val="auto"/>
              </w:rPr>
            </w:pPr>
            <w:r>
              <w:rPr>
                <w:rFonts w:ascii="Arial" w:cs="Arial" w:eastAsia="Arial" w:hAnsi="Arial"/>
                <w:sz w:val="17"/>
                <w:szCs w:val="17"/>
                <w:color w:val="auto"/>
              </w:rPr>
              <w:t>(26.8)</w:t>
            </w:r>
          </w:p>
        </w:tc>
        <w:tc>
          <w:tcPr>
            <w:tcW w:w="1560" w:type="dxa"/>
            <w:vAlign w:val="bottom"/>
            <w:gridSpan w:val="2"/>
            <w:shd w:val="clear" w:color="auto" w:fill="E2EEF6"/>
          </w:tcPr>
          <w:p>
            <w:pPr>
              <w:jc w:val="right"/>
              <w:ind w:right="60"/>
              <w:spacing w:after="0"/>
              <w:rPr>
                <w:sz w:val="20"/>
                <w:szCs w:val="20"/>
                <w:color w:val="auto"/>
              </w:rPr>
            </w:pPr>
            <w:r>
              <w:rPr>
                <w:rFonts w:ascii="Arial" w:cs="Arial" w:eastAsia="Arial" w:hAnsi="Arial"/>
                <w:sz w:val="17"/>
                <w:szCs w:val="17"/>
                <w:color w:val="auto"/>
              </w:rPr>
              <w:t>39%</w:t>
            </w:r>
          </w:p>
        </w:tc>
      </w:tr>
      <w:tr>
        <w:trPr>
          <w:trHeight w:val="223"/>
        </w:trPr>
        <w:tc>
          <w:tcPr>
            <w:tcW w:w="5100" w:type="dxa"/>
            <w:vAlign w:val="bottom"/>
            <w:gridSpan w:val="2"/>
          </w:tcPr>
          <w:p>
            <w:pPr>
              <w:spacing w:after="0"/>
              <w:rPr>
                <w:sz w:val="20"/>
                <w:szCs w:val="20"/>
                <w:color w:val="auto"/>
              </w:rPr>
            </w:pPr>
            <w:r>
              <w:rPr>
                <w:rFonts w:ascii="Arial" w:cs="Arial" w:eastAsia="Arial" w:hAnsi="Arial"/>
                <w:sz w:val="17"/>
                <w:szCs w:val="17"/>
                <w:color w:val="auto"/>
              </w:rPr>
              <w:t>Minority Interest</w:t>
            </w:r>
          </w:p>
        </w:tc>
        <w:tc>
          <w:tcPr>
            <w:tcW w:w="8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(6.4)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6.4</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N/M</w:t>
            </w:r>
          </w:p>
        </w:tc>
      </w:tr>
      <w:tr>
        <w:trPr>
          <w:trHeight w:val="209"/>
        </w:trPr>
        <w:tc>
          <w:tcPr>
            <w:tcW w:w="5100" w:type="dxa"/>
            <w:vAlign w:val="bottom"/>
            <w:gridSpan w:val="2"/>
          </w:tcPr>
          <w:p>
            <w:pPr>
              <w:spacing w:after="0"/>
              <w:rPr>
                <w:sz w:val="20"/>
                <w:szCs w:val="20"/>
                <w:color w:val="auto"/>
              </w:rPr>
            </w:pPr>
            <w:r>
              <w:rPr>
                <w:rFonts w:ascii="Arial" w:cs="Arial" w:eastAsia="Arial" w:hAnsi="Arial"/>
                <w:sz w:val="17"/>
                <w:szCs w:val="17"/>
                <w:color w:val="auto"/>
              </w:rPr>
              <w:t>_________________________</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1"/>
        </w:trPr>
        <w:tc>
          <w:tcPr>
            <w:tcW w:w="5100" w:type="dxa"/>
            <w:vAlign w:val="bottom"/>
            <w:gridSpan w:val="2"/>
          </w:tcPr>
          <w:p>
            <w:pPr>
              <w:spacing w:after="0"/>
              <w:rPr>
                <w:sz w:val="20"/>
                <w:szCs w:val="20"/>
                <w:color w:val="auto"/>
              </w:rPr>
            </w:pPr>
            <w:r>
              <w:rPr>
                <w:rFonts w:ascii="Arial" w:cs="Arial" w:eastAsia="Arial" w:hAnsi="Arial"/>
                <w:sz w:val="17"/>
                <w:szCs w:val="17"/>
                <w:color w:val="auto"/>
              </w:rPr>
              <w:t>“N/M” means not meaningful</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50" w:lineRule="exact"/>
        <w:rPr>
          <w:sz w:val="20"/>
          <w:szCs w:val="20"/>
          <w:color w:val="auto"/>
        </w:rPr>
      </w:pPr>
    </w:p>
    <w:p>
      <w:pPr>
        <w:jc w:val="both"/>
        <w:ind w:firstLine="628"/>
        <w:spacing w:after="0" w:line="321" w:lineRule="auto"/>
        <w:rPr>
          <w:sz w:val="20"/>
          <w:szCs w:val="20"/>
          <w:color w:val="auto"/>
        </w:rPr>
      </w:pPr>
      <w:r>
        <w:rPr>
          <w:rFonts w:ascii="Arial" w:cs="Arial" w:eastAsia="Arial" w:hAnsi="Arial"/>
          <w:sz w:val="16"/>
          <w:szCs w:val="16"/>
          <w:color w:val="auto"/>
        </w:rPr>
        <w:t>The increase in general and administrative expense was primarily attributable to increases of approximately $2.6 million in public accounting and professional fees primarily related to compliance with the Sarbanes Oxley Act of 2002 as well as $1.8 million in increased rent and personnel expenses.</w:t>
      </w:r>
    </w:p>
    <w:p>
      <w:pPr>
        <w:spacing w:after="0" w:line="188"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The increase in interest income was primarily due to an increase in average cash balances for 2005 compared to 2004 and an increase in interest rates on cash investments, the combination of which resulted in an increase in interest income of $2.9 million. Additional increases resulted from $0.5 million related to various tax refunds received during the six months ended June 30, 2005.</w:t>
      </w:r>
    </w:p>
    <w:p>
      <w:pPr>
        <w:spacing w:after="0" w:line="225"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The decrease in interest expense was primarily attributable to reductions of $24.6 million associated with debt that was redeemed, retired or repurchased during or subsequent to the six months ended June 30, 2004. Additional decreases resulted from $2.1 million of interest expense in the six months ended June 30, 2004 on TODCO’s debt with no comparable activity for the same period in 2005.</w:t>
      </w:r>
    </w:p>
    <w:p>
      <w:pPr>
        <w:spacing w:after="0" w:line="225"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During the six months ended June 30, 2005, we recognized gains of $165.0 million from the 2005 Offering and Sale compared to the $39.4 million gain from the TODCO IPO recognized during the six months ended June 30, 2004. See “—TODCO Segment.”</w:t>
      </w:r>
    </w:p>
    <w:p>
      <w:pPr>
        <w:spacing w:after="0" w:line="211"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During the six months ended June 30, 2005, we recognized a $6.7 million loss related to the early redemption of $247.8 million aggregate principal amount of our debt (see “—Significant Events”). During the six months ended June 30, 2004, we recognized a $28.1 million loss related to the early redemption of $289.8 million aggregate principal amount of our debt.</w:t>
      </w:r>
    </w:p>
    <w:p>
      <w:pPr>
        <w:spacing w:after="0" w:line="225"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The $4.4 million unfavorable change in other, net primarily relates to the effect of foreign currency exchange rate changes on our monetary assets and liabilities denominated in non-U.S. currencies.</w:t>
      </w:r>
    </w:p>
    <w:p>
      <w:pPr>
        <w:spacing w:after="0" w:line="211"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We operate internationally and provide for income taxes based on the tax laws and rates in the countries in which we operate and earn income. There is no expected relationship between the provision for income taxes and income before income taxes. The estimated annual effective tax rates for 2005 and 2004 were estimated to be approximately 17 percent and 35 percent, respectively, based on estimated 2005 and 2004 annual income before income taxes and minority interest. In accordance with APB 28, certain items have been excluded from the estimated annual effective tax rate and treated as period items. These items included portions of the net gains on sales of assets, TODCO Stock Sales-related items and losses on retirements of debt. The six months ended June 30, 2004 included a provision for a valuation allowance of approximately $31.0 million related to the TODCO IPO.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09"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decrease in minority interest was primarily attributable to the deconsolidation of TODCO.</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TODCO Segment</w:t>
      </w:r>
    </w:p>
    <w:p>
      <w:pPr>
        <w:spacing w:after="0" w:line="275" w:lineRule="exact"/>
        <w:rPr>
          <w:sz w:val="20"/>
          <w:szCs w:val="20"/>
          <w:color w:val="auto"/>
        </w:rPr>
      </w:pPr>
    </w:p>
    <w:p>
      <w:pPr>
        <w:jc w:val="both"/>
        <w:ind w:firstLine="628"/>
        <w:spacing w:after="0" w:line="279" w:lineRule="auto"/>
        <w:rPr>
          <w:sz w:val="20"/>
          <w:szCs w:val="20"/>
          <w:color w:val="auto"/>
        </w:rPr>
      </w:pPr>
      <w:r>
        <w:rPr>
          <w:rFonts w:ascii="Arial" w:cs="Arial" w:eastAsia="Arial" w:hAnsi="Arial"/>
          <w:sz w:val="16"/>
          <w:szCs w:val="16"/>
          <w:color w:val="auto"/>
        </w:rPr>
        <w:t>In February 2004, we completed the TODCO IPO of common stock of TODCO in which we sold 13.8 million shares of TODCO class A common stock, representing 23 percent of TODCO’s total outstanding shares. In September 2004 and December 2004, respectively, we completed additional public offerings of TODCO common stock (respectively referred to as the “September 2004 Offering” and “December 2004 Offering” and, together with the TODCO IPO, the “2004 Offerings”). We sold 17.9 million shares of TODCO’s class A common stock (30 percent of TODCO’s total outstanding shares) in the September 2004 Offering and 15.0 million shares of TODCO’s class A common stock (25 percent of TODCO’s total outstanding shares) in the December 2004 Offering. Prior to the December 2004 Offering, we held TODCO class B common stock, which was entitled to five votes per share (compared to one vote per share of TODCO class A common stock) and converted automatically into class A common stock upon any sale by us to a third party. In connection with the December 2004 Offering, we converted all of our remaining TODCO class B common stock not sold in the 2004 Offerings into shares of class A common stock. After the 2004 Offerings, we held a 22 percent ownership and voting interest in TODCO, represented by 13.3 million shares of class A common stock.</w:t>
      </w:r>
    </w:p>
    <w:p>
      <w:pPr>
        <w:spacing w:after="0" w:line="220" w:lineRule="exact"/>
        <w:rPr>
          <w:sz w:val="20"/>
          <w:szCs w:val="20"/>
          <w:color w:val="auto"/>
        </w:rPr>
      </w:pPr>
    </w:p>
    <w:p>
      <w:pPr>
        <w:jc w:val="both"/>
        <w:ind w:firstLine="628"/>
        <w:spacing w:after="0" w:line="325" w:lineRule="auto"/>
        <w:rPr>
          <w:sz w:val="20"/>
          <w:szCs w:val="20"/>
          <w:color w:val="auto"/>
        </w:rPr>
      </w:pPr>
      <w:r>
        <w:rPr>
          <w:rFonts w:ascii="Arial" w:cs="Arial" w:eastAsia="Arial" w:hAnsi="Arial"/>
          <w:sz w:val="15"/>
          <w:szCs w:val="15"/>
          <w:color w:val="auto"/>
        </w:rPr>
        <w:t>We consolidated TODCO in our financial statements as a business segment through December 16, 2004, and that portion of TODCO that we did not own was reflected as minority interest in our consolidated statements of operations and balance sheets. We deconsolidated TODCO from our consolidated statements of operations and balance sheets effective December 17, 2004 and subsequently accounted for our investment in TODCO under the equity method of accounting.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81" w:lineRule="exact"/>
        <w:rPr>
          <w:sz w:val="20"/>
          <w:szCs w:val="20"/>
          <w:color w:val="auto"/>
        </w:rPr>
      </w:pPr>
    </w:p>
    <w:p>
      <w:pPr>
        <w:jc w:val="both"/>
        <w:ind w:firstLine="628"/>
        <w:spacing w:after="0" w:line="278"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condensed consolidated financial statements. This discussion should be read in conjunction with disclosures included in the notes to our condensed consolidated financial statements related to estimates, contingencies and new accounting pronouncements. Significant accounting policies are discussed in Note 2 to our condensed consolidated financial statements included elsewhere and in Note 2 to our consolidated financial statements in our Annual Report on Form 10-K for the year ended December 31, 2004. The preparation of these financial statements requires us to make estimates and judgments that affect the reported amounts of assets, liabilities, revenues, expenses and related disclosure of contingent assets and liabilities. On an on-going basis, we evaluate our estimates, including those related to bad debts, materials and supplies obsolescence, investments, property and equipment, intangible assets and goodwill, income taxes, workers’ insurance, pensions and other post-retirement and employment benefits and contingent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23"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color w:val="auto"/>
        </w:rPr>
        <w:t>For a discussion of the critical accounting policies and estimates that we use in the preparation of our condensed consolidated financial statements, see "Item 7. Management's Discussion and Analysis of Financial Condition and Results of Operations" in our Annual Report on Form 10-K for the year ended December 31, 2004. There have been no material changes to these policies during the six months ended June 30, 2005. These policies require significant judgments and estimates used in the preparation of our consolidated financial statements. Management has discussed each of these critical accounting policies and estimates with the audit committee of the board of directors.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Plans and Other Postemployment Benefits</w:t>
      </w:r>
    </w:p>
    <w:p>
      <w:pPr>
        <w:spacing w:after="0" w:line="281"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i w:val="1"/>
          <w:iCs w:val="1"/>
          <w:color w:val="auto"/>
        </w:rPr>
        <w:t>Defined Benefit Pension Plans</w:t>
      </w:r>
      <w:r>
        <w:rPr>
          <w:rFonts w:ascii="Arial" w:cs="Arial" w:eastAsia="Arial" w:hAnsi="Arial"/>
          <w:sz w:val="17"/>
          <w:szCs w:val="17"/>
          <w:color w:val="auto"/>
        </w:rPr>
        <w:t>—We have several defined benefit pension plans, both funded and unfunded, covering substantially all U.S. employees. We</w:t>
      </w:r>
      <w:r>
        <w:rPr>
          <w:rFonts w:ascii="Arial" w:cs="Arial" w:eastAsia="Arial" w:hAnsi="Arial"/>
          <w:sz w:val="17"/>
          <w:szCs w:val="17"/>
          <w:i w:val="1"/>
          <w:iCs w:val="1"/>
          <w:color w:val="auto"/>
        </w:rPr>
        <w:t xml:space="preserve"> </w:t>
      </w:r>
      <w:r>
        <w:rPr>
          <w:rFonts w:ascii="Arial" w:cs="Arial" w:eastAsia="Arial" w:hAnsi="Arial"/>
          <w:sz w:val="17"/>
          <w:szCs w:val="17"/>
          <w:color w:val="auto"/>
        </w:rPr>
        <w:t>also have various defined benefit plans that cover Norway and Nigeria employees and various current and former employees covered under certain frozen plans acquired in connection with the R&amp;B Falcon merger.</w:t>
      </w:r>
    </w:p>
    <w:p>
      <w:pPr>
        <w:spacing w:after="0" w:line="225" w:lineRule="exact"/>
        <w:rPr>
          <w:sz w:val="20"/>
          <w:szCs w:val="20"/>
          <w:color w:val="auto"/>
        </w:rPr>
      </w:pPr>
    </w:p>
    <w:p>
      <w:pPr>
        <w:jc w:val="both"/>
        <w:ind w:firstLine="628"/>
        <w:spacing w:after="0" w:line="267" w:lineRule="auto"/>
        <w:rPr>
          <w:sz w:val="20"/>
          <w:szCs w:val="20"/>
          <w:color w:val="auto"/>
        </w:rPr>
      </w:pPr>
      <w:r>
        <w:rPr>
          <w:rFonts w:ascii="Arial" w:cs="Arial" w:eastAsia="Arial" w:hAnsi="Arial"/>
          <w:sz w:val="17"/>
          <w:szCs w:val="17"/>
          <w:color w:val="auto"/>
        </w:rPr>
        <w:t>For the funded plans, our funding policy consists of reviewing the funded status of these plans annually and contributing an amount at least equal to the minimum contribution required under the Employee Retirement Income Security Act of 1974 (ERISA) or other applicable funding regulations. Employer contributions to the funded plans are based on actuarial computations that establish the minimum contribution required under ERISA and the maximum deductible contribution for income tax purposes, or other applicable funding regulations.</w:t>
      </w:r>
    </w:p>
    <w:p>
      <w:pPr>
        <w:spacing w:after="0" w:line="229"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During the six months ended June 30, 2005, we contributed to the funded and unfunded defined benefit pension plans $1.7 million and $0.7 million, respectively, which is the total amount expected to be contributed for the year ending December 31, 2005. We funded the contributions from cash flows from operations.</w:t>
      </w:r>
    </w:p>
    <w:p>
      <w:pPr>
        <w:spacing w:after="0" w:line="225"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i w:val="1"/>
          <w:iCs w:val="1"/>
          <w:color w:val="auto"/>
        </w:rPr>
        <w:t>Postretirement Benefits Other Than Pensions</w:t>
      </w:r>
      <w:r>
        <w:rPr>
          <w:rFonts w:ascii="Arial" w:cs="Arial" w:eastAsia="Arial" w:hAnsi="Arial"/>
          <w:sz w:val="17"/>
          <w:szCs w:val="17"/>
          <w:color w:val="auto"/>
        </w:rPr>
        <w:t>―We have several unfunded contributory and noncontributory postretirement benefit plans covering</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all of our U.S. employees. Funding for these plans is to cover benefit payments of plan participants as they are incurred.</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have contributed $1.1 million to the other postretirement benefit plans to fund benefit payments in the six months ended June 30, 2005.</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w:t>
      </w:r>
    </w:p>
    <w:p>
      <w:pPr>
        <w:spacing w:after="0" w:line="281"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7"/>
          <w:szCs w:val="17"/>
          <w:color w:val="auto"/>
        </w:rPr>
        <w:t xml:space="preserve">We leased the semisubmersible rig </w:t>
      </w:r>
      <w:r>
        <w:rPr>
          <w:rFonts w:ascii="Arial" w:cs="Arial" w:eastAsia="Arial" w:hAnsi="Arial"/>
          <w:sz w:val="17"/>
          <w:szCs w:val="17"/>
          <w:i w:val="1"/>
          <w:iCs w:val="1"/>
          <w:color w:val="auto"/>
        </w:rPr>
        <w:t>M. G. Hulme, Jr.</w:t>
      </w:r>
      <w:r>
        <w:rPr>
          <w:rFonts w:ascii="Arial" w:cs="Arial" w:eastAsia="Arial" w:hAnsi="Arial"/>
          <w:sz w:val="17"/>
          <w:szCs w:val="17"/>
          <w:color w:val="auto"/>
        </w:rPr>
        <w:t xml:space="preserve"> from Deep Sea Investors, L.L.C., (“Deep Sea Investors”), a special purpose entity formed by several leasing companies to acquire the rig from one of our subsidiaries in November 1995 in a sale/leaseback transaction. We accounted for the lease of this semisubmersible drilling rig as an operating lease. We recorded $4.6 million and $6.3 million of such rent expense in the six months ended June 30, 2005 and 2004, respectively. In May 2005, we purchased the rig for $42.5 million. The rig was reflected as property and equipment in the consolidated balance sheet at June 30, 2005.</w:t>
      </w:r>
    </w:p>
    <w:p>
      <w:pPr>
        <w:spacing w:after="0" w:line="233" w:lineRule="exact"/>
        <w:rPr>
          <w:sz w:val="20"/>
          <w:szCs w:val="20"/>
          <w:color w:val="auto"/>
        </w:rPr>
      </w:pPr>
    </w:p>
    <w:p>
      <w:pPr>
        <w:jc w:val="both"/>
        <w:ind w:firstLine="628"/>
        <w:spacing w:after="0" w:line="279" w:lineRule="auto"/>
        <w:rPr>
          <w:sz w:val="20"/>
          <w:szCs w:val="20"/>
          <w:color w:val="auto"/>
        </w:rPr>
      </w:pPr>
      <w:r>
        <w:rPr>
          <w:rFonts w:ascii="Arial" w:cs="Arial" w:eastAsia="Arial" w:hAnsi="Arial"/>
          <w:sz w:val="16"/>
          <w:szCs w:val="16"/>
          <w:color w:val="auto"/>
        </w:rPr>
        <w:t xml:space="preserve">Effective December 31, 2003, we adopted and applied the provisions of FASB Interpretation (“FIN”) 46,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as revised December 31, 2003, for all variable interest entities. FIN 46 requires the consolidation of variable interest entities in which an enterprise absorbs a majority of the entity’s expected losses, receives a majority of the entity’s expected residual returns, or both, as a result of ownership, contractual or other financial interests in the entity. Because the sale/leaseback agreement was with an entity in which we had no direct investment, we were not entitled to receive the financial information of the leasing entity and the equity holders of the leasing company would not release the financial statements or other financial information to us in order for us to make the determination of whether the entity was a variable interest entity. In addition, without the financial statements or other financial information, we were unable to determine if we were the primary beneficiary of the entity and, if so, what we would have consolidated. We had no exposure to loss as a result of the sale/leaseback agreement. As a result of the purchase of the </w:t>
      </w:r>
      <w:r>
        <w:rPr>
          <w:rFonts w:ascii="Arial" w:cs="Arial" w:eastAsia="Arial" w:hAnsi="Arial"/>
          <w:sz w:val="16"/>
          <w:szCs w:val="16"/>
          <w:i w:val="1"/>
          <w:iCs w:val="1"/>
          <w:color w:val="auto"/>
        </w:rPr>
        <w:t>M. G. Hulme, Jr.</w:t>
      </w:r>
      <w:r>
        <w:rPr>
          <w:rFonts w:ascii="Arial" w:cs="Arial" w:eastAsia="Arial" w:hAnsi="Arial"/>
          <w:sz w:val="16"/>
          <w:szCs w:val="16"/>
          <w:color w:val="auto"/>
        </w:rPr>
        <w:t>, we are no longer associated with Deep Seas Investors and, as such, are no longer required to review for FIN 46 applicability.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w:t>
      </w:r>
    </w:p>
    <w:p>
      <w:pPr>
        <w:spacing w:after="0" w:line="281"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 xml:space="preserve">In May 2005, the FASB issued SFAS 154,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xml:space="preserve">which requires retrospective application to all prior period financial statements presented for voluntary changes in accounting principle unless it is impracticable. This statement replaces APB 20, </w:t>
      </w:r>
      <w:r>
        <w:rPr>
          <w:rFonts w:ascii="Arial" w:cs="Arial" w:eastAsia="Arial" w:hAnsi="Arial"/>
          <w:sz w:val="17"/>
          <w:szCs w:val="17"/>
          <w:i w:val="1"/>
          <w:iCs w:val="1"/>
          <w:color w:val="auto"/>
        </w:rPr>
        <w:t>Accounting Changes</w:t>
      </w:r>
      <w:r>
        <w:rPr>
          <w:rFonts w:ascii="Arial" w:cs="Arial" w:eastAsia="Arial" w:hAnsi="Arial"/>
          <w:sz w:val="17"/>
          <w:szCs w:val="17"/>
          <w:color w:val="auto"/>
        </w:rPr>
        <w:t xml:space="preserve">, and SFAS 3, </w:t>
      </w:r>
      <w:r>
        <w:rPr>
          <w:rFonts w:ascii="Arial" w:cs="Arial" w:eastAsia="Arial" w:hAnsi="Arial"/>
          <w:sz w:val="17"/>
          <w:szCs w:val="17"/>
          <w:i w:val="1"/>
          <w:iCs w:val="1"/>
          <w:color w:val="auto"/>
        </w:rPr>
        <w:t>Reporting Accounting Changes in Interim Financial Statements</w:t>
      </w:r>
      <w:r>
        <w:rPr>
          <w:rFonts w:ascii="Arial" w:cs="Arial" w:eastAsia="Arial" w:hAnsi="Arial"/>
          <w:sz w:val="17"/>
          <w:szCs w:val="17"/>
          <w:color w:val="auto"/>
        </w:rPr>
        <w:t>, though it carries forward the guidance in those pronouncements with respect to accounting for changes in estimates, changes in reporting entity and the correction of errors. SFAS 154 is effective for accounting changes and corrections of errors made in fiscal years beginning after December 15, 2005. We will adopt SFAS 154 effective January 1, 2006, and we do not expect the adoption of this statement to have an impact on our consolidated financial position, results of operations or cash flows.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24" w:lineRule="exact"/>
        <w:rPr>
          <w:sz w:val="20"/>
          <w:szCs w:val="20"/>
          <w:color w:val="auto"/>
        </w:rPr>
      </w:pPr>
    </w:p>
    <w:p>
      <w:pPr>
        <w:jc w:val="both"/>
        <w:ind w:firstLine="628"/>
        <w:spacing w:after="0" w:line="285" w:lineRule="auto"/>
        <w:rPr>
          <w:sz w:val="20"/>
          <w:szCs w:val="20"/>
          <w:color w:val="auto"/>
        </w:rPr>
      </w:pPr>
      <w:r>
        <w:rPr>
          <w:rFonts w:ascii="Arial" w:cs="Arial" w:eastAsia="Arial" w:hAnsi="Arial"/>
          <w:sz w:val="16"/>
          <w:szCs w:val="16"/>
          <w:color w:val="auto"/>
        </w:rPr>
        <w:t xml:space="preserve">In December 2004, the FASB issued SFAS 123 (revised 2004)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which is a revision of SFAS 123,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Stock-Based Compensation</w:t>
      </w:r>
      <w:r>
        <w:rPr>
          <w:rFonts w:ascii="Arial" w:cs="Arial" w:eastAsia="Arial" w:hAnsi="Arial"/>
          <w:sz w:val="16"/>
          <w:szCs w:val="16"/>
          <w:color w:val="auto"/>
        </w:rPr>
        <w:t>. SFAS 123(R) supersedes APB 25,</w:t>
      </w:r>
      <w:r>
        <w:rPr>
          <w:rFonts w:ascii="Arial" w:cs="Arial" w:eastAsia="Arial" w:hAnsi="Arial"/>
          <w:sz w:val="16"/>
          <w:szCs w:val="16"/>
          <w:i w:val="1"/>
          <w:iCs w:val="1"/>
          <w:color w:val="auto"/>
        </w:rPr>
        <w:t xml:space="preserve"> Accounting for Stock Issued to Employees</w:t>
      </w:r>
      <w:r>
        <w:rPr>
          <w:rFonts w:ascii="Arial" w:cs="Arial" w:eastAsia="Arial" w:hAnsi="Arial"/>
          <w:sz w:val="16"/>
          <w:szCs w:val="16"/>
          <w:color w:val="auto"/>
        </w:rPr>
        <w:t>, and amends SFAS 95,</w:t>
      </w:r>
      <w:r>
        <w:rPr>
          <w:rFonts w:ascii="Arial" w:cs="Arial" w:eastAsia="Arial" w:hAnsi="Arial"/>
          <w:sz w:val="16"/>
          <w:szCs w:val="16"/>
          <w:i w:val="1"/>
          <w:iCs w:val="1"/>
          <w:color w:val="auto"/>
        </w:rPr>
        <w:t xml:space="preserve"> Statement of Cash Flows</w:t>
      </w:r>
      <w:r>
        <w:rPr>
          <w:rFonts w:ascii="Arial" w:cs="Arial" w:eastAsia="Arial" w:hAnsi="Arial"/>
          <w:sz w:val="16"/>
          <w:szCs w:val="16"/>
          <w:color w:val="auto"/>
        </w:rPr>
        <w:t>. While</w:t>
      </w:r>
      <w:r>
        <w:rPr>
          <w:rFonts w:ascii="Arial" w:cs="Arial" w:eastAsia="Arial" w:hAnsi="Arial"/>
          <w:sz w:val="16"/>
          <w:szCs w:val="16"/>
          <w:i w:val="1"/>
          <w:iCs w:val="1"/>
          <w:color w:val="auto"/>
        </w:rPr>
        <w:t xml:space="preserve"> </w:t>
      </w:r>
      <w:r>
        <w:rPr>
          <w:rFonts w:ascii="Arial" w:cs="Arial" w:eastAsia="Arial" w:hAnsi="Arial"/>
          <w:sz w:val="16"/>
          <w:szCs w:val="16"/>
          <w:color w:val="auto"/>
        </w:rPr>
        <w:t>the approach in SFAS 123(R) is similar to the approach described in SFAS 123, SFAS 123(R) requires recognition in the income statement of all share-based payments to employees, including grants of employee stock options, based on their fair values, and pro forma disclosure is no longer an alternative. The SEC has deferred the implementation date, and we are now required to adopt SFAS 123(R) no later than January 1, 2006.</w:t>
      </w:r>
    </w:p>
    <w:p>
      <w:pPr>
        <w:spacing w:after="0" w:line="216" w:lineRule="exact"/>
        <w:rPr>
          <w:sz w:val="20"/>
          <w:szCs w:val="20"/>
          <w:color w:val="auto"/>
        </w:rPr>
      </w:pPr>
    </w:p>
    <w:p>
      <w:pPr>
        <w:jc w:val="both"/>
        <w:ind w:firstLine="628"/>
        <w:spacing w:after="0" w:line="285" w:lineRule="auto"/>
        <w:rPr>
          <w:sz w:val="20"/>
          <w:szCs w:val="20"/>
          <w:color w:val="auto"/>
        </w:rPr>
      </w:pPr>
      <w:r>
        <w:rPr>
          <w:rFonts w:ascii="Arial" w:cs="Arial" w:eastAsia="Arial" w:hAnsi="Arial"/>
          <w:sz w:val="16"/>
          <w:szCs w:val="16"/>
          <w:color w:val="auto"/>
        </w:rPr>
        <w:t>SFAS 123(R) permits adoption using one of two methods, a modified prospective method (“Prospective Method”) or a modified retrospective method (“Retrospective Method”). With the Prospective Method, costs are recognized beginning with the effective date based on the requirements of SFAS 123(R) for (i) all share-based payments granted after the effective date of SFAS 123(R), and (ii) all awards granted to employees prior to the effective date of SFAS 123(R) that remain unvested on the effective date. The Retrospective Method applies the requirements of the Prospective Method but further permits entities to restate all prior periods presented based on the amounts previously recognized under SFAS 123 for purposes of pro forma disclosures.</w:t>
      </w:r>
    </w:p>
    <w:p>
      <w:pPr>
        <w:spacing w:after="0" w:line="216" w:lineRule="exact"/>
        <w:rPr>
          <w:sz w:val="20"/>
          <w:szCs w:val="20"/>
          <w:color w:val="auto"/>
        </w:rPr>
      </w:pPr>
    </w:p>
    <w:p>
      <w:pPr>
        <w:jc w:val="both"/>
        <w:ind w:firstLine="628"/>
        <w:spacing w:after="0" w:line="276" w:lineRule="auto"/>
        <w:rPr>
          <w:sz w:val="20"/>
          <w:szCs w:val="20"/>
          <w:color w:val="auto"/>
        </w:rPr>
      </w:pPr>
      <w:r>
        <w:rPr>
          <w:rFonts w:ascii="Arial" w:cs="Arial" w:eastAsia="Arial" w:hAnsi="Arial"/>
          <w:sz w:val="16"/>
          <w:szCs w:val="16"/>
          <w:color w:val="auto"/>
        </w:rPr>
        <w:t xml:space="preserve">Although we will adopt SFAS 123(R) effective January 1, 2006, we have not yet determined which method we will use. We adopted the fair-value-based method of accounting for share-based payments effective January 1, 2003 using the Prospective Method as described in SFAS 148, </w:t>
      </w:r>
      <w:r>
        <w:rPr>
          <w:rFonts w:ascii="Arial" w:cs="Arial" w:eastAsia="Arial" w:hAnsi="Arial"/>
          <w:sz w:val="16"/>
          <w:szCs w:val="16"/>
          <w:i w:val="1"/>
          <w:iCs w:val="1"/>
          <w:color w:val="auto"/>
        </w:rPr>
        <w:t>Accounting for Stock-Based</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w:t>
      </w:r>
      <w:r>
        <w:rPr>
          <w:rFonts w:ascii="Arial" w:cs="Arial" w:eastAsia="Arial" w:hAnsi="Arial"/>
          <w:sz w:val="16"/>
          <w:szCs w:val="16"/>
          <w:i w:val="1"/>
          <w:iCs w:val="1"/>
          <w:color w:val="auto"/>
        </w:rPr>
        <w:t>Transition and Disclosure</w:t>
      </w:r>
      <w:r>
        <w:rPr>
          <w:rFonts w:ascii="Arial" w:cs="Arial" w:eastAsia="Arial" w:hAnsi="Arial"/>
          <w:sz w:val="16"/>
          <w:szCs w:val="16"/>
          <w:color w:val="auto"/>
        </w:rPr>
        <w:t>. While we currently use the Black-Scholes-Merton formula to estimate the value of stock options granted to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which is an acceptable share-based award valuation model, we may choose some other model that is also acceptable in determining fair value of stock awards upon adoption of SFAS 123(R). Because SFAS 123(R) must be applied to unvested awards granted and accounted for under APB 25, any additional compensation costs not previously recognized under SFAS 123 will be recognized under SFAS 123(R). Our unvested APB 25 options will vest in the third quarter of 2005. If we adopt SFAS 123(R) using the Prospective Method, there would be no impact on our consolidated financial position, results of operations or cash flows. If we adopt using the Retrospective Method, the impact of those amounts would approximate the amounts described in our pro forma net income and earnings per share disclosure in Note 2 to our condensed consolidated financial statements under “Item 1. Financial Statements” included elsewhere in this quarterly report. In addition to the compensation cost recognition requirements, SFAS 123(R) also requires the tax deduction benefits for an award in excess of recognized compensation cost be reported as a financing cash flow rather than as an operating cash flow, which is currently required under SFAS 95. While we cannot estimate what these amounts will be in the future (because they depend on, among other things, when employees exercise stock options), we reported operating cash flows related to tax deduction benefits of $5.7 million and $4.9 million for the three and six months ended June 30, 2005, respectively. We reported operating cash flows related to the tax deduction benefits of $5.9 million for the year ended December 31, 2004.</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73660</wp:posOffset>
            </wp:positionV>
            <wp:extent cx="725551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Information</w:t>
      </w:r>
    </w:p>
    <w:p>
      <w:pPr>
        <w:spacing w:after="0" w:line="276" w:lineRule="exact"/>
        <w:rPr>
          <w:sz w:val="20"/>
          <w:szCs w:val="20"/>
          <w:color w:val="auto"/>
        </w:rPr>
      </w:pPr>
    </w:p>
    <w:p>
      <w:pPr>
        <w:jc w:val="both"/>
        <w:ind w:firstLine="628"/>
        <w:spacing w:after="0" w:line="275" w:lineRule="auto"/>
        <w:rPr>
          <w:sz w:val="20"/>
          <w:szCs w:val="20"/>
          <w:color w:val="auto"/>
        </w:rPr>
      </w:pPr>
      <w:r>
        <w:rPr>
          <w:rFonts w:ascii="Arial" w:cs="Arial" w:eastAsia="Arial" w:hAnsi="Arial"/>
          <w:sz w:val="16"/>
          <w:szCs w:val="16"/>
          <w:color w:val="auto"/>
        </w:rPr>
        <w:t>The statements included in this quarterly report regarding future financial performance and results of operations and other statements that are not historical facts are forward-looking statements within the meaning of Section 27A of the Securities Act of 1933 and Section 21E of the Securities Exchange Act of 1934. Statements to the effect that we or management “anticipates,”“believes,”“budgets,”“estimates,”“expects,”“forecasts,”“intends,”“plans,”“predicts,” or “projects” a particular result or course of events, or that such result or course of events “could,”“might,”“may,”“scheduled” or “should” occur, and similar expressions, are also intended to identify forward-looking statements. Forward-looking statements in this quarterly report include, but are not limited to, statements involving contract commencements, contract option exercises, revenues, expenses, commodity prices, customer drilling programs, supply and demand, utilization rates, dayrates, contract backlog, planned shipyard projects and rig mobilizations and their effects, rig relocations, expected downtime, future activity in the deepwater, mid-water and the shallow and inland water market sectors, market outlook for our various geographical operating sectors, capacity constraints for fifth-generation rigs, rig classes and business segments, the valuation allowance for deferred net tax assets of TODCO, intended reduction of debt, planned asset sales, timing of asset sales, proceeds from asset sales, our effective tax rate, changes in tax laws, treaties and regulations, our Sarbanes-Oxley Section 404 process, implementation of a financial integrated system, changes in our internal control structure and the impact of these changes on the overall effectiveness of our controls, our other expectations with regard to market outlook, operations in international markets, expected capital expenditures, results and effects of legal proceedings and governmental audits and assessments, adequacy of insurance, liabilities for tax issues, recognition of loss on termination of our prior revolving credit agreement, recognition of gain on debt repurchase, liquidity, cash flow from operations, adequacy of cash flow for our obligations, effects of accounting changes, adoption of accounting policies, pension plan contributions and the timing and cost of completion of capital projects. Such statements are subject to numerous risks, uncertainties and assumptions, including, but not limited to, those described in “Item 7. Management’s Discussion and Analysis of Financial Condition and Results of Operations―Risk Factors” included in our Annual Report on Form 10-K for the year ended December 31, 2004, the adequacy of sources of liquidity, the effect and results of litigation, audits and contingencies and other factors discussed in this quarterly report and in our other filings with the SEC, which are available free of charge on the SEC's website at www.sec.gov. Should one or more of these risks or uncertainties materialize, or should underlying assumptions prove incorrect, actual results may vary materially from those indicated. 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81" w:lineRule="exact"/>
        <w:rPr>
          <w:sz w:val="20"/>
          <w:szCs w:val="20"/>
          <w:color w:val="auto"/>
        </w:rPr>
      </w:pPr>
    </w:p>
    <w:p>
      <w:pPr>
        <w:ind w:firstLine="628"/>
        <w:spacing w:after="0" w:line="321" w:lineRule="auto"/>
        <w:rPr>
          <w:sz w:val="20"/>
          <w:szCs w:val="20"/>
          <w:color w:val="auto"/>
        </w:rPr>
      </w:pPr>
      <w:r>
        <w:rPr>
          <w:rFonts w:ascii="Arial" w:cs="Arial" w:eastAsia="Arial" w:hAnsi="Arial"/>
          <w:sz w:val="16"/>
          <w:szCs w:val="16"/>
          <w:color w:val="auto"/>
        </w:rPr>
        <w:t>Our exposure to market risk for changes in interest rates relates primarily to our long-term and short-term debt. The table below presents scheduled debt maturities and related weighted-average interest rates for each of the 12-month periods ending June 30 relating to debt obligations as of June 30, 2005.</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 June 30, 2005 (in millions, except interest rate percentages):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gridSpan w:val="8"/>
          </w:tcPr>
          <w:p>
            <w:pPr>
              <w:jc w:val="right"/>
              <w:ind w:right="60"/>
              <w:spacing w:after="0"/>
              <w:rPr>
                <w:sz w:val="20"/>
                <w:szCs w:val="20"/>
                <w:color w:val="auto"/>
              </w:rPr>
            </w:pPr>
            <w:r>
              <w:rPr>
                <w:rFonts w:ascii="Arial" w:cs="Arial" w:eastAsia="Arial" w:hAnsi="Arial"/>
                <w:sz w:val="17"/>
                <w:szCs w:val="17"/>
                <w:color w:val="auto"/>
                <w:w w:val="98"/>
              </w:rPr>
              <w:t>Scheduled Maturity Date (a) (b)</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60"/>
              <w:spacing w:after="0"/>
              <w:rPr>
                <w:sz w:val="20"/>
                <w:szCs w:val="20"/>
                <w:color w:val="auto"/>
              </w:rPr>
            </w:pPr>
            <w:r>
              <w:rPr>
                <w:rFonts w:ascii="Arial" w:cs="Arial" w:eastAsia="Arial" w:hAnsi="Arial"/>
                <w:sz w:val="17"/>
                <w:szCs w:val="17"/>
                <w:color w:val="auto"/>
              </w:rPr>
              <w:t>Fair Value</w:t>
            </w:r>
          </w:p>
        </w:tc>
      </w:tr>
      <w:tr>
        <w:trPr>
          <w:trHeight w:val="255"/>
        </w:trPr>
        <w:tc>
          <w:tcPr>
            <w:tcW w:w="37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2006</w:t>
            </w:r>
          </w:p>
        </w:tc>
        <w:tc>
          <w:tcPr>
            <w:tcW w:w="1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2007</w:t>
            </w:r>
          </w:p>
        </w:tc>
        <w:tc>
          <w:tcPr>
            <w:tcW w:w="1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2008</w:t>
            </w: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2009</w:t>
            </w:r>
          </w:p>
        </w:tc>
        <w:tc>
          <w:tcPr>
            <w:tcW w:w="1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2010</w:t>
            </w: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7"/>
                <w:szCs w:val="17"/>
                <w:color w:val="auto"/>
                <w:w w:val="99"/>
              </w:rPr>
              <w:t>Thereafter</w:t>
            </w:r>
          </w:p>
        </w:tc>
        <w:tc>
          <w:tcPr>
            <w:tcW w:w="1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7"/>
                <w:szCs w:val="17"/>
                <w:color w:val="auto"/>
              </w:rPr>
              <w:t>Total</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06/30/05</w:t>
            </w:r>
          </w:p>
        </w:tc>
        <w:tc>
          <w:tcPr>
            <w:tcW w:w="120" w:type="dxa"/>
            <w:vAlign w:val="bottom"/>
          </w:tcPr>
          <w:p>
            <w:pPr>
              <w:spacing w:after="0"/>
              <w:rPr>
                <w:sz w:val="22"/>
                <w:szCs w:val="22"/>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7"/>
                <w:szCs w:val="17"/>
                <w:color w:val="auto"/>
              </w:rPr>
              <w:t>Total debt</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6"/>
        </w:trPr>
        <w:tc>
          <w:tcPr>
            <w:tcW w:w="3720" w:type="dxa"/>
            <w:vAlign w:val="bottom"/>
            <w:shd w:val="clear" w:color="auto" w:fill="E2EEF6"/>
          </w:tcPr>
          <w:p>
            <w:pPr>
              <w:ind w:left="160"/>
              <w:spacing w:after="0"/>
              <w:rPr>
                <w:sz w:val="20"/>
                <w:szCs w:val="20"/>
                <w:color w:val="auto"/>
              </w:rPr>
            </w:pPr>
            <w:r>
              <w:rPr>
                <w:rFonts w:ascii="Arial" w:cs="Arial" w:eastAsia="Arial" w:hAnsi="Arial"/>
                <w:sz w:val="17"/>
                <w:szCs w:val="17"/>
                <w:color w:val="auto"/>
              </w:rPr>
              <w:t>Fixed Rate</w:t>
            </w:r>
          </w:p>
        </w:tc>
        <w:tc>
          <w:tcPr>
            <w:tcW w:w="14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2EEF6"/>
          </w:tcPr>
          <w:p>
            <w:pPr>
              <w:jc w:val="right"/>
              <w:spacing w:after="0"/>
              <w:rPr>
                <w:sz w:val="20"/>
                <w:szCs w:val="20"/>
                <w:color w:val="auto"/>
              </w:rPr>
            </w:pPr>
            <w:r>
              <w:rPr>
                <w:rFonts w:ascii="Arial" w:cs="Arial" w:eastAsia="Arial" w:hAnsi="Arial"/>
                <w:sz w:val="17"/>
                <w:szCs w:val="17"/>
                <w:color w:val="auto"/>
              </w:rPr>
              <w:t>400.0</w:t>
            </w:r>
          </w:p>
        </w:tc>
        <w:tc>
          <w:tcPr>
            <w:tcW w:w="140" w:type="dxa"/>
            <w:vAlign w:val="bottom"/>
            <w:shd w:val="clear" w:color="auto" w:fill="E2EEF6"/>
          </w:tcPr>
          <w:p>
            <w:pPr>
              <w:spacing w:after="0"/>
              <w:rPr>
                <w:sz w:val="20"/>
                <w:szCs w:val="20"/>
                <w:color w:val="auto"/>
              </w:rPr>
            </w:pPr>
          </w:p>
        </w:tc>
        <w:tc>
          <w:tcPr>
            <w:tcW w:w="180" w:type="dxa"/>
            <w:vAlign w:val="bottom"/>
            <w:gridSpan w:val="2"/>
            <w:shd w:val="clear" w:color="auto" w:fill="E2EEF6"/>
          </w:tcPr>
          <w:p>
            <w:pPr>
              <w:jc w:val="right"/>
              <w:ind w:right="80"/>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E2EEF6"/>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19.0</w:t>
            </w:r>
          </w:p>
        </w:tc>
        <w:tc>
          <w:tcPr>
            <w:tcW w:w="180" w:type="dxa"/>
            <w:vAlign w:val="bottom"/>
            <w:gridSpan w:val="2"/>
            <w:shd w:val="clear" w:color="auto" w:fill="E2EEF6"/>
          </w:tcPr>
          <w:p>
            <w:pPr>
              <w:jc w:val="right"/>
              <w:ind w:right="80"/>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E2EEF6"/>
          </w:tcPr>
          <w:p>
            <w:pPr>
              <w:ind w:left="56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E2EEF6"/>
          </w:tcPr>
          <w:p>
            <w:pPr>
              <w:spacing w:after="0"/>
              <w:rPr>
                <w:sz w:val="20"/>
                <w:szCs w:val="20"/>
                <w:color w:val="auto"/>
              </w:rPr>
            </w:pPr>
          </w:p>
        </w:tc>
        <w:tc>
          <w:tcPr>
            <w:tcW w:w="680" w:type="dxa"/>
            <w:vAlign w:val="bottom"/>
            <w:gridSpan w:val="2"/>
            <w:shd w:val="clear" w:color="auto" w:fill="E2EEF6"/>
          </w:tcPr>
          <w:p>
            <w:pPr>
              <w:jc w:val="right"/>
              <w:ind w:right="580"/>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E2EEF6"/>
          </w:tcPr>
          <w:p>
            <w:pPr>
              <w:ind w:left="6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E2EEF6"/>
          </w:tcPr>
          <w:p>
            <w:pPr>
              <w:spacing w:after="0"/>
              <w:rPr>
                <w:sz w:val="20"/>
                <w:szCs w:val="20"/>
                <w:color w:val="auto"/>
              </w:rPr>
            </w:pPr>
          </w:p>
        </w:tc>
        <w:tc>
          <w:tcPr>
            <w:tcW w:w="1020" w:type="dxa"/>
            <w:vAlign w:val="bottom"/>
            <w:gridSpan w:val="2"/>
            <w:shd w:val="clear" w:color="auto" w:fill="E2EEF6"/>
          </w:tcPr>
          <w:p>
            <w:pPr>
              <w:jc w:val="right"/>
              <w:ind w:right="160"/>
              <w:spacing w:after="0"/>
              <w:rPr>
                <w:sz w:val="20"/>
                <w:szCs w:val="20"/>
                <w:color w:val="auto"/>
              </w:rPr>
            </w:pPr>
            <w:r>
              <w:rPr>
                <w:rFonts w:ascii="Arial" w:cs="Arial" w:eastAsia="Arial" w:hAnsi="Arial"/>
                <w:sz w:val="17"/>
                <w:szCs w:val="17"/>
                <w:color w:val="auto"/>
              </w:rPr>
              <w:t>$   1,603.8</w:t>
            </w:r>
          </w:p>
        </w:tc>
        <w:tc>
          <w:tcPr>
            <w:tcW w:w="160" w:type="dxa"/>
            <w:vAlign w:val="bottom"/>
            <w:shd w:val="clear" w:color="auto" w:fill="E2EEF6"/>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E2EEF6"/>
          </w:tcPr>
          <w:p>
            <w:pPr>
              <w:jc w:val="right"/>
              <w:spacing w:after="0"/>
              <w:rPr>
                <w:sz w:val="20"/>
                <w:szCs w:val="20"/>
                <w:color w:val="auto"/>
              </w:rPr>
            </w:pPr>
            <w:r>
              <w:rPr>
                <w:rFonts w:ascii="Arial" w:cs="Arial" w:eastAsia="Arial" w:hAnsi="Arial"/>
                <w:sz w:val="17"/>
                <w:szCs w:val="17"/>
                <w:color w:val="auto"/>
              </w:rPr>
              <w:t>2,122.8</w:t>
            </w:r>
          </w:p>
        </w:tc>
        <w:tc>
          <w:tcPr>
            <w:tcW w:w="180" w:type="dxa"/>
            <w:vAlign w:val="bottom"/>
            <w:shd w:val="clear" w:color="auto" w:fill="E2EEF6"/>
          </w:tcPr>
          <w:p>
            <w:pPr>
              <w:spacing w:after="0"/>
              <w:rPr>
                <w:sz w:val="20"/>
                <w:szCs w:val="20"/>
                <w:color w:val="auto"/>
              </w:rPr>
            </w:pPr>
          </w:p>
        </w:tc>
        <w:tc>
          <w:tcPr>
            <w:tcW w:w="960" w:type="dxa"/>
            <w:vAlign w:val="bottom"/>
            <w:gridSpan w:val="2"/>
            <w:shd w:val="clear" w:color="auto" w:fill="E2EEF6"/>
          </w:tcPr>
          <w:p>
            <w:pPr>
              <w:jc w:val="right"/>
              <w:ind w:right="120"/>
              <w:spacing w:after="0"/>
              <w:rPr>
                <w:sz w:val="20"/>
                <w:szCs w:val="20"/>
                <w:color w:val="auto"/>
              </w:rPr>
            </w:pPr>
            <w:r>
              <w:rPr>
                <w:rFonts w:ascii="Arial" w:cs="Arial" w:eastAsia="Arial" w:hAnsi="Arial"/>
                <w:sz w:val="17"/>
                <w:szCs w:val="17"/>
                <w:color w:val="auto"/>
              </w:rPr>
              <w:t>$   2,491.2</w:t>
            </w:r>
          </w:p>
        </w:tc>
      </w:tr>
      <w:tr>
        <w:trPr>
          <w:trHeight w:val="223"/>
        </w:trPr>
        <w:tc>
          <w:tcPr>
            <w:tcW w:w="3720" w:type="dxa"/>
            <w:vAlign w:val="bottom"/>
          </w:tcPr>
          <w:p>
            <w:pPr>
              <w:ind w:left="320"/>
              <w:spacing w:after="0"/>
              <w:rPr>
                <w:sz w:val="20"/>
                <w:szCs w:val="20"/>
                <w:color w:val="auto"/>
              </w:rPr>
            </w:pPr>
            <w:r>
              <w:rPr>
                <w:rFonts w:ascii="Arial" w:cs="Arial" w:eastAsia="Arial" w:hAnsi="Arial"/>
                <w:sz w:val="17"/>
                <w:szCs w:val="17"/>
                <w:color w:val="auto"/>
              </w:rPr>
              <w:t>Average interest rate</w:t>
            </w: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7.5%</w:t>
            </w: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560"/>
              <w:spacing w:after="0"/>
              <w:rPr>
                <w:sz w:val="20"/>
                <w:szCs w:val="20"/>
                <w:color w:val="auto"/>
              </w:rPr>
            </w:pPr>
            <w:r>
              <w:rPr>
                <w:rFonts w:ascii="Arial" w:cs="Arial" w:eastAsia="Arial" w:hAnsi="Arial"/>
                <w:sz w:val="17"/>
                <w:szCs w:val="17"/>
                <w:color w:val="auto"/>
                <w:w w:val="96"/>
              </w:rPr>
              <w:t>-%</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gridSpan w:val="2"/>
          </w:tcPr>
          <w:p>
            <w:pPr>
              <w:ind w:left="60"/>
              <w:spacing w:after="0"/>
              <w:rPr>
                <w:sz w:val="20"/>
                <w:szCs w:val="20"/>
                <w:color w:val="auto"/>
              </w:rPr>
            </w:pPr>
            <w:r>
              <w:rPr>
                <w:rFonts w:ascii="Arial" w:cs="Arial" w:eastAsia="Arial" w:hAnsi="Arial"/>
                <w:sz w:val="17"/>
                <w:szCs w:val="17"/>
                <w:color w:val="auto"/>
                <w:w w:val="96"/>
              </w:rPr>
              <w:t>-%</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7.1%</w:t>
            </w: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6.0%</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3720" w:type="dxa"/>
            <w:vAlign w:val="bottom"/>
          </w:tcPr>
          <w:p>
            <w:pPr>
              <w:spacing w:after="0"/>
              <w:rPr>
                <w:sz w:val="20"/>
                <w:szCs w:val="20"/>
                <w:color w:val="auto"/>
              </w:rPr>
            </w:pPr>
            <w:r>
              <w:rPr>
                <w:rFonts w:ascii="Arial" w:cs="Arial" w:eastAsia="Arial" w:hAnsi="Arial"/>
                <w:sz w:val="17"/>
                <w:szCs w:val="17"/>
                <w:color w:val="auto"/>
              </w:rPr>
              <w:t>__________________________</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ind w:left="320" w:hanging="315"/>
        <w:spacing w:after="0" w:line="256" w:lineRule="auto"/>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Maturity dates of the face value of our debt assume the put options on 1.5% Convertible Debentures, 7.45% Notes and the Zero Coupon Convertible Debentures will be exercised in May 2006, April 2007 and May 2008, respectively.</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Expected maturity amounts are based on the face value of debt.</w:t>
      </w:r>
    </w:p>
    <w:p>
      <w:pPr>
        <w:spacing w:after="0" w:line="263"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At June 30, 2005, we had no variable rate debt and as such interest expense had no exposure to changes in interest rates. However, a large part of our cash investments would earn commensurately higher rates of return if interest rates increase. Using June 30, 2005 cash investment levels, a one percent increase in interest rates would result in approximately $8.1 million of additional interest income per year.</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Exchange Risk</w:t>
      </w:r>
    </w:p>
    <w:p>
      <w:pPr>
        <w:spacing w:after="0" w:line="281" w:lineRule="exact"/>
        <w:rPr>
          <w:sz w:val="20"/>
          <w:szCs w:val="20"/>
          <w:color w:val="auto"/>
        </w:rPr>
      </w:pPr>
    </w:p>
    <w:p>
      <w:pPr>
        <w:jc w:val="both"/>
        <w:ind w:firstLine="628"/>
        <w:spacing w:after="0" w:line="277" w:lineRule="auto"/>
        <w:rPr>
          <w:sz w:val="20"/>
          <w:szCs w:val="20"/>
          <w:color w:val="auto"/>
        </w:rPr>
      </w:pPr>
      <w:r>
        <w:rPr>
          <w:rFonts w:ascii="Arial" w:cs="Arial" w:eastAsia="Arial" w:hAnsi="Arial"/>
          <w:sz w:val="16"/>
          <w:szCs w:val="16"/>
          <w:color w:val="auto"/>
        </w:rPr>
        <w:t>Our international operations expose us to foreign exchange risk. We use a variety of techniques to minimize the exposure to foreign exchange risk, including customer contract payment terms and the possible use of foreign exchange derivative instruments. Our primary foreign exchange risk management strategy involves structuring customer contracts to provide for payment in both U.S. dollars, which is our functional currency, and local currency. The payment portion denominated in local currency is based on anticipated local currency requirements over the contract term. Due to various factors, including customer acceptance, local banking laws, other statutory requirements, local currency convertibility and the impact of inflation on local costs, actual foreign exchange needs may vary from those anticipated in the customer contracts, resulting in partial exposure to foreign exchange risk. Fluctuations in foreign currencies typically have not had a material impact on overall results. In situations where payments of local currency do not equal local currency requirements, foreign exchange derivative instruments, specifically foreign exchange forward contracts or spot purchases, may be used to mitigate foreign currency risk. A foreign exchange forward contract obligates us to exchange predetermined amounts of specified foreign currencies at specified exchange rates on specified dates or to make an equivalent U.S. dollar payment equal to the value of such exchange. We do not enter into derivative transactions for speculative purposes. At June 30, 2005, we had no open foreign exchange derivative contracts.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81" w:lineRule="exact"/>
        <w:rPr>
          <w:sz w:val="20"/>
          <w:szCs w:val="20"/>
          <w:color w:val="auto"/>
        </w:rPr>
      </w:pPr>
    </w:p>
    <w:p>
      <w:pPr>
        <w:jc w:val="both"/>
        <w:ind w:firstLine="628"/>
        <w:spacing w:after="0" w:line="262" w:lineRule="auto"/>
        <w:rPr>
          <w:sz w:val="20"/>
          <w:szCs w:val="20"/>
          <w:color w:val="auto"/>
        </w:rPr>
      </w:pPr>
      <w:r>
        <w:rPr>
          <w:rFonts w:ascii="Arial" w:cs="Arial" w:eastAsia="Arial" w:hAnsi="Arial"/>
          <w:sz w:val="17"/>
          <w:szCs w:val="17"/>
          <w:color w:val="auto"/>
        </w:rPr>
        <w:t>In accordance with Exchange Act Rules 13a-15 and 15d-15, we carried out an evaluation, under the supervision and with the participation of management, including our Chief Executive Officer and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June 30, 2005 and provide reasonable assurance that information required to be disclosed in our reports filed or submitted under the Exchange Act is (i) accumulated and communicated to our management, including our Chief Executive Officer and our Chief Financial Officer, to allow timely decisions regarding required disclosure and (ii) recorded, processed, summarized and reported within the time periods specified in the Securities and Exchange Commission’s rules and forms.</w:t>
      </w:r>
    </w:p>
    <w:p>
      <w:pPr>
        <w:spacing w:after="0" w:line="233" w:lineRule="exact"/>
        <w:rPr>
          <w:sz w:val="20"/>
          <w:szCs w:val="20"/>
          <w:color w:val="auto"/>
        </w:rPr>
      </w:pPr>
    </w:p>
    <w:p>
      <w:pPr>
        <w:jc w:val="both"/>
        <w:ind w:firstLine="628"/>
        <w:spacing w:after="0" w:line="297" w:lineRule="auto"/>
        <w:rPr>
          <w:sz w:val="20"/>
          <w:szCs w:val="20"/>
          <w:color w:val="auto"/>
        </w:rPr>
      </w:pPr>
      <w:r>
        <w:rPr>
          <w:rFonts w:ascii="Arial" w:cs="Arial" w:eastAsia="Arial" w:hAnsi="Arial"/>
          <w:sz w:val="16"/>
          <w:szCs w:val="16"/>
          <w:color w:val="auto"/>
        </w:rPr>
        <w:t>Pursuant to our efforts relating to Section 404 of the Sarbanes-Oxley Act, we continued to make certain changes to our internal controls over financial reporting during the quarter ended June 30, 2005 that we believe better align these controls with the Section 404 requirements. However, there were no changes in these internal controls during that quarter that have materially affected, or are reasonably likely to materially affect, our internal controls over financial reporting.</w:t>
      </w:r>
    </w:p>
    <w:p>
      <w:pPr>
        <w:spacing w:after="0" w:line="206" w:lineRule="exact"/>
        <w:rPr>
          <w:sz w:val="20"/>
          <w:szCs w:val="20"/>
          <w:color w:val="auto"/>
        </w:rPr>
      </w:pPr>
    </w:p>
    <w:p>
      <w:pPr>
        <w:jc w:val="both"/>
        <w:ind w:firstLine="628"/>
        <w:spacing w:after="0" w:line="288" w:lineRule="auto"/>
        <w:rPr>
          <w:sz w:val="20"/>
          <w:szCs w:val="20"/>
          <w:color w:val="auto"/>
        </w:rPr>
      </w:pPr>
      <w:r>
        <w:rPr>
          <w:rFonts w:ascii="Arial" w:cs="Arial" w:eastAsia="Arial" w:hAnsi="Arial"/>
          <w:sz w:val="17"/>
          <w:szCs w:val="17"/>
          <w:color w:val="auto"/>
        </w:rPr>
        <w:t>We also implemented an integrated financial reporting system in the second quarter of 2005. As a result, we made a variety of changes in our internal control structure. These changes did not impact the overall effectiveness of our controls.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81"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6"/>
          <w:szCs w:val="16"/>
          <w:color w:val="auto"/>
        </w:rPr>
        <w:t>We have certain other actions or claims pending that have been previously discussed and reported in our Annual Report on Form 10-K for the year ended December 31, 2004 and our other reports filed with the Securities and Exchange Commission. There have been no material developments in these previously reported matters. We are involved in a number of other lawsuits, all of which have arisen in the ordinary course of our business. We do not expect the liability, if any, resulting from these other lawsuits to have a material adverse effect on our current consolidated financial position, results of operations and cash flows. We cannot predict with certainty the outcome or effect of any of the litigation matters specifically described above or of any such other pending or threatened litigation. There can be no assurance that our beliefs or expectations as to the outcome or effect of any lawsuit or other litigation matter will prove correct and the eventual outcome of these matters could materially differ from management’s current estimates.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5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(c) Total Number of Shares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(d) Maximum Number (or</w:t>
            </w:r>
          </w:p>
        </w:tc>
        <w:tc>
          <w:tcPr>
            <w:tcW w:w="0" w:type="dxa"/>
            <w:vAlign w:val="bottom"/>
          </w:tcPr>
          <w:p>
            <w:pPr>
              <w:spacing w:after="0"/>
              <w:rPr>
                <w:sz w:val="1"/>
                <w:szCs w:val="1"/>
                <w:color w:val="auto"/>
              </w:rPr>
            </w:pPr>
          </w:p>
        </w:tc>
      </w:tr>
      <w:tr>
        <w:trPr>
          <w:trHeight w:val="78"/>
        </w:trPr>
        <w:tc>
          <w:tcPr>
            <w:tcW w:w="2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20" w:type="dxa"/>
            <w:vAlign w:val="bottom"/>
            <w:gridSpan w:val="2"/>
            <w:vMerge w:val="continue"/>
          </w:tcPr>
          <w:p>
            <w:pPr>
              <w:spacing w:after="0"/>
              <w:rPr>
                <w:sz w:val="6"/>
                <w:szCs w:val="6"/>
                <w:color w:val="auto"/>
              </w:rPr>
            </w:pPr>
          </w:p>
        </w:tc>
        <w:tc>
          <w:tcPr>
            <w:tcW w:w="1800" w:type="dxa"/>
            <w:vAlign w:val="bottom"/>
            <w:vMerge w:val="restart"/>
          </w:tcPr>
          <w:p>
            <w:pPr>
              <w:jc w:val="center"/>
              <w:spacing w:after="0" w:line="144" w:lineRule="exact"/>
              <w:rPr>
                <w:sz w:val="20"/>
                <w:szCs w:val="20"/>
                <w:color w:val="auto"/>
              </w:rPr>
            </w:pPr>
            <w:r>
              <w:rPr>
                <w:rFonts w:ascii="Arial" w:cs="Arial" w:eastAsia="Arial" w:hAnsi="Arial"/>
                <w:sz w:val="14"/>
                <w:szCs w:val="14"/>
                <w:b w:val="1"/>
                <w:bCs w:val="1"/>
                <w:color w:val="auto"/>
                <w:w w:val="91"/>
              </w:rPr>
              <w:t>Approximate Dollar Value) of</w:t>
            </w:r>
          </w:p>
        </w:tc>
        <w:tc>
          <w:tcPr>
            <w:tcW w:w="0" w:type="dxa"/>
            <w:vAlign w:val="bottom"/>
          </w:tcPr>
          <w:p>
            <w:pPr>
              <w:spacing w:after="0"/>
              <w:rPr>
                <w:sz w:val="1"/>
                <w:szCs w:val="1"/>
                <w:color w:val="auto"/>
              </w:rPr>
            </w:pPr>
          </w:p>
        </w:tc>
      </w:tr>
      <w:tr>
        <w:trPr>
          <w:trHeight w:val="65"/>
        </w:trPr>
        <w:tc>
          <w:tcPr>
            <w:tcW w:w="2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Purchased as Part of Publicly</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gridSpan w:val="2"/>
            <w:vMerge w:val="continue"/>
          </w:tcPr>
          <w:p>
            <w:pPr>
              <w:spacing w:after="0"/>
              <w:rPr>
                <w:sz w:val="9"/>
                <w:szCs w:val="9"/>
                <w:color w:val="auto"/>
              </w:rPr>
            </w:pPr>
          </w:p>
        </w:tc>
        <w:tc>
          <w:tcPr>
            <w:tcW w:w="1800" w:type="dxa"/>
            <w:vAlign w:val="bottom"/>
            <w:vMerge w:val="restart"/>
          </w:tcPr>
          <w:p>
            <w:pPr>
              <w:jc w:val="center"/>
              <w:spacing w:after="0" w:line="144" w:lineRule="exact"/>
              <w:rPr>
                <w:sz w:val="20"/>
                <w:szCs w:val="20"/>
                <w:color w:val="auto"/>
              </w:rPr>
            </w:pPr>
            <w:r>
              <w:rPr>
                <w:rFonts w:ascii="Arial" w:cs="Arial" w:eastAsia="Arial" w:hAnsi="Arial"/>
                <w:sz w:val="14"/>
                <w:szCs w:val="14"/>
                <w:b w:val="1"/>
                <w:bCs w:val="1"/>
                <w:color w:val="auto"/>
                <w:w w:val="90"/>
              </w:rPr>
              <w:t>Shares that May Yet Be</w:t>
            </w:r>
          </w:p>
        </w:tc>
        <w:tc>
          <w:tcPr>
            <w:tcW w:w="0" w:type="dxa"/>
            <w:vAlign w:val="bottom"/>
          </w:tcPr>
          <w:p>
            <w:pPr>
              <w:spacing w:after="0"/>
              <w:rPr>
                <w:sz w:val="1"/>
                <w:szCs w:val="1"/>
                <w:color w:val="auto"/>
              </w:rPr>
            </w:pPr>
          </w:p>
        </w:tc>
      </w:tr>
      <w:tr>
        <w:trPr>
          <w:trHeight w:val="39"/>
        </w:trPr>
        <w:tc>
          <w:tcPr>
            <w:tcW w:w="2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4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w w:val="94"/>
              </w:rPr>
              <w:t>(a) Total Number of Shares</w:t>
            </w:r>
          </w:p>
        </w:tc>
        <w:tc>
          <w:tcPr>
            <w:tcW w:w="200" w:type="dxa"/>
            <w:vAlign w:val="bottom"/>
          </w:tcPr>
          <w:p>
            <w:pPr>
              <w:spacing w:after="0"/>
              <w:rPr>
                <w:sz w:val="3"/>
                <w:szCs w:val="3"/>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(b) Average Price Paid Per</w:t>
            </w:r>
          </w:p>
        </w:tc>
        <w:tc>
          <w:tcPr>
            <w:tcW w:w="200" w:type="dxa"/>
            <w:vAlign w:val="bottom"/>
          </w:tcPr>
          <w:p>
            <w:pPr>
              <w:spacing w:after="0"/>
              <w:rPr>
                <w:sz w:val="3"/>
                <w:szCs w:val="3"/>
                <w:color w:val="auto"/>
              </w:rPr>
            </w:pPr>
          </w:p>
        </w:tc>
        <w:tc>
          <w:tcPr>
            <w:tcW w:w="2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Announced Plans or Programs</w:t>
            </w:r>
          </w:p>
        </w:tc>
        <w:tc>
          <w:tcPr>
            <w:tcW w:w="1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20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Period</w:t>
            </w:r>
          </w:p>
        </w:tc>
        <w:tc>
          <w:tcPr>
            <w:tcW w:w="2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8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0"/>
              </w:rPr>
              <w:t>Purchased Under the Plans or</w:t>
            </w:r>
          </w:p>
        </w:tc>
        <w:tc>
          <w:tcPr>
            <w:tcW w:w="0" w:type="dxa"/>
            <w:vAlign w:val="bottom"/>
          </w:tcPr>
          <w:p>
            <w:pPr>
              <w:spacing w:after="0"/>
              <w:rPr>
                <w:sz w:val="1"/>
                <w:szCs w:val="1"/>
                <w:color w:val="auto"/>
              </w:rPr>
            </w:pPr>
          </w:p>
        </w:tc>
      </w:tr>
      <w:tr>
        <w:trPr>
          <w:trHeight w:val="170"/>
        </w:trPr>
        <w:tc>
          <w:tcPr>
            <w:tcW w:w="20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Purchased (1)</w:t>
            </w:r>
          </w:p>
        </w:tc>
        <w:tc>
          <w:tcPr>
            <w:tcW w:w="20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20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(2)</w:t>
            </w:r>
          </w:p>
        </w:tc>
        <w:tc>
          <w:tcPr>
            <w:tcW w:w="0" w:type="dxa"/>
            <w:vAlign w:val="bottom"/>
          </w:tcPr>
          <w:p>
            <w:pPr>
              <w:spacing w:after="0"/>
              <w:rPr>
                <w:sz w:val="1"/>
                <w:szCs w:val="1"/>
                <w:color w:val="auto"/>
              </w:rPr>
            </w:pPr>
          </w:p>
        </w:tc>
      </w:tr>
      <w:tr>
        <w:trPr>
          <w:trHeight w:val="229"/>
        </w:trPr>
        <w:tc>
          <w:tcPr>
            <w:tcW w:w="2040" w:type="dxa"/>
            <w:vAlign w:val="bottom"/>
            <w:shd w:val="clear" w:color="auto" w:fill="E2EEF6"/>
          </w:tcPr>
          <w:p>
            <w:pPr>
              <w:spacing w:after="0"/>
              <w:rPr>
                <w:sz w:val="20"/>
                <w:szCs w:val="20"/>
                <w:color w:val="auto"/>
              </w:rPr>
            </w:pPr>
            <w:r>
              <w:rPr>
                <w:rFonts w:ascii="Arial" w:cs="Arial" w:eastAsia="Arial" w:hAnsi="Arial"/>
                <w:sz w:val="17"/>
                <w:szCs w:val="17"/>
                <w:color w:val="auto"/>
              </w:rPr>
              <w:t>April 2005</w:t>
            </w:r>
          </w:p>
        </w:tc>
        <w:tc>
          <w:tcPr>
            <w:tcW w:w="2040" w:type="dxa"/>
            <w:vAlign w:val="bottom"/>
            <w:gridSpan w:val="2"/>
            <w:shd w:val="clear" w:color="auto" w:fill="E2EEF6"/>
          </w:tcPr>
          <w:p>
            <w:pPr>
              <w:jc w:val="right"/>
              <w:ind w:right="604"/>
              <w:spacing w:after="0"/>
              <w:rPr>
                <w:sz w:val="20"/>
                <w:szCs w:val="20"/>
                <w:color w:val="auto"/>
              </w:rPr>
            </w:pPr>
            <w:r>
              <w:rPr>
                <w:rFonts w:ascii="Arial" w:cs="Arial" w:eastAsia="Arial" w:hAnsi="Arial"/>
                <w:sz w:val="17"/>
                <w:szCs w:val="17"/>
                <w:color w:val="auto"/>
              </w:rPr>
              <w:t>58,237</w:t>
            </w:r>
          </w:p>
        </w:tc>
        <w:tc>
          <w:tcPr>
            <w:tcW w:w="2020" w:type="dxa"/>
            <w:vAlign w:val="bottom"/>
            <w:gridSpan w:val="2"/>
            <w:shd w:val="clear" w:color="auto" w:fill="E2EEF6"/>
          </w:tcPr>
          <w:p>
            <w:pPr>
              <w:jc w:val="center"/>
              <w:ind w:left="133"/>
              <w:spacing w:after="0"/>
              <w:rPr>
                <w:sz w:val="20"/>
                <w:szCs w:val="20"/>
                <w:color w:val="auto"/>
              </w:rPr>
            </w:pPr>
            <w:r>
              <w:rPr>
                <w:rFonts w:ascii="Arial" w:cs="Arial" w:eastAsia="Arial" w:hAnsi="Arial"/>
                <w:sz w:val="17"/>
                <w:szCs w:val="17"/>
                <w:color w:val="auto"/>
                <w:w w:val="92"/>
              </w:rPr>
              <w:t>$52.01</w:t>
            </w:r>
          </w:p>
        </w:tc>
        <w:tc>
          <w:tcPr>
            <w:tcW w:w="200" w:type="dxa"/>
            <w:vAlign w:val="bottom"/>
            <w:shd w:val="clear" w:color="auto" w:fill="E2EEF6"/>
          </w:tcPr>
          <w:p>
            <w:pPr>
              <w:spacing w:after="0"/>
              <w:rPr>
                <w:sz w:val="19"/>
                <w:szCs w:val="19"/>
                <w:color w:val="auto"/>
              </w:rPr>
            </w:pPr>
          </w:p>
        </w:tc>
        <w:tc>
          <w:tcPr>
            <w:tcW w:w="2020" w:type="dxa"/>
            <w:vAlign w:val="bottom"/>
            <w:gridSpan w:val="2"/>
            <w:shd w:val="clear" w:color="auto" w:fill="E2EEF6"/>
          </w:tcPr>
          <w:p>
            <w:pPr>
              <w:ind w:left="760"/>
              <w:spacing w:after="0"/>
              <w:rPr>
                <w:sz w:val="20"/>
                <w:szCs w:val="20"/>
                <w:color w:val="auto"/>
              </w:rPr>
            </w:pPr>
            <w:r>
              <w:rPr>
                <w:rFonts w:ascii="Arial" w:cs="Arial" w:eastAsia="Arial" w:hAnsi="Arial"/>
                <w:sz w:val="17"/>
                <w:szCs w:val="17"/>
                <w:color w:val="auto"/>
              </w:rPr>
              <w:t>N/A</w:t>
            </w:r>
          </w:p>
        </w:tc>
        <w:tc>
          <w:tcPr>
            <w:tcW w:w="1800" w:type="dxa"/>
            <w:vAlign w:val="bottom"/>
            <w:shd w:val="clear" w:color="auto" w:fill="E2EEF6"/>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35"/>
        </w:trPr>
        <w:tc>
          <w:tcPr>
            <w:tcW w:w="2040" w:type="dxa"/>
            <w:vAlign w:val="bottom"/>
          </w:tcPr>
          <w:p>
            <w:pPr>
              <w:spacing w:after="0"/>
              <w:rPr>
                <w:sz w:val="20"/>
                <w:szCs w:val="20"/>
                <w:color w:val="auto"/>
              </w:rPr>
            </w:pPr>
            <w:r>
              <w:rPr>
                <w:rFonts w:ascii="Arial" w:cs="Arial" w:eastAsia="Arial" w:hAnsi="Arial"/>
                <w:sz w:val="17"/>
                <w:szCs w:val="17"/>
                <w:color w:val="auto"/>
              </w:rPr>
              <w:t>May 2005</w:t>
            </w:r>
          </w:p>
        </w:tc>
        <w:tc>
          <w:tcPr>
            <w:tcW w:w="2040" w:type="dxa"/>
            <w:vAlign w:val="bottom"/>
            <w:gridSpan w:val="2"/>
          </w:tcPr>
          <w:p>
            <w:pPr>
              <w:jc w:val="right"/>
              <w:ind w:right="604"/>
              <w:spacing w:after="0"/>
              <w:rPr>
                <w:sz w:val="20"/>
                <w:szCs w:val="20"/>
                <w:color w:val="auto"/>
              </w:rPr>
            </w:pPr>
            <w:r>
              <w:rPr>
                <w:rFonts w:ascii="Arial" w:cs="Arial" w:eastAsia="Arial" w:hAnsi="Arial"/>
                <w:sz w:val="17"/>
                <w:szCs w:val="17"/>
                <w:color w:val="auto"/>
              </w:rPr>
              <w:t>163</w:t>
            </w:r>
          </w:p>
        </w:tc>
        <w:tc>
          <w:tcPr>
            <w:tcW w:w="2020" w:type="dxa"/>
            <w:vAlign w:val="bottom"/>
            <w:gridSpan w:val="2"/>
          </w:tcPr>
          <w:p>
            <w:pPr>
              <w:jc w:val="center"/>
              <w:ind w:left="133"/>
              <w:spacing w:after="0"/>
              <w:rPr>
                <w:sz w:val="20"/>
                <w:szCs w:val="20"/>
                <w:color w:val="auto"/>
              </w:rPr>
            </w:pPr>
            <w:r>
              <w:rPr>
                <w:rFonts w:ascii="Arial" w:cs="Arial" w:eastAsia="Arial" w:hAnsi="Arial"/>
                <w:sz w:val="17"/>
                <w:szCs w:val="17"/>
                <w:color w:val="auto"/>
                <w:w w:val="92"/>
              </w:rPr>
              <w:t>$52.01</w:t>
            </w:r>
          </w:p>
        </w:tc>
        <w:tc>
          <w:tcPr>
            <w:tcW w:w="200" w:type="dxa"/>
            <w:vAlign w:val="bottom"/>
          </w:tcPr>
          <w:p>
            <w:pPr>
              <w:spacing w:after="0"/>
              <w:rPr>
                <w:sz w:val="20"/>
                <w:szCs w:val="20"/>
                <w:color w:val="auto"/>
              </w:rPr>
            </w:pPr>
          </w:p>
        </w:tc>
        <w:tc>
          <w:tcPr>
            <w:tcW w:w="2020" w:type="dxa"/>
            <w:vAlign w:val="bottom"/>
            <w:gridSpan w:val="2"/>
          </w:tcPr>
          <w:p>
            <w:pPr>
              <w:ind w:left="760"/>
              <w:spacing w:after="0"/>
              <w:rPr>
                <w:sz w:val="20"/>
                <w:szCs w:val="20"/>
                <w:color w:val="auto"/>
              </w:rPr>
            </w:pPr>
            <w:r>
              <w:rPr>
                <w:rFonts w:ascii="Arial" w:cs="Arial" w:eastAsia="Arial" w:hAnsi="Arial"/>
                <w:sz w:val="17"/>
                <w:szCs w:val="17"/>
                <w:color w:val="auto"/>
              </w:rPr>
              <w:t>N/A</w:t>
            </w:r>
          </w:p>
        </w:tc>
        <w:tc>
          <w:tcPr>
            <w:tcW w:w="1800" w:type="dxa"/>
            <w:vAlign w:val="bottom"/>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7"/>
                <w:szCs w:val="17"/>
                <w:color w:val="auto"/>
              </w:rPr>
              <w:t>June 2005</w:t>
            </w:r>
          </w:p>
        </w:tc>
        <w:tc>
          <w:tcPr>
            <w:tcW w:w="200" w:type="dxa"/>
            <w:vAlign w:val="bottom"/>
            <w:tcBorders>
              <w:bottom w:val="single" w:sz="8" w:color="E2EEF6"/>
            </w:tcBorders>
            <w:shd w:val="clear" w:color="auto" w:fill="E2EEF6"/>
          </w:tcPr>
          <w:p>
            <w:pPr>
              <w:spacing w:after="0"/>
              <w:rPr>
                <w:sz w:val="19"/>
                <w:szCs w:val="19"/>
                <w:color w:val="auto"/>
              </w:rPr>
            </w:pPr>
          </w:p>
        </w:tc>
        <w:tc>
          <w:tcPr>
            <w:tcW w:w="1840" w:type="dxa"/>
            <w:vAlign w:val="bottom"/>
            <w:tcBorders>
              <w:bottom w:val="single" w:sz="8" w:color="auto"/>
            </w:tcBorders>
            <w:shd w:val="clear" w:color="auto" w:fill="E2EEF6"/>
          </w:tcPr>
          <w:p>
            <w:pPr>
              <w:jc w:val="right"/>
              <w:ind w:right="624"/>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E2EEF6"/>
            </w:tcBorders>
            <w:shd w:val="clear" w:color="auto" w:fill="E2EEF6"/>
          </w:tcPr>
          <w:p>
            <w:pPr>
              <w:spacing w:after="0"/>
              <w:rPr>
                <w:sz w:val="19"/>
                <w:szCs w:val="19"/>
                <w:color w:val="auto"/>
              </w:rPr>
            </w:pPr>
          </w:p>
        </w:tc>
        <w:tc>
          <w:tcPr>
            <w:tcW w:w="1820" w:type="dxa"/>
            <w:vAlign w:val="bottom"/>
            <w:tcBorders>
              <w:bottom w:val="single" w:sz="8" w:color="auto"/>
            </w:tcBorders>
            <w:shd w:val="clear" w:color="auto" w:fill="E2EEF6"/>
          </w:tcPr>
          <w:p>
            <w:pPr>
              <w:jc w:val="center"/>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E2EEF6"/>
            </w:tcBorders>
            <w:shd w:val="clear" w:color="auto" w:fill="E2EEF6"/>
          </w:tcPr>
          <w:p>
            <w:pPr>
              <w:spacing w:after="0"/>
              <w:rPr>
                <w:sz w:val="19"/>
                <w:szCs w:val="19"/>
                <w:color w:val="auto"/>
              </w:rPr>
            </w:pPr>
          </w:p>
        </w:tc>
        <w:tc>
          <w:tcPr>
            <w:tcW w:w="1820" w:type="dxa"/>
            <w:vAlign w:val="bottom"/>
            <w:tcBorders>
              <w:bottom w:val="single" w:sz="8" w:color="auto"/>
            </w:tcBorders>
            <w:shd w:val="clear" w:color="auto" w:fill="E2EEF6"/>
          </w:tcPr>
          <w:p>
            <w:pPr>
              <w:ind w:left="760"/>
              <w:spacing w:after="0"/>
              <w:rPr>
                <w:sz w:val="20"/>
                <w:szCs w:val="20"/>
                <w:color w:val="auto"/>
              </w:rPr>
            </w:pPr>
            <w:r>
              <w:rPr>
                <w:rFonts w:ascii="Arial" w:cs="Arial" w:eastAsia="Arial" w:hAnsi="Arial"/>
                <w:sz w:val="17"/>
                <w:szCs w:val="17"/>
                <w:color w:val="auto"/>
              </w:rPr>
              <w:t>N/A</w:t>
            </w:r>
          </w:p>
        </w:tc>
        <w:tc>
          <w:tcPr>
            <w:tcW w:w="200" w:type="dxa"/>
            <w:vAlign w:val="bottom"/>
            <w:tcBorders>
              <w:bottom w:val="single" w:sz="8" w:color="E2EEF6"/>
            </w:tcBorders>
            <w:shd w:val="clear" w:color="auto" w:fill="E2EEF6"/>
          </w:tcPr>
          <w:p>
            <w:pPr>
              <w:spacing w:after="0"/>
              <w:rPr>
                <w:sz w:val="19"/>
                <w:szCs w:val="19"/>
                <w:color w:val="auto"/>
              </w:rPr>
            </w:pPr>
          </w:p>
        </w:tc>
        <w:tc>
          <w:tcPr>
            <w:tcW w:w="1800" w:type="dxa"/>
            <w:vAlign w:val="bottom"/>
            <w:tcBorders>
              <w:bottom w:val="single" w:sz="8" w:color="auto"/>
            </w:tcBorders>
            <w:shd w:val="clear" w:color="auto" w:fill="E2EEF6"/>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2"/>
        </w:trPr>
        <w:tc>
          <w:tcPr>
            <w:tcW w:w="2040" w:type="dxa"/>
            <w:vAlign w:val="bottom"/>
          </w:tcPr>
          <w:p>
            <w:pPr>
              <w:spacing w:after="0"/>
              <w:rPr>
                <w:sz w:val="20"/>
                <w:szCs w:val="20"/>
                <w:color w:val="auto"/>
              </w:rPr>
            </w:pPr>
            <w:r>
              <w:rPr>
                <w:rFonts w:ascii="Arial" w:cs="Arial" w:eastAsia="Arial" w:hAnsi="Arial"/>
                <w:sz w:val="17"/>
                <w:szCs w:val="17"/>
                <w:color w:val="auto"/>
              </w:rPr>
              <w:t>Total</w:t>
            </w:r>
          </w:p>
        </w:tc>
        <w:tc>
          <w:tcPr>
            <w:tcW w:w="2040" w:type="dxa"/>
            <w:vAlign w:val="bottom"/>
            <w:gridSpan w:val="2"/>
          </w:tcPr>
          <w:p>
            <w:pPr>
              <w:jc w:val="right"/>
              <w:ind w:right="604"/>
              <w:spacing w:after="0"/>
              <w:rPr>
                <w:sz w:val="20"/>
                <w:szCs w:val="20"/>
                <w:color w:val="auto"/>
              </w:rPr>
            </w:pPr>
            <w:r>
              <w:rPr>
                <w:rFonts w:ascii="Arial" w:cs="Arial" w:eastAsia="Arial" w:hAnsi="Arial"/>
                <w:sz w:val="17"/>
                <w:szCs w:val="17"/>
                <w:color w:val="auto"/>
              </w:rPr>
              <w:t>58,400</w:t>
            </w:r>
          </w:p>
        </w:tc>
        <w:tc>
          <w:tcPr>
            <w:tcW w:w="2020" w:type="dxa"/>
            <w:vAlign w:val="bottom"/>
            <w:gridSpan w:val="2"/>
          </w:tcPr>
          <w:p>
            <w:pPr>
              <w:jc w:val="center"/>
              <w:ind w:left="133"/>
              <w:spacing w:after="0"/>
              <w:rPr>
                <w:sz w:val="20"/>
                <w:szCs w:val="20"/>
                <w:color w:val="auto"/>
              </w:rPr>
            </w:pPr>
            <w:r>
              <w:rPr>
                <w:rFonts w:ascii="Arial" w:cs="Arial" w:eastAsia="Arial" w:hAnsi="Arial"/>
                <w:sz w:val="17"/>
                <w:szCs w:val="17"/>
                <w:color w:val="auto"/>
                <w:w w:val="92"/>
              </w:rPr>
              <w:t>$52.01</w:t>
            </w:r>
          </w:p>
        </w:tc>
        <w:tc>
          <w:tcPr>
            <w:tcW w:w="200" w:type="dxa"/>
            <w:vAlign w:val="bottom"/>
          </w:tcPr>
          <w:p>
            <w:pPr>
              <w:spacing w:after="0"/>
              <w:rPr>
                <w:sz w:val="17"/>
                <w:szCs w:val="17"/>
                <w:color w:val="auto"/>
              </w:rPr>
            </w:pPr>
          </w:p>
        </w:tc>
        <w:tc>
          <w:tcPr>
            <w:tcW w:w="2020" w:type="dxa"/>
            <w:vAlign w:val="bottom"/>
            <w:gridSpan w:val="2"/>
          </w:tcPr>
          <w:p>
            <w:pPr>
              <w:ind w:left="760"/>
              <w:spacing w:after="0"/>
              <w:rPr>
                <w:sz w:val="20"/>
                <w:szCs w:val="20"/>
                <w:color w:val="auto"/>
              </w:rPr>
            </w:pPr>
            <w:r>
              <w:rPr>
                <w:rFonts w:ascii="Arial" w:cs="Arial" w:eastAsia="Arial" w:hAnsi="Arial"/>
                <w:sz w:val="17"/>
                <w:szCs w:val="17"/>
                <w:color w:val="auto"/>
              </w:rPr>
              <w:t>N/A</w:t>
            </w:r>
          </w:p>
        </w:tc>
        <w:tc>
          <w:tcPr>
            <w:tcW w:w="1800" w:type="dxa"/>
            <w:vAlign w:val="bottom"/>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7"/>
                <w:szCs w:val="17"/>
                <w:color w:val="auto"/>
              </w:rPr>
              <w:t>__________</w:t>
            </w:r>
          </w:p>
        </w:tc>
        <w:tc>
          <w:tcPr>
            <w:tcW w:w="2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1260" w:hanging="628"/>
        <w:spacing w:after="0" w:line="265" w:lineRule="auto"/>
        <w:tabs>
          <w:tab w:leader="none" w:pos="12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issuer purchase during the period covered by this report represents shares withheld by us in satisfaction of withholding taxes due upon the vesting of restricted shares granted to our employees under our Long-Term Incentive Plan to pay withholding taxes due upon vesting of a restricted stock award.</w:t>
      </w:r>
    </w:p>
    <w:p>
      <w:pPr>
        <w:spacing w:after="0" w:line="229" w:lineRule="exact"/>
        <w:rPr>
          <w:rFonts w:ascii="Arial" w:cs="Arial" w:eastAsia="Arial" w:hAnsi="Arial"/>
          <w:sz w:val="17"/>
          <w:szCs w:val="17"/>
          <w:color w:val="auto"/>
        </w:rPr>
      </w:pPr>
    </w:p>
    <w:p>
      <w:pPr>
        <w:ind w:left="1260" w:hanging="628"/>
        <w:spacing w:after="0" w:line="288" w:lineRule="auto"/>
        <w:tabs>
          <w:tab w:leader="none" w:pos="12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connection with the vesting of restricted share awards under our Long-Term Incentive Plan, we generally withhold shares to satisfy withholding taxes upon vesting.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Submission of Matters to a Vote of Security Holders</w:t>
      </w:r>
    </w:p>
    <w:p>
      <w:pPr>
        <w:spacing w:after="0" w:line="281"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At the Annual General Meeting of Transocean Inc. held on May 12, 2005, 281,059,338 shares were represented in person or by proxy out of 324,466,430 shares outstanding and entitled to vote as of the record date, constituting a quorum. The matters submitted to a vote of shareholders, as set forth in the Company’s Proxy Statement relating to the meeting, and the corresponding voting results were as follows:</w:t>
      </w:r>
    </w:p>
    <w:p>
      <w:pPr>
        <w:spacing w:after="0" w:line="225" w:lineRule="exact"/>
        <w:rPr>
          <w:sz w:val="20"/>
          <w:szCs w:val="20"/>
          <w:color w:val="auto"/>
        </w:rPr>
      </w:pPr>
    </w:p>
    <w:p>
      <w:pPr>
        <w:ind w:left="640" w:hanging="321"/>
        <w:spacing w:after="0" w:line="288"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With respect to the election of Class III Director nominees as set forth in the Company’s Proxy Statement relating to the meeting, the following number of votes were cast:</w:t>
      </w:r>
    </w:p>
    <w:p>
      <w:pPr>
        <w:spacing w:after="0" w:line="205" w:lineRule="exact"/>
        <w:rPr>
          <w:sz w:val="20"/>
          <w:szCs w:val="20"/>
          <w:color w:val="auto"/>
        </w:rPr>
      </w:pPr>
    </w:p>
    <w:tbl>
      <w:tblPr>
        <w:tblLayout w:type="fixed"/>
        <w:tblInd w:w="2300" w:type="dxa"/>
        <w:tblCellMar>
          <w:top w:w="0" w:type="dxa"/>
          <w:left w:w="0" w:type="dxa"/>
          <w:bottom w:w="0" w:type="dxa"/>
          <w:right w:w="0" w:type="dxa"/>
        </w:tblCellMar>
      </w:tblPr>
      <w:tr>
        <w:trPr>
          <w:trHeight w:val="209"/>
        </w:trPr>
        <w:tc>
          <w:tcPr>
            <w:tcW w:w="2920" w:type="dxa"/>
            <w:vAlign w:val="bottom"/>
          </w:tcPr>
          <w:p>
            <w:pPr>
              <w:jc w:val="center"/>
              <w:ind w:right="113"/>
              <w:spacing w:after="0"/>
              <w:rPr>
                <w:sz w:val="20"/>
                <w:szCs w:val="20"/>
                <w:color w:val="auto"/>
              </w:rPr>
            </w:pPr>
            <w:r>
              <w:rPr>
                <w:rFonts w:ascii="Arial" w:cs="Arial" w:eastAsia="Arial" w:hAnsi="Arial"/>
                <w:sz w:val="17"/>
                <w:szCs w:val="17"/>
                <w:b w:val="1"/>
                <w:bCs w:val="1"/>
                <w:color w:val="auto"/>
                <w:w w:val="94"/>
              </w:rPr>
              <w:t>Name of Nominee for Class III</w:t>
            </w:r>
          </w:p>
        </w:tc>
        <w:tc>
          <w:tcPr>
            <w:tcW w:w="19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7"/>
                <w:szCs w:val="17"/>
                <w:b w:val="1"/>
                <w:bCs w:val="1"/>
                <w:color w:val="auto"/>
                <w:w w:val="96"/>
              </w:rPr>
              <w:t>Withheld/</w:t>
            </w:r>
          </w:p>
        </w:tc>
      </w:tr>
      <w:tr>
        <w:trPr>
          <w:trHeight w:val="228"/>
        </w:trPr>
        <w:tc>
          <w:tcPr>
            <w:tcW w:w="292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w w:val="95"/>
              </w:rPr>
              <w:t>Director</w:t>
            </w:r>
          </w:p>
        </w:tc>
        <w:tc>
          <w:tcPr>
            <w:tcW w:w="1900" w:type="dxa"/>
            <w:vAlign w:val="bottom"/>
            <w:tcBorders>
              <w:bottom w:val="single" w:sz="8" w:color="auto"/>
            </w:tcBorders>
          </w:tcPr>
          <w:p>
            <w:pPr>
              <w:jc w:val="center"/>
              <w:ind w:right="113"/>
              <w:spacing w:after="0"/>
              <w:rPr>
                <w:sz w:val="20"/>
                <w:szCs w:val="20"/>
                <w:color w:val="auto"/>
              </w:rPr>
            </w:pPr>
            <w:r>
              <w:rPr>
                <w:rFonts w:ascii="Arial" w:cs="Arial" w:eastAsia="Arial" w:hAnsi="Arial"/>
                <w:sz w:val="17"/>
                <w:szCs w:val="17"/>
                <w:b w:val="1"/>
                <w:bCs w:val="1"/>
                <w:color w:val="auto"/>
                <w:w w:val="94"/>
              </w:rPr>
              <w:t>For</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Abstain</w:t>
            </w:r>
          </w:p>
        </w:tc>
      </w:tr>
      <w:tr>
        <w:trPr>
          <w:trHeight w:val="203"/>
        </w:trPr>
        <w:tc>
          <w:tcPr>
            <w:tcW w:w="2920" w:type="dxa"/>
            <w:vAlign w:val="bottom"/>
            <w:shd w:val="clear" w:color="auto" w:fill="E2EEF6"/>
          </w:tcPr>
          <w:p>
            <w:pPr>
              <w:ind w:left="160"/>
              <w:spacing w:after="0"/>
              <w:rPr>
                <w:sz w:val="20"/>
                <w:szCs w:val="20"/>
                <w:color w:val="auto"/>
              </w:rPr>
            </w:pPr>
            <w:r>
              <w:rPr>
                <w:rFonts w:ascii="Arial" w:cs="Arial" w:eastAsia="Arial" w:hAnsi="Arial"/>
                <w:sz w:val="17"/>
                <w:szCs w:val="17"/>
                <w:color w:val="auto"/>
              </w:rPr>
              <w:t>Judy J. Kelly</w:t>
            </w:r>
          </w:p>
        </w:tc>
        <w:tc>
          <w:tcPr>
            <w:tcW w:w="1900" w:type="dxa"/>
            <w:vAlign w:val="bottom"/>
            <w:shd w:val="clear" w:color="auto" w:fill="E2EEF6"/>
          </w:tcPr>
          <w:p>
            <w:pPr>
              <w:jc w:val="center"/>
              <w:ind w:right="113"/>
              <w:spacing w:after="0"/>
              <w:rPr>
                <w:sz w:val="20"/>
                <w:szCs w:val="20"/>
                <w:color w:val="auto"/>
              </w:rPr>
            </w:pPr>
            <w:r>
              <w:rPr>
                <w:rFonts w:ascii="Arial" w:cs="Arial" w:eastAsia="Arial" w:hAnsi="Arial"/>
                <w:sz w:val="17"/>
                <w:szCs w:val="17"/>
                <w:color w:val="auto"/>
                <w:w w:val="90"/>
              </w:rPr>
              <w:t>278,742,474</w:t>
            </w:r>
          </w:p>
        </w:tc>
        <w:tc>
          <w:tcPr>
            <w:tcW w:w="2020" w:type="dxa"/>
            <w:vAlign w:val="bottom"/>
            <w:shd w:val="clear" w:color="auto" w:fill="E2EEF6"/>
          </w:tcPr>
          <w:p>
            <w:pPr>
              <w:jc w:val="center"/>
              <w:spacing w:after="0"/>
              <w:rPr>
                <w:sz w:val="20"/>
                <w:szCs w:val="20"/>
                <w:color w:val="auto"/>
              </w:rPr>
            </w:pPr>
            <w:r>
              <w:rPr>
                <w:rFonts w:ascii="Arial" w:cs="Arial" w:eastAsia="Arial" w:hAnsi="Arial"/>
                <w:sz w:val="17"/>
                <w:szCs w:val="17"/>
                <w:color w:val="auto"/>
                <w:w w:val="92"/>
              </w:rPr>
              <w:t>2,316,864</w:t>
            </w:r>
          </w:p>
        </w:tc>
      </w:tr>
      <w:tr>
        <w:trPr>
          <w:trHeight w:val="209"/>
        </w:trPr>
        <w:tc>
          <w:tcPr>
            <w:tcW w:w="2920" w:type="dxa"/>
            <w:vAlign w:val="bottom"/>
          </w:tcPr>
          <w:p>
            <w:pPr>
              <w:ind w:left="160"/>
              <w:spacing w:after="0"/>
              <w:rPr>
                <w:sz w:val="20"/>
                <w:szCs w:val="20"/>
                <w:color w:val="auto"/>
              </w:rPr>
            </w:pPr>
            <w:r>
              <w:rPr>
                <w:rFonts w:ascii="Arial" w:cs="Arial" w:eastAsia="Arial" w:hAnsi="Arial"/>
                <w:sz w:val="17"/>
                <w:szCs w:val="17"/>
                <w:color w:val="auto"/>
              </w:rPr>
              <w:t>Roberto Monti</w:t>
            </w:r>
          </w:p>
        </w:tc>
        <w:tc>
          <w:tcPr>
            <w:tcW w:w="1900" w:type="dxa"/>
            <w:vAlign w:val="bottom"/>
          </w:tcPr>
          <w:p>
            <w:pPr>
              <w:jc w:val="center"/>
              <w:ind w:right="113"/>
              <w:spacing w:after="0"/>
              <w:rPr>
                <w:sz w:val="20"/>
                <w:szCs w:val="20"/>
                <w:color w:val="auto"/>
              </w:rPr>
            </w:pPr>
            <w:r>
              <w:rPr>
                <w:rFonts w:ascii="Arial" w:cs="Arial" w:eastAsia="Arial" w:hAnsi="Arial"/>
                <w:sz w:val="17"/>
                <w:szCs w:val="17"/>
                <w:color w:val="auto"/>
                <w:w w:val="90"/>
              </w:rPr>
              <w:t>278,758,870</w:t>
            </w:r>
          </w:p>
        </w:tc>
        <w:tc>
          <w:tcPr>
            <w:tcW w:w="2020" w:type="dxa"/>
            <w:vAlign w:val="bottom"/>
          </w:tcPr>
          <w:p>
            <w:pPr>
              <w:jc w:val="center"/>
              <w:spacing w:after="0"/>
              <w:rPr>
                <w:sz w:val="20"/>
                <w:szCs w:val="20"/>
                <w:color w:val="auto"/>
              </w:rPr>
            </w:pPr>
            <w:r>
              <w:rPr>
                <w:rFonts w:ascii="Arial" w:cs="Arial" w:eastAsia="Arial" w:hAnsi="Arial"/>
                <w:sz w:val="17"/>
                <w:szCs w:val="17"/>
                <w:color w:val="auto"/>
                <w:w w:val="92"/>
              </w:rPr>
              <w:t>2,300,468</w:t>
            </w:r>
          </w:p>
        </w:tc>
      </w:tr>
      <w:tr>
        <w:trPr>
          <w:trHeight w:val="209"/>
        </w:trPr>
        <w:tc>
          <w:tcPr>
            <w:tcW w:w="2920" w:type="dxa"/>
            <w:vAlign w:val="bottom"/>
            <w:shd w:val="clear" w:color="auto" w:fill="E2EEF6"/>
          </w:tcPr>
          <w:p>
            <w:pPr>
              <w:ind w:left="160"/>
              <w:spacing w:after="0"/>
              <w:rPr>
                <w:sz w:val="20"/>
                <w:szCs w:val="20"/>
                <w:color w:val="auto"/>
              </w:rPr>
            </w:pPr>
            <w:r>
              <w:rPr>
                <w:rFonts w:ascii="Arial" w:cs="Arial" w:eastAsia="Arial" w:hAnsi="Arial"/>
                <w:sz w:val="17"/>
                <w:szCs w:val="17"/>
                <w:color w:val="auto"/>
              </w:rPr>
              <w:t>Ian C. Strachan</w:t>
            </w:r>
          </w:p>
        </w:tc>
        <w:tc>
          <w:tcPr>
            <w:tcW w:w="1900" w:type="dxa"/>
            <w:vAlign w:val="bottom"/>
            <w:shd w:val="clear" w:color="auto" w:fill="E2EEF6"/>
          </w:tcPr>
          <w:p>
            <w:pPr>
              <w:jc w:val="center"/>
              <w:ind w:right="153"/>
              <w:spacing w:after="0"/>
              <w:rPr>
                <w:sz w:val="20"/>
                <w:szCs w:val="20"/>
                <w:color w:val="auto"/>
              </w:rPr>
            </w:pPr>
            <w:r>
              <w:rPr>
                <w:rFonts w:ascii="Arial" w:cs="Arial" w:eastAsia="Arial" w:hAnsi="Arial"/>
                <w:sz w:val="17"/>
                <w:szCs w:val="17"/>
                <w:color w:val="auto"/>
                <w:w w:val="90"/>
              </w:rPr>
              <w:t>278,698,035</w:t>
            </w:r>
          </w:p>
        </w:tc>
        <w:tc>
          <w:tcPr>
            <w:tcW w:w="2020" w:type="dxa"/>
            <w:vAlign w:val="bottom"/>
            <w:shd w:val="clear" w:color="auto" w:fill="E2EEF6"/>
          </w:tcPr>
          <w:p>
            <w:pPr>
              <w:jc w:val="center"/>
              <w:spacing w:after="0"/>
              <w:rPr>
                <w:sz w:val="20"/>
                <w:szCs w:val="20"/>
                <w:color w:val="auto"/>
              </w:rPr>
            </w:pPr>
            <w:r>
              <w:rPr>
                <w:rFonts w:ascii="Arial" w:cs="Arial" w:eastAsia="Arial" w:hAnsi="Arial"/>
                <w:sz w:val="17"/>
                <w:szCs w:val="17"/>
                <w:color w:val="auto"/>
                <w:w w:val="92"/>
              </w:rPr>
              <w:t>2,361,303</w:t>
            </w:r>
          </w:p>
        </w:tc>
      </w:tr>
    </w:tbl>
    <w:p>
      <w:pPr>
        <w:spacing w:after="0" w:line="249" w:lineRule="exact"/>
        <w:rPr>
          <w:sz w:val="20"/>
          <w:szCs w:val="20"/>
          <w:color w:val="auto"/>
        </w:rPr>
      </w:pPr>
    </w:p>
    <w:p>
      <w:pPr>
        <w:ind w:left="640" w:hanging="321"/>
        <w:spacing w:after="0" w:line="288"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With respect to the amendment of the Company’s Employee Stock Purchase Plan to increase the number of ordinary shares reserved for issuance under the plan from 2,500,000 to 3,500,000, the following number of votes were cast:</w:t>
      </w:r>
    </w:p>
    <w:p>
      <w:pPr>
        <w:spacing w:after="0" w:line="205" w:lineRule="exact"/>
        <w:rPr>
          <w:sz w:val="20"/>
          <w:szCs w:val="20"/>
          <w:color w:val="auto"/>
        </w:rPr>
      </w:pPr>
    </w:p>
    <w:tbl>
      <w:tblPr>
        <w:tblLayout w:type="fixed"/>
        <w:tblInd w:w="2300" w:type="dxa"/>
        <w:tblCellMar>
          <w:top w:w="0" w:type="dxa"/>
          <w:left w:w="0" w:type="dxa"/>
          <w:bottom w:w="0" w:type="dxa"/>
          <w:right w:w="0" w:type="dxa"/>
        </w:tblCellMar>
      </w:tblPr>
      <w:tr>
        <w:trPr>
          <w:trHeight w:val="209"/>
        </w:trPr>
        <w:tc>
          <w:tcPr>
            <w:tcW w:w="16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7"/>
                <w:szCs w:val="17"/>
                <w:b w:val="1"/>
                <w:bCs w:val="1"/>
                <w:color w:val="auto"/>
                <w:w w:val="92"/>
              </w:rPr>
              <w:t>Against/</w:t>
            </w:r>
          </w:p>
        </w:tc>
        <w:tc>
          <w:tcPr>
            <w:tcW w:w="1440" w:type="dxa"/>
            <w:vAlign w:val="bottom"/>
          </w:tcPr>
          <w:p>
            <w:pPr>
              <w:jc w:val="center"/>
              <w:spacing w:after="0"/>
              <w:rPr>
                <w:sz w:val="20"/>
                <w:szCs w:val="20"/>
                <w:color w:val="auto"/>
              </w:rPr>
            </w:pPr>
            <w:r>
              <w:rPr>
                <w:rFonts w:ascii="Arial" w:cs="Arial" w:eastAsia="Arial" w:hAnsi="Arial"/>
                <w:sz w:val="17"/>
                <w:szCs w:val="17"/>
                <w:b w:val="1"/>
                <w:bCs w:val="1"/>
                <w:color w:val="auto"/>
                <w:w w:val="90"/>
              </w:rPr>
              <w:t>Exceptions/</w:t>
            </w:r>
          </w:p>
        </w:tc>
        <w:tc>
          <w:tcPr>
            <w:tcW w:w="1820" w:type="dxa"/>
            <w:vAlign w:val="bottom"/>
          </w:tcPr>
          <w:p>
            <w:pPr>
              <w:spacing w:after="0"/>
              <w:rPr>
                <w:sz w:val="18"/>
                <w:szCs w:val="18"/>
                <w:color w:val="auto"/>
              </w:rPr>
            </w:pPr>
          </w:p>
        </w:tc>
      </w:tr>
      <w:tr>
        <w:trPr>
          <w:trHeight w:val="228"/>
        </w:trPr>
        <w:tc>
          <w:tcPr>
            <w:tcW w:w="160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For</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Authority Withheld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Abstain</w:t>
            </w:r>
          </w:p>
        </w:tc>
        <w:tc>
          <w:tcPr>
            <w:tcW w:w="1820" w:type="dxa"/>
            <w:vAlign w:val="bottom"/>
            <w:tcBorders>
              <w:bottom w:val="single" w:sz="8" w:color="auto"/>
            </w:tcBorders>
          </w:tcPr>
          <w:p>
            <w:pPr>
              <w:jc w:val="center"/>
              <w:ind w:left="33"/>
              <w:spacing w:after="0"/>
              <w:rPr>
                <w:sz w:val="20"/>
                <w:szCs w:val="20"/>
                <w:color w:val="auto"/>
              </w:rPr>
            </w:pPr>
            <w:r>
              <w:rPr>
                <w:rFonts w:ascii="Arial" w:cs="Arial" w:eastAsia="Arial" w:hAnsi="Arial"/>
                <w:sz w:val="17"/>
                <w:szCs w:val="17"/>
                <w:b w:val="1"/>
                <w:bCs w:val="1"/>
                <w:color w:val="auto"/>
                <w:w w:val="92"/>
              </w:rPr>
              <w:t>Broker Non-Votes</w:t>
            </w:r>
          </w:p>
        </w:tc>
      </w:tr>
      <w:tr>
        <w:trPr>
          <w:trHeight w:val="203"/>
        </w:trPr>
        <w:tc>
          <w:tcPr>
            <w:tcW w:w="1600" w:type="dxa"/>
            <w:vAlign w:val="bottom"/>
            <w:shd w:val="clear" w:color="auto" w:fill="E2EEF6"/>
          </w:tcPr>
          <w:p>
            <w:pPr>
              <w:jc w:val="right"/>
              <w:ind w:right="153"/>
              <w:spacing w:after="0"/>
              <w:rPr>
                <w:sz w:val="20"/>
                <w:szCs w:val="20"/>
                <w:color w:val="auto"/>
              </w:rPr>
            </w:pPr>
            <w:r>
              <w:rPr>
                <w:rFonts w:ascii="Arial" w:cs="Arial" w:eastAsia="Arial" w:hAnsi="Arial"/>
                <w:sz w:val="17"/>
                <w:szCs w:val="17"/>
                <w:color w:val="auto"/>
              </w:rPr>
              <w:t>235,373,811</w:t>
            </w:r>
          </w:p>
        </w:tc>
        <w:tc>
          <w:tcPr>
            <w:tcW w:w="1980" w:type="dxa"/>
            <w:vAlign w:val="bottom"/>
            <w:shd w:val="clear" w:color="auto" w:fill="E2EEF6"/>
          </w:tcPr>
          <w:p>
            <w:pPr>
              <w:jc w:val="right"/>
              <w:ind w:right="493"/>
              <w:spacing w:after="0"/>
              <w:rPr>
                <w:sz w:val="20"/>
                <w:szCs w:val="20"/>
                <w:color w:val="auto"/>
              </w:rPr>
            </w:pPr>
            <w:r>
              <w:rPr>
                <w:rFonts w:ascii="Arial" w:cs="Arial" w:eastAsia="Arial" w:hAnsi="Arial"/>
                <w:sz w:val="17"/>
                <w:szCs w:val="17"/>
                <w:color w:val="auto"/>
              </w:rPr>
              <w:t>1,546,794</w:t>
            </w:r>
          </w:p>
        </w:tc>
        <w:tc>
          <w:tcPr>
            <w:tcW w:w="1440" w:type="dxa"/>
            <w:vAlign w:val="bottom"/>
            <w:shd w:val="clear" w:color="auto" w:fill="E2EEF6"/>
          </w:tcPr>
          <w:p>
            <w:pPr>
              <w:jc w:val="center"/>
              <w:spacing w:after="0"/>
              <w:rPr>
                <w:sz w:val="20"/>
                <w:szCs w:val="20"/>
                <w:color w:val="auto"/>
              </w:rPr>
            </w:pPr>
            <w:r>
              <w:rPr>
                <w:rFonts w:ascii="Arial" w:cs="Arial" w:eastAsia="Arial" w:hAnsi="Arial"/>
                <w:sz w:val="17"/>
                <w:szCs w:val="17"/>
                <w:color w:val="auto"/>
                <w:w w:val="92"/>
              </w:rPr>
              <w:t>1,892,579</w:t>
            </w:r>
          </w:p>
        </w:tc>
        <w:tc>
          <w:tcPr>
            <w:tcW w:w="1820" w:type="dxa"/>
            <w:vAlign w:val="bottom"/>
            <w:shd w:val="clear" w:color="auto" w:fill="E2EEF6"/>
          </w:tcPr>
          <w:p>
            <w:pPr>
              <w:jc w:val="right"/>
              <w:ind w:right="373"/>
              <w:spacing w:after="0"/>
              <w:rPr>
                <w:sz w:val="20"/>
                <w:szCs w:val="20"/>
                <w:color w:val="auto"/>
              </w:rPr>
            </w:pPr>
            <w:r>
              <w:rPr>
                <w:rFonts w:ascii="Arial" w:cs="Arial" w:eastAsia="Arial" w:hAnsi="Arial"/>
                <w:sz w:val="17"/>
                <w:szCs w:val="17"/>
                <w:color w:val="auto"/>
              </w:rPr>
              <w:t>42,246,154</w:t>
            </w:r>
          </w:p>
        </w:tc>
      </w:tr>
    </w:tbl>
    <w:p>
      <w:pPr>
        <w:spacing w:after="0" w:line="249" w:lineRule="exact"/>
        <w:rPr>
          <w:sz w:val="20"/>
          <w:szCs w:val="20"/>
          <w:color w:val="auto"/>
        </w:rPr>
      </w:pPr>
    </w:p>
    <w:p>
      <w:pPr>
        <w:ind w:left="640" w:right="600" w:hanging="321"/>
        <w:spacing w:after="0" w:line="288"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 respect to the approval of the Company’s appointment of Ernst &amp; Young LLP as independent registered public accounting firm for 2005, the following number of votes were cast: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20" w:type="dxa"/>
            <w:vAlign w:val="bottom"/>
          </w:tcPr>
          <w:p>
            <w:pPr>
              <w:jc w:val="center"/>
              <w:ind w:left="133"/>
              <w:spacing w:after="0"/>
              <w:rPr>
                <w:sz w:val="20"/>
                <w:szCs w:val="20"/>
                <w:color w:val="auto"/>
              </w:rPr>
            </w:pPr>
            <w:r>
              <w:rPr>
                <w:rFonts w:ascii="Arial" w:cs="Arial" w:eastAsia="Arial" w:hAnsi="Arial"/>
                <w:sz w:val="17"/>
                <w:szCs w:val="17"/>
                <w:b w:val="1"/>
                <w:bCs w:val="1"/>
                <w:color w:val="auto"/>
                <w:w w:val="92"/>
              </w:rPr>
              <w:t>Against/</w:t>
            </w:r>
          </w:p>
        </w:tc>
        <w:tc>
          <w:tcPr>
            <w:tcW w:w="1700" w:type="dxa"/>
            <w:vAlign w:val="bottom"/>
          </w:tcPr>
          <w:p>
            <w:pPr>
              <w:jc w:val="center"/>
              <w:ind w:left="117"/>
              <w:spacing w:after="0"/>
              <w:rPr>
                <w:sz w:val="20"/>
                <w:szCs w:val="20"/>
                <w:color w:val="auto"/>
              </w:rPr>
            </w:pPr>
            <w:r>
              <w:rPr>
                <w:rFonts w:ascii="Arial" w:cs="Arial" w:eastAsia="Arial" w:hAnsi="Arial"/>
                <w:sz w:val="17"/>
                <w:szCs w:val="17"/>
                <w:b w:val="1"/>
                <w:bCs w:val="1"/>
                <w:color w:val="auto"/>
                <w:w w:val="90"/>
              </w:rPr>
              <w:t>Exceptions/</w:t>
            </w:r>
          </w:p>
        </w:tc>
        <w:tc>
          <w:tcPr>
            <w:tcW w:w="18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28"/>
        </w:trPr>
        <w:tc>
          <w:tcPr>
            <w:tcW w:w="2300" w:type="dxa"/>
            <w:vAlign w:val="bottom"/>
          </w:tcPr>
          <w:p>
            <w:pPr>
              <w:spacing w:after="0"/>
              <w:rPr>
                <w:sz w:val="19"/>
                <w:szCs w:val="19"/>
                <w:color w:val="auto"/>
              </w:rPr>
            </w:pPr>
          </w:p>
        </w:tc>
        <w:tc>
          <w:tcPr>
            <w:tcW w:w="160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For</w:t>
            </w:r>
          </w:p>
        </w:tc>
        <w:tc>
          <w:tcPr>
            <w:tcW w:w="1720" w:type="dxa"/>
            <w:vAlign w:val="bottom"/>
            <w:tcBorders>
              <w:bottom w:val="single" w:sz="8" w:color="auto"/>
            </w:tcBorders>
          </w:tcPr>
          <w:p>
            <w:pPr>
              <w:jc w:val="center"/>
              <w:ind w:left="113"/>
              <w:spacing w:after="0"/>
              <w:rPr>
                <w:sz w:val="20"/>
                <w:szCs w:val="20"/>
                <w:color w:val="auto"/>
              </w:rPr>
            </w:pPr>
            <w:r>
              <w:rPr>
                <w:rFonts w:ascii="Arial" w:cs="Arial" w:eastAsia="Arial" w:hAnsi="Arial"/>
                <w:sz w:val="17"/>
                <w:szCs w:val="17"/>
                <w:b w:val="1"/>
                <w:bCs w:val="1"/>
                <w:color w:val="auto"/>
                <w:w w:val="97"/>
              </w:rPr>
              <w:t>Authority Withheld</w:t>
            </w:r>
          </w:p>
        </w:tc>
        <w:tc>
          <w:tcPr>
            <w:tcW w:w="1700" w:type="dxa"/>
            <w:vAlign w:val="bottom"/>
            <w:tcBorders>
              <w:bottom w:val="single" w:sz="8" w:color="auto"/>
            </w:tcBorders>
          </w:tcPr>
          <w:p>
            <w:pPr>
              <w:jc w:val="center"/>
              <w:ind w:left="117"/>
              <w:spacing w:after="0"/>
              <w:rPr>
                <w:sz w:val="20"/>
                <w:szCs w:val="20"/>
                <w:color w:val="auto"/>
              </w:rPr>
            </w:pPr>
            <w:r>
              <w:rPr>
                <w:rFonts w:ascii="Arial" w:cs="Arial" w:eastAsia="Arial" w:hAnsi="Arial"/>
                <w:sz w:val="17"/>
                <w:szCs w:val="17"/>
                <w:b w:val="1"/>
                <w:bCs w:val="1"/>
                <w:color w:val="auto"/>
                <w:w w:val="92"/>
              </w:rPr>
              <w:t>Abstain</w:t>
            </w:r>
          </w:p>
        </w:tc>
        <w:tc>
          <w:tcPr>
            <w:tcW w:w="1820" w:type="dxa"/>
            <w:vAlign w:val="bottom"/>
            <w:tcBorders>
              <w:bottom w:val="single" w:sz="8" w:color="auto"/>
            </w:tcBorders>
          </w:tcPr>
          <w:p>
            <w:pPr>
              <w:jc w:val="center"/>
              <w:ind w:left="33"/>
              <w:spacing w:after="0"/>
              <w:rPr>
                <w:sz w:val="20"/>
                <w:szCs w:val="20"/>
                <w:color w:val="auto"/>
              </w:rPr>
            </w:pPr>
            <w:r>
              <w:rPr>
                <w:rFonts w:ascii="Arial" w:cs="Arial" w:eastAsia="Arial" w:hAnsi="Arial"/>
                <w:sz w:val="17"/>
                <w:szCs w:val="17"/>
                <w:b w:val="1"/>
                <w:bCs w:val="1"/>
                <w:color w:val="auto"/>
                <w:w w:val="92"/>
              </w:rPr>
              <w:t>Broker Non-Votes</w:t>
            </w:r>
          </w:p>
        </w:tc>
        <w:tc>
          <w:tcPr>
            <w:tcW w:w="2280" w:type="dxa"/>
            <w:vAlign w:val="bottom"/>
          </w:tcPr>
          <w:p>
            <w:pPr>
              <w:spacing w:after="0"/>
              <w:rPr>
                <w:sz w:val="19"/>
                <w:szCs w:val="19"/>
                <w:color w:val="auto"/>
              </w:rPr>
            </w:pPr>
          </w:p>
        </w:tc>
      </w:tr>
      <w:tr>
        <w:trPr>
          <w:trHeight w:val="203"/>
        </w:trPr>
        <w:tc>
          <w:tcPr>
            <w:tcW w:w="2300" w:type="dxa"/>
            <w:vAlign w:val="bottom"/>
          </w:tcPr>
          <w:p>
            <w:pPr>
              <w:spacing w:after="0"/>
              <w:rPr>
                <w:sz w:val="17"/>
                <w:szCs w:val="17"/>
                <w:color w:val="auto"/>
              </w:rPr>
            </w:pPr>
          </w:p>
        </w:tc>
        <w:tc>
          <w:tcPr>
            <w:tcW w:w="1600" w:type="dxa"/>
            <w:vAlign w:val="bottom"/>
            <w:shd w:val="clear" w:color="auto" w:fill="E2EEF6"/>
          </w:tcPr>
          <w:p>
            <w:pPr>
              <w:jc w:val="right"/>
              <w:ind w:right="153"/>
              <w:spacing w:after="0"/>
              <w:rPr>
                <w:sz w:val="20"/>
                <w:szCs w:val="20"/>
                <w:color w:val="auto"/>
              </w:rPr>
            </w:pPr>
            <w:r>
              <w:rPr>
                <w:rFonts w:ascii="Arial" w:cs="Arial" w:eastAsia="Arial" w:hAnsi="Arial"/>
                <w:sz w:val="17"/>
                <w:szCs w:val="17"/>
                <w:color w:val="auto"/>
              </w:rPr>
              <w:t>276,226,610</w:t>
            </w:r>
          </w:p>
        </w:tc>
        <w:tc>
          <w:tcPr>
            <w:tcW w:w="1720" w:type="dxa"/>
            <w:vAlign w:val="bottom"/>
            <w:shd w:val="clear" w:color="auto" w:fill="E2EEF6"/>
          </w:tcPr>
          <w:p>
            <w:pPr>
              <w:jc w:val="right"/>
              <w:ind w:right="233"/>
              <w:spacing w:after="0"/>
              <w:rPr>
                <w:sz w:val="20"/>
                <w:szCs w:val="20"/>
                <w:color w:val="auto"/>
              </w:rPr>
            </w:pPr>
            <w:r>
              <w:rPr>
                <w:rFonts w:ascii="Arial" w:cs="Arial" w:eastAsia="Arial" w:hAnsi="Arial"/>
                <w:sz w:val="17"/>
                <w:szCs w:val="17"/>
                <w:color w:val="auto"/>
              </w:rPr>
              <w:t>3,081,703</w:t>
            </w:r>
          </w:p>
        </w:tc>
        <w:tc>
          <w:tcPr>
            <w:tcW w:w="1700" w:type="dxa"/>
            <w:vAlign w:val="bottom"/>
            <w:shd w:val="clear" w:color="auto" w:fill="E2EEF6"/>
          </w:tcPr>
          <w:p>
            <w:pPr>
              <w:jc w:val="center"/>
              <w:ind w:left="117"/>
              <w:spacing w:after="0"/>
              <w:rPr>
                <w:sz w:val="20"/>
                <w:szCs w:val="20"/>
                <w:color w:val="auto"/>
              </w:rPr>
            </w:pPr>
            <w:r>
              <w:rPr>
                <w:rFonts w:ascii="Arial" w:cs="Arial" w:eastAsia="Arial" w:hAnsi="Arial"/>
                <w:sz w:val="17"/>
                <w:szCs w:val="17"/>
                <w:color w:val="auto"/>
                <w:w w:val="92"/>
              </w:rPr>
              <w:t>1,751,025</w:t>
            </w:r>
          </w:p>
        </w:tc>
        <w:tc>
          <w:tcPr>
            <w:tcW w:w="1820" w:type="dxa"/>
            <w:vAlign w:val="bottom"/>
            <w:shd w:val="clear" w:color="auto" w:fill="E2EEF6"/>
          </w:tcPr>
          <w:p>
            <w:pPr>
              <w:jc w:val="center"/>
              <w:ind w:left="33"/>
              <w:spacing w:after="0"/>
              <w:rPr>
                <w:sz w:val="20"/>
                <w:szCs w:val="20"/>
                <w:color w:val="auto"/>
              </w:rPr>
            </w:pPr>
            <w:r>
              <w:rPr>
                <w:rFonts w:ascii="Arial" w:cs="Arial" w:eastAsia="Arial" w:hAnsi="Arial"/>
                <w:sz w:val="17"/>
                <w:szCs w:val="17"/>
                <w:color w:val="auto"/>
              </w:rPr>
              <w:t>−</w:t>
            </w:r>
          </w:p>
        </w:tc>
        <w:tc>
          <w:tcPr>
            <w:tcW w:w="2280" w:type="dxa"/>
            <w:vAlign w:val="bottom"/>
          </w:tcPr>
          <w:p>
            <w:pPr>
              <w:spacing w:after="0"/>
              <w:rPr>
                <w:sz w:val="17"/>
                <w:szCs w:val="17"/>
                <w:color w:val="auto"/>
              </w:rPr>
            </w:pPr>
          </w:p>
        </w:tc>
      </w:tr>
      <w:tr>
        <w:trPr>
          <w:trHeight w:val="395"/>
        </w:trPr>
        <w:tc>
          <w:tcPr>
            <w:tcW w:w="2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00" w:type="dxa"/>
            <w:vAlign w:val="bottom"/>
          </w:tcPr>
          <w:p>
            <w:pPr>
              <w:jc w:val="right"/>
              <w:ind w:right="1457"/>
              <w:spacing w:after="0"/>
              <w:rPr>
                <w:sz w:val="20"/>
                <w:szCs w:val="20"/>
                <w:color w:val="auto"/>
              </w:rPr>
            </w:pPr>
            <w:r>
              <w:rPr>
                <w:rFonts w:ascii="Arial" w:cs="Arial" w:eastAsia="Arial" w:hAnsi="Arial"/>
                <w:sz w:val="14"/>
                <w:szCs w:val="14"/>
                <w:color w:val="auto"/>
                <w:w w:val="89"/>
              </w:rPr>
              <w:t>41</w:t>
            </w:r>
          </w:p>
        </w:tc>
        <w:tc>
          <w:tcPr>
            <w:tcW w:w="18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98"/>
        </w:trPr>
        <w:tc>
          <w:tcPr>
            <w:tcW w:w="230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81" w:lineRule="exact"/>
        <w:rPr>
          <w:sz w:val="20"/>
          <w:szCs w:val="20"/>
          <w:color w:val="auto"/>
        </w:rPr>
      </w:pPr>
    </w:p>
    <w:p>
      <w:pPr>
        <w:ind w:left="1260" w:hanging="628"/>
        <w:spacing w:after="0"/>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Exhibits</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filed in connection with this Report: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3"/>
          </w:tcPr>
          <w:p>
            <w:pPr>
              <w:spacing w:after="0"/>
              <w:rPr>
                <w:sz w:val="20"/>
                <w:szCs w:val="20"/>
                <w:color w:val="auto"/>
              </w:rPr>
            </w:pPr>
            <w:r>
              <w:rPr>
                <w:rFonts w:ascii="Arial" w:cs="Arial" w:eastAsia="Arial" w:hAnsi="Arial"/>
                <w:sz w:val="17"/>
                <w:szCs w:val="17"/>
                <w:b w:val="1"/>
                <w:bCs w:val="1"/>
                <w:color w:val="auto"/>
              </w:rPr>
              <w:t>Number</w:t>
            </w:r>
          </w:p>
        </w:tc>
        <w:tc>
          <w:tcPr>
            <w:tcW w:w="10500" w:type="dxa"/>
            <w:vAlign w:val="bottom"/>
            <w:gridSpan w:val="2"/>
          </w:tcPr>
          <w:p>
            <w:pPr>
              <w:ind w:left="240"/>
              <w:spacing w:after="0"/>
              <w:rPr>
                <w:sz w:val="20"/>
                <w:szCs w:val="20"/>
                <w:color w:val="auto"/>
              </w:rPr>
            </w:pPr>
            <w:r>
              <w:rPr>
                <w:rFonts w:ascii="Arial" w:cs="Arial" w:eastAsia="Arial" w:hAnsi="Arial"/>
                <w:sz w:val="17"/>
                <w:szCs w:val="17"/>
                <w:b w:val="1"/>
                <w:bCs w:val="1"/>
                <w:color w:val="auto"/>
              </w:rPr>
              <w:t>Description</w:t>
            </w:r>
          </w:p>
        </w:tc>
      </w:tr>
      <w:tr>
        <w:trPr>
          <w:trHeight w:val="20"/>
        </w:trPr>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60" w:type="dxa"/>
            <w:vAlign w:val="bottom"/>
            <w:shd w:val="clear" w:color="auto" w:fill="000000"/>
          </w:tcPr>
          <w:p>
            <w:pPr>
              <w:spacing w:after="0" w:line="20" w:lineRule="exact"/>
              <w:rPr>
                <w:sz w:val="1"/>
                <w:szCs w:val="1"/>
                <w:color w:val="auto"/>
              </w:rPr>
            </w:pPr>
          </w:p>
        </w:tc>
      </w:tr>
      <w:tr>
        <w:trPr>
          <w:trHeight w:val="432"/>
        </w:trPr>
        <w:tc>
          <w:tcPr>
            <w:tcW w:w="400" w:type="dxa"/>
            <w:vAlign w:val="bottom"/>
            <w:gridSpan w:val="2"/>
          </w:tcPr>
          <w:p>
            <w:pPr>
              <w:spacing w:after="0"/>
              <w:rPr>
                <w:sz w:val="20"/>
                <w:szCs w:val="20"/>
                <w:color w:val="auto"/>
              </w:rPr>
            </w:pPr>
            <w:r>
              <w:rPr>
                <w:rFonts w:ascii="Arial" w:cs="Arial" w:eastAsia="Arial" w:hAnsi="Arial"/>
                <w:sz w:val="17"/>
                <w:szCs w:val="17"/>
                <w:color w:val="auto"/>
              </w:rPr>
              <w:t>*3.1</w:t>
            </w:r>
          </w:p>
        </w:tc>
        <w:tc>
          <w:tcPr>
            <w:tcW w:w="520" w:type="dxa"/>
            <w:vAlign w:val="bottom"/>
          </w:tcPr>
          <w:p>
            <w:pPr>
              <w:spacing w:after="0"/>
              <w:rPr>
                <w:sz w:val="24"/>
                <w:szCs w:val="24"/>
                <w:color w:val="auto"/>
              </w:rPr>
            </w:pPr>
          </w:p>
        </w:tc>
        <w:tc>
          <w:tcPr>
            <w:tcW w:w="10500" w:type="dxa"/>
            <w:vAlign w:val="bottom"/>
            <w:gridSpan w:val="2"/>
          </w:tcPr>
          <w:p>
            <w:pPr>
              <w:ind w:left="240"/>
              <w:spacing w:after="0"/>
              <w:rPr>
                <w:sz w:val="20"/>
                <w:szCs w:val="20"/>
                <w:color w:val="auto"/>
              </w:rPr>
            </w:pPr>
            <w:r>
              <w:rPr>
                <w:rFonts w:ascii="Arial" w:cs="Arial" w:eastAsia="Arial" w:hAnsi="Arial"/>
                <w:sz w:val="17"/>
                <w:szCs w:val="17"/>
                <w:color w:val="auto"/>
                <w:w w:val="92"/>
              </w:rPr>
              <w:t>Memorandum of Association of Transocean Inc., as amended (incorporated by reference to Annex E to the Joint Proxy Statement/Prospectus dated</w:t>
            </w:r>
          </w:p>
        </w:tc>
      </w:tr>
      <w:tr>
        <w:trPr>
          <w:trHeight w:val="221"/>
        </w:trPr>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7"/>
                <w:szCs w:val="17"/>
                <w:color w:val="auto"/>
              </w:rPr>
              <w:t>October 30, 2000 included in a 424(b)(3) prospectus filed by us on November 1, 2000)</w:t>
            </w:r>
          </w:p>
        </w:tc>
      </w:tr>
      <w:tr>
        <w:trPr>
          <w:trHeight w:val="433"/>
        </w:trPr>
        <w:tc>
          <w:tcPr>
            <w:tcW w:w="400" w:type="dxa"/>
            <w:vAlign w:val="bottom"/>
            <w:gridSpan w:val="2"/>
          </w:tcPr>
          <w:p>
            <w:pPr>
              <w:spacing w:after="0"/>
              <w:rPr>
                <w:sz w:val="20"/>
                <w:szCs w:val="20"/>
                <w:color w:val="auto"/>
              </w:rPr>
            </w:pPr>
            <w:r>
              <w:rPr>
                <w:rFonts w:ascii="Arial" w:cs="Arial" w:eastAsia="Arial" w:hAnsi="Arial"/>
                <w:sz w:val="17"/>
                <w:szCs w:val="17"/>
                <w:color w:val="auto"/>
              </w:rPr>
              <w:t>*3.2</w:t>
            </w:r>
          </w:p>
        </w:tc>
        <w:tc>
          <w:tcPr>
            <w:tcW w:w="520" w:type="dxa"/>
            <w:vAlign w:val="bottom"/>
          </w:tcPr>
          <w:p>
            <w:pPr>
              <w:spacing w:after="0"/>
              <w:rPr>
                <w:sz w:val="24"/>
                <w:szCs w:val="24"/>
                <w:color w:val="auto"/>
              </w:rPr>
            </w:pPr>
          </w:p>
        </w:tc>
        <w:tc>
          <w:tcPr>
            <w:tcW w:w="10500" w:type="dxa"/>
            <w:vAlign w:val="bottom"/>
            <w:gridSpan w:val="2"/>
          </w:tcPr>
          <w:p>
            <w:pPr>
              <w:ind w:left="240"/>
              <w:spacing w:after="0"/>
              <w:rPr>
                <w:sz w:val="20"/>
                <w:szCs w:val="20"/>
                <w:color w:val="auto"/>
              </w:rPr>
            </w:pPr>
            <w:r>
              <w:rPr>
                <w:rFonts w:ascii="Arial" w:cs="Arial" w:eastAsia="Arial" w:hAnsi="Arial"/>
                <w:sz w:val="17"/>
                <w:szCs w:val="17"/>
                <w:color w:val="auto"/>
                <w:w w:val="96"/>
              </w:rPr>
              <w:t>Articles of Association of Transocean Inc., as amended (incorporated by reference to Annex F to the Joint Proxy Statement/Prospectus dated</w:t>
            </w:r>
          </w:p>
        </w:tc>
      </w:tr>
      <w:tr>
        <w:trPr>
          <w:trHeight w:val="221"/>
        </w:trPr>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7"/>
                <w:szCs w:val="17"/>
                <w:color w:val="auto"/>
              </w:rPr>
              <w:t>October 30, 2000 included in a 424(b)(3) prospectus filed by us on November 1, 2000)</w:t>
            </w:r>
          </w:p>
        </w:tc>
      </w:tr>
      <w:tr>
        <w:trPr>
          <w:trHeight w:val="433"/>
        </w:trPr>
        <w:tc>
          <w:tcPr>
            <w:tcW w:w="400" w:type="dxa"/>
            <w:vAlign w:val="bottom"/>
            <w:gridSpan w:val="2"/>
          </w:tcPr>
          <w:p>
            <w:pPr>
              <w:spacing w:after="0"/>
              <w:rPr>
                <w:sz w:val="20"/>
                <w:szCs w:val="20"/>
                <w:color w:val="auto"/>
              </w:rPr>
            </w:pPr>
            <w:r>
              <w:rPr>
                <w:rFonts w:ascii="Arial" w:cs="Arial" w:eastAsia="Arial" w:hAnsi="Arial"/>
                <w:sz w:val="17"/>
                <w:szCs w:val="17"/>
                <w:color w:val="auto"/>
              </w:rPr>
              <w:t>*3.3</w:t>
            </w:r>
          </w:p>
        </w:tc>
        <w:tc>
          <w:tcPr>
            <w:tcW w:w="520" w:type="dxa"/>
            <w:vAlign w:val="bottom"/>
          </w:tcPr>
          <w:p>
            <w:pPr>
              <w:spacing w:after="0"/>
              <w:rPr>
                <w:sz w:val="24"/>
                <w:szCs w:val="24"/>
                <w:color w:val="auto"/>
              </w:rPr>
            </w:pPr>
          </w:p>
        </w:tc>
        <w:tc>
          <w:tcPr>
            <w:tcW w:w="10500" w:type="dxa"/>
            <w:vAlign w:val="bottom"/>
            <w:gridSpan w:val="2"/>
          </w:tcPr>
          <w:p>
            <w:pPr>
              <w:ind w:left="240"/>
              <w:spacing w:after="0"/>
              <w:rPr>
                <w:sz w:val="20"/>
                <w:szCs w:val="20"/>
                <w:color w:val="auto"/>
              </w:rPr>
            </w:pPr>
            <w:r>
              <w:rPr>
                <w:rFonts w:ascii="Arial" w:cs="Arial" w:eastAsia="Arial" w:hAnsi="Arial"/>
                <w:sz w:val="17"/>
                <w:szCs w:val="17"/>
                <w:color w:val="auto"/>
                <w:w w:val="97"/>
              </w:rPr>
              <w:t>Certificate of Incorporation on Change of Name to Transocean Inc. (incorporated by reference to Exhibit 3.3 to our Form 10-Q for the quarter</w:t>
            </w:r>
          </w:p>
        </w:tc>
      </w:tr>
      <w:tr>
        <w:trPr>
          <w:trHeight w:val="221"/>
        </w:trPr>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7"/>
                <w:szCs w:val="17"/>
                <w:color w:val="auto"/>
              </w:rPr>
              <w:t>ended June 30, 2002)</w:t>
            </w:r>
          </w:p>
        </w:tc>
      </w:tr>
      <w:tr>
        <w:trPr>
          <w:trHeight w:val="433"/>
        </w:trPr>
        <w:tc>
          <w:tcPr>
            <w:tcW w:w="400" w:type="dxa"/>
            <w:vAlign w:val="bottom"/>
            <w:gridSpan w:val="2"/>
          </w:tcPr>
          <w:p>
            <w:pPr>
              <w:spacing w:after="0"/>
              <w:rPr>
                <w:sz w:val="20"/>
                <w:szCs w:val="20"/>
                <w:color w:val="auto"/>
              </w:rPr>
            </w:pPr>
            <w:r>
              <w:rPr>
                <w:rFonts w:ascii="Arial" w:cs="Arial" w:eastAsia="Arial" w:hAnsi="Arial"/>
                <w:sz w:val="17"/>
                <w:szCs w:val="17"/>
                <w:color w:val="auto"/>
              </w:rPr>
              <w:t>*4.1</w:t>
            </w:r>
          </w:p>
        </w:tc>
        <w:tc>
          <w:tcPr>
            <w:tcW w:w="520" w:type="dxa"/>
            <w:vAlign w:val="bottom"/>
          </w:tcPr>
          <w:p>
            <w:pPr>
              <w:spacing w:after="0"/>
              <w:rPr>
                <w:sz w:val="24"/>
                <w:szCs w:val="24"/>
                <w:color w:val="auto"/>
              </w:rPr>
            </w:pPr>
          </w:p>
        </w:tc>
        <w:tc>
          <w:tcPr>
            <w:tcW w:w="10500" w:type="dxa"/>
            <w:vAlign w:val="bottom"/>
            <w:gridSpan w:val="2"/>
          </w:tcPr>
          <w:p>
            <w:pPr>
              <w:ind w:left="240"/>
              <w:spacing w:after="0"/>
              <w:rPr>
                <w:sz w:val="20"/>
                <w:szCs w:val="20"/>
                <w:color w:val="auto"/>
              </w:rPr>
            </w:pPr>
            <w:r>
              <w:rPr>
                <w:rFonts w:ascii="Arial" w:cs="Arial" w:eastAsia="Arial" w:hAnsi="Arial"/>
                <w:sz w:val="17"/>
                <w:szCs w:val="17"/>
                <w:color w:val="auto"/>
                <w:w w:val="95"/>
              </w:rPr>
              <w:t>Revolving Credit Agreement, dated as of July 8, 2005, among Transocean Inc., the lenders from time to time party thereto, Citibank, N.A., Bank</w:t>
            </w:r>
          </w:p>
        </w:tc>
      </w:tr>
      <w:tr>
        <w:trPr>
          <w:trHeight w:val="209"/>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500" w:type="dxa"/>
            <w:vAlign w:val="bottom"/>
            <w:gridSpan w:val="2"/>
          </w:tcPr>
          <w:p>
            <w:pPr>
              <w:ind w:left="240"/>
              <w:spacing w:after="0"/>
              <w:rPr>
                <w:sz w:val="20"/>
                <w:szCs w:val="20"/>
                <w:color w:val="auto"/>
              </w:rPr>
            </w:pPr>
            <w:r>
              <w:rPr>
                <w:rFonts w:ascii="Arial" w:cs="Arial" w:eastAsia="Arial" w:hAnsi="Arial"/>
                <w:sz w:val="17"/>
                <w:szCs w:val="17"/>
                <w:color w:val="auto"/>
                <w:w w:val="96"/>
              </w:rPr>
              <w:t>of America, N.A., JPMorgan Chase Bank, N.A., The Royal Bank of Scotland plc and SunTrust Bank (incorporated by reference to our Current</w:t>
            </w:r>
          </w:p>
        </w:tc>
      </w:tr>
      <w:tr>
        <w:trPr>
          <w:trHeight w:val="221"/>
        </w:trPr>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7"/>
                <w:szCs w:val="17"/>
                <w:color w:val="auto"/>
              </w:rPr>
              <w:t>Report on Form 8-K filed on July 13, 2005)</w:t>
            </w:r>
          </w:p>
        </w:tc>
      </w:tr>
      <w:tr>
        <w:trPr>
          <w:trHeight w:val="445"/>
        </w:trPr>
        <w:tc>
          <w:tcPr>
            <w:tcW w:w="400" w:type="dxa"/>
            <w:vAlign w:val="bottom"/>
            <w:gridSpan w:val="2"/>
          </w:tcPr>
          <w:p>
            <w:pPr>
              <w:spacing w:after="0"/>
              <w:rPr>
                <w:sz w:val="20"/>
                <w:szCs w:val="20"/>
                <w:color w:val="auto"/>
              </w:rPr>
            </w:pPr>
            <w:r>
              <w:rPr>
                <w:rFonts w:ascii="Arial" w:cs="Arial" w:eastAsia="Arial" w:hAnsi="Arial"/>
                <w:sz w:val="17"/>
                <w:szCs w:val="17"/>
                <w:color w:val="auto"/>
                <w:w w:val="95"/>
              </w:rPr>
              <w:t>*10.1</w:t>
            </w:r>
          </w:p>
        </w:tc>
        <w:tc>
          <w:tcPr>
            <w:tcW w:w="520" w:type="dxa"/>
            <w:vAlign w:val="bottom"/>
          </w:tcPr>
          <w:p>
            <w:pPr>
              <w:spacing w:after="0"/>
              <w:rPr>
                <w:sz w:val="24"/>
                <w:szCs w:val="24"/>
                <w:color w:val="auto"/>
              </w:rPr>
            </w:pPr>
          </w:p>
        </w:tc>
        <w:tc>
          <w:tcPr>
            <w:tcW w:w="10500" w:type="dxa"/>
            <w:vAlign w:val="bottom"/>
            <w:gridSpan w:val="2"/>
          </w:tcPr>
          <w:p>
            <w:pPr>
              <w:ind w:left="240"/>
              <w:spacing w:after="0"/>
              <w:rPr>
                <w:sz w:val="20"/>
                <w:szCs w:val="20"/>
                <w:color w:val="auto"/>
              </w:rPr>
            </w:pPr>
            <w:r>
              <w:rPr>
                <w:rFonts w:ascii="Arial" w:cs="Arial" w:eastAsia="Arial" w:hAnsi="Arial"/>
                <w:sz w:val="17"/>
                <w:szCs w:val="17"/>
                <w:color w:val="auto"/>
                <w:w w:val="96"/>
              </w:rPr>
              <w:t>Amended and Restated Employee Stock Purchase Plan (incorporated by reference to our Current Report on Form 8-K filed on May 16, 2005)</w:t>
            </w:r>
          </w:p>
        </w:tc>
      </w:tr>
      <w:tr>
        <w:trPr>
          <w:trHeight w:val="471"/>
        </w:trPr>
        <w:tc>
          <w:tcPr>
            <w:tcW w:w="400" w:type="dxa"/>
            <w:vAlign w:val="bottom"/>
            <w:gridSpan w:val="2"/>
          </w:tcPr>
          <w:p>
            <w:pPr>
              <w:spacing w:after="0"/>
              <w:rPr>
                <w:sz w:val="20"/>
                <w:szCs w:val="20"/>
                <w:color w:val="auto"/>
              </w:rPr>
            </w:pPr>
            <w:r>
              <w:rPr>
                <w:rFonts w:ascii="Arial" w:cs="Arial" w:eastAsia="Arial" w:hAnsi="Arial"/>
                <w:sz w:val="17"/>
                <w:szCs w:val="17"/>
                <w:color w:val="auto"/>
                <w:w w:val="95"/>
              </w:rPr>
              <w:t>*10.2</w:t>
            </w:r>
          </w:p>
        </w:tc>
        <w:tc>
          <w:tcPr>
            <w:tcW w:w="520" w:type="dxa"/>
            <w:vAlign w:val="bottom"/>
          </w:tcPr>
          <w:p>
            <w:pPr>
              <w:spacing w:after="0"/>
              <w:rPr>
                <w:sz w:val="24"/>
                <w:szCs w:val="24"/>
                <w:color w:val="auto"/>
              </w:rPr>
            </w:pPr>
          </w:p>
        </w:tc>
        <w:tc>
          <w:tcPr>
            <w:tcW w:w="10500" w:type="dxa"/>
            <w:vAlign w:val="bottom"/>
            <w:gridSpan w:val="2"/>
          </w:tcPr>
          <w:p>
            <w:pPr>
              <w:ind w:left="240"/>
              <w:spacing w:after="0"/>
              <w:rPr>
                <w:sz w:val="20"/>
                <w:szCs w:val="20"/>
                <w:color w:val="auto"/>
              </w:rPr>
            </w:pPr>
            <w:r>
              <w:rPr>
                <w:rFonts w:ascii="Arial" w:cs="Arial" w:eastAsia="Arial" w:hAnsi="Arial"/>
                <w:sz w:val="17"/>
                <w:szCs w:val="17"/>
                <w:color w:val="auto"/>
              </w:rPr>
              <w:t>Executive Change of Control Severance Benefit (incorporated by reference to our Current Report on Form 8-K filed on July 19, 2005)</w:t>
            </w:r>
          </w:p>
        </w:tc>
      </w:tr>
      <w:tr>
        <w:trPr>
          <w:trHeight w:val="432"/>
        </w:trPr>
        <w:tc>
          <w:tcPr>
            <w:tcW w:w="920" w:type="dxa"/>
            <w:vAlign w:val="bottom"/>
            <w:gridSpan w:val="3"/>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EE"/>
              </w:rPr>
              <w:t>31.1</w:t>
            </w:r>
          </w:p>
        </w:tc>
        <w:tc>
          <w:tcPr>
            <w:tcW w:w="10500" w:type="dxa"/>
            <w:vAlign w:val="bottom"/>
            <w:gridSpan w:val="2"/>
          </w:tcPr>
          <w:p>
            <w:pPr>
              <w:ind w:left="240"/>
              <w:spacing w:after="0"/>
              <w:rPr>
                <w:sz w:val="20"/>
                <w:szCs w:val="20"/>
                <w:color w:val="auto"/>
              </w:rPr>
            </w:pPr>
            <w:r>
              <w:rPr>
                <w:rFonts w:ascii="Arial" w:cs="Arial" w:eastAsia="Arial" w:hAnsi="Arial"/>
                <w:sz w:val="17"/>
                <w:szCs w:val="17"/>
                <w:color w:val="auto"/>
              </w:rPr>
              <w:t>CEO Certification Pursuant to Section 302 of the Sarbanes-Oxley Act of 2002</w:t>
            </w: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500" w:type="dxa"/>
            <w:vAlign w:val="bottom"/>
            <w:gridSpan w:val="2"/>
          </w:tcPr>
          <w:p>
            <w:pPr>
              <w:spacing w:after="0" w:line="20" w:lineRule="exact"/>
              <w:rPr>
                <w:sz w:val="1"/>
                <w:szCs w:val="1"/>
                <w:color w:val="auto"/>
              </w:rPr>
            </w:pPr>
          </w:p>
        </w:tc>
      </w:tr>
      <w:tr>
        <w:trPr>
          <w:trHeight w:val="451"/>
        </w:trPr>
        <w:tc>
          <w:tcPr>
            <w:tcW w:w="920" w:type="dxa"/>
            <w:vAlign w:val="bottom"/>
            <w:gridSpan w:val="3"/>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EE"/>
              </w:rPr>
              <w:t>31.2</w:t>
            </w:r>
          </w:p>
        </w:tc>
        <w:tc>
          <w:tcPr>
            <w:tcW w:w="10500" w:type="dxa"/>
            <w:vAlign w:val="bottom"/>
            <w:gridSpan w:val="2"/>
          </w:tcPr>
          <w:p>
            <w:pPr>
              <w:ind w:left="240"/>
              <w:spacing w:after="0"/>
              <w:rPr>
                <w:sz w:val="20"/>
                <w:szCs w:val="20"/>
                <w:color w:val="auto"/>
              </w:rPr>
            </w:pPr>
            <w:r>
              <w:rPr>
                <w:rFonts w:ascii="Arial" w:cs="Arial" w:eastAsia="Arial" w:hAnsi="Arial"/>
                <w:sz w:val="17"/>
                <w:szCs w:val="17"/>
                <w:color w:val="auto"/>
              </w:rPr>
              <w:t>CFO Certification Pursuant to Section 302 of the Sarbanes-Oxley Act of 2002</w:t>
            </w: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500" w:type="dxa"/>
            <w:vAlign w:val="bottom"/>
            <w:gridSpan w:val="2"/>
          </w:tcPr>
          <w:p>
            <w:pPr>
              <w:spacing w:after="0" w:line="20" w:lineRule="exact"/>
              <w:rPr>
                <w:sz w:val="1"/>
                <w:szCs w:val="1"/>
                <w:color w:val="auto"/>
              </w:rPr>
            </w:pPr>
          </w:p>
        </w:tc>
      </w:tr>
      <w:tr>
        <w:trPr>
          <w:trHeight w:val="451"/>
        </w:trPr>
        <w:tc>
          <w:tcPr>
            <w:tcW w:w="920" w:type="dxa"/>
            <w:vAlign w:val="bottom"/>
            <w:gridSpan w:val="3"/>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EE"/>
              </w:rPr>
              <w:t>32.1</w:t>
            </w:r>
          </w:p>
        </w:tc>
        <w:tc>
          <w:tcPr>
            <w:tcW w:w="10500" w:type="dxa"/>
            <w:vAlign w:val="bottom"/>
            <w:gridSpan w:val="2"/>
          </w:tcPr>
          <w:p>
            <w:pPr>
              <w:ind w:left="240"/>
              <w:spacing w:after="0"/>
              <w:rPr>
                <w:sz w:val="20"/>
                <w:szCs w:val="20"/>
                <w:color w:val="auto"/>
              </w:rPr>
            </w:pPr>
            <w:r>
              <w:rPr>
                <w:rFonts w:ascii="Arial" w:cs="Arial" w:eastAsia="Arial" w:hAnsi="Arial"/>
                <w:sz w:val="17"/>
                <w:szCs w:val="17"/>
                <w:color w:val="auto"/>
              </w:rPr>
              <w:t>CEO Certification Pursuant to Section 906 of the Sarbanes-Oxley Act of 2002</w:t>
            </w: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500" w:type="dxa"/>
            <w:vAlign w:val="bottom"/>
            <w:gridSpan w:val="2"/>
          </w:tcPr>
          <w:p>
            <w:pPr>
              <w:spacing w:after="0" w:line="20" w:lineRule="exact"/>
              <w:rPr>
                <w:sz w:val="1"/>
                <w:szCs w:val="1"/>
                <w:color w:val="auto"/>
              </w:rPr>
            </w:pPr>
          </w:p>
        </w:tc>
      </w:tr>
      <w:tr>
        <w:trPr>
          <w:trHeight w:val="451"/>
        </w:trPr>
        <w:tc>
          <w:tcPr>
            <w:tcW w:w="920" w:type="dxa"/>
            <w:vAlign w:val="bottom"/>
            <w:gridSpan w:val="3"/>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EE"/>
              </w:rPr>
              <w:t>32.2</w:t>
            </w:r>
          </w:p>
        </w:tc>
        <w:tc>
          <w:tcPr>
            <w:tcW w:w="10500" w:type="dxa"/>
            <w:vAlign w:val="bottom"/>
            <w:gridSpan w:val="2"/>
          </w:tcPr>
          <w:p>
            <w:pPr>
              <w:ind w:left="240"/>
              <w:spacing w:after="0"/>
              <w:rPr>
                <w:sz w:val="20"/>
                <w:szCs w:val="20"/>
                <w:color w:val="auto"/>
              </w:rPr>
            </w:pPr>
            <w:r>
              <w:rPr>
                <w:rFonts w:ascii="Arial" w:cs="Arial" w:eastAsia="Arial" w:hAnsi="Arial"/>
                <w:sz w:val="17"/>
                <w:szCs w:val="17"/>
                <w:color w:val="auto"/>
              </w:rPr>
              <w:t>CFO Certification Pursuant to Section 906 of the Sarbanes-Oxley Act of 2002</w:t>
            </w: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26" w:lineRule="exact"/>
        <w:rPr>
          <w:sz w:val="20"/>
          <w:szCs w:val="20"/>
          <w:color w:val="auto"/>
        </w:rPr>
      </w:pPr>
    </w:p>
    <w:p>
      <w:pPr>
        <w:ind w:left="140" w:hanging="135"/>
        <w:spacing w:after="0"/>
        <w:tabs>
          <w:tab w:leader="none" w:pos="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Incorporated by reference as indicated.</w:t>
      </w:r>
    </w:p>
    <w:p>
      <w:pPr>
        <w:spacing w:after="0" w:line="1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Filed herewith.</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25551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 to Form 10-Q</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281"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hereunto duly authorized, on August 2, 2005.</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TRANSOCEAN INC.</w:t>
      </w:r>
    </w:p>
    <w:p>
      <w:pPr>
        <w:spacing w:after="0" w:line="200" w:lineRule="exact"/>
        <w:rPr>
          <w:sz w:val="20"/>
          <w:szCs w:val="20"/>
          <w:color w:val="auto"/>
        </w:rPr>
      </w:pPr>
    </w:p>
    <w:p>
      <w:pPr>
        <w:spacing w:after="0" w:line="337"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By:</w:t>
        <w:tab/>
        <w:t>/s/ Gregory L. Cauthen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24765</wp:posOffset>
            </wp:positionV>
            <wp:extent cx="33388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38830" cy="8255"/>
                    </a:xfrm>
                    <a:prstGeom prst="rect">
                      <a:avLst/>
                    </a:prstGeom>
                    <a:noFill/>
                  </pic:spPr>
                </pic:pic>
              </a:graphicData>
            </a:graphic>
          </wp:anchor>
        </w:drawing>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Gregory L. Cauthen</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Senior Vice President and Chief Financial Officer</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311"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By:</w:t>
        <w:tab/>
        <w:t>/s/ David A. Tonnel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24765</wp:posOffset>
            </wp:positionV>
            <wp:extent cx="33388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38830" cy="8255"/>
                    </a:xfrm>
                    <a:prstGeom prst="rect">
                      <a:avLst/>
                    </a:prstGeom>
                    <a:noFill/>
                  </pic:spPr>
                </pic:pic>
              </a:graphicData>
            </a:graphic>
          </wp:anchor>
        </w:drawing>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David A. Tonnel</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Vice President and Controller</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429895</wp:posOffset>
            </wp:positionV>
            <wp:extent cx="727202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right"/>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35560"/>
                    </a:xfrm>
                    <a:prstGeom prst="rect">
                      <a:avLst/>
                    </a:prstGeom>
                    <a:noFill/>
                  </pic:spPr>
                </pic:pic>
              </a:graphicData>
            </a:graphic>
          </wp:anchor>
        </w:drawing>
        <w:t>Exhibit 31.1</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CEO CERTIFICATION PURSUANT TO SECTION 302 OF THE SARBANES-OXLEY ACT OF 2002</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I, Robert L. Long, certify that:</w:t>
      </w:r>
    </w:p>
    <w:p>
      <w:pPr>
        <w:spacing w:after="0" w:line="275" w:lineRule="exact"/>
        <w:rPr>
          <w:sz w:val="20"/>
          <w:szCs w:val="20"/>
          <w:color w:val="auto"/>
        </w:rPr>
      </w:pPr>
    </w:p>
    <w:p>
      <w:pPr>
        <w:ind w:left="640" w:hanging="635"/>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Transocean Inc.,</w:t>
      </w:r>
    </w:p>
    <w:p>
      <w:pPr>
        <w:spacing w:after="0" w:line="275" w:lineRule="exact"/>
        <w:rPr>
          <w:rFonts w:ascii="Arial" w:cs="Arial" w:eastAsia="Arial" w:hAnsi="Arial"/>
          <w:sz w:val="17"/>
          <w:szCs w:val="17"/>
          <w:color w:val="auto"/>
        </w:rPr>
      </w:pPr>
    </w:p>
    <w:p>
      <w:pPr>
        <w:jc w:val="both"/>
        <w:ind w:left="640" w:right="20" w:hanging="635"/>
        <w:spacing w:after="0" w:line="272"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4" w:lineRule="exact"/>
        <w:rPr>
          <w:rFonts w:ascii="Arial" w:cs="Arial" w:eastAsia="Arial" w:hAnsi="Arial"/>
          <w:sz w:val="17"/>
          <w:szCs w:val="17"/>
          <w:color w:val="auto"/>
        </w:rPr>
      </w:pPr>
    </w:p>
    <w:p>
      <w:pPr>
        <w:ind w:left="640" w:right="20" w:hanging="635"/>
        <w:spacing w:after="0" w:line="321"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7" w:lineRule="exact"/>
        <w:rPr>
          <w:rFonts w:ascii="Arial" w:cs="Arial" w:eastAsia="Arial" w:hAnsi="Arial"/>
          <w:sz w:val="16"/>
          <w:szCs w:val="16"/>
          <w:color w:val="auto"/>
        </w:rPr>
      </w:pPr>
    </w:p>
    <w:p>
      <w:pPr>
        <w:jc w:val="both"/>
        <w:ind w:left="640" w:right="20" w:hanging="635"/>
        <w:spacing w:after="0" w:line="272"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24" w:lineRule="exact"/>
        <w:rPr>
          <w:rFonts w:ascii="Arial" w:cs="Arial" w:eastAsia="Arial" w:hAnsi="Arial"/>
          <w:sz w:val="17"/>
          <w:szCs w:val="17"/>
          <w:color w:val="auto"/>
        </w:rPr>
      </w:pPr>
    </w:p>
    <w:p>
      <w:pPr>
        <w:jc w:val="both"/>
        <w:ind w:left="1260" w:right="20" w:hanging="314"/>
        <w:spacing w:after="0" w:line="272" w:lineRule="auto"/>
        <w:tabs>
          <w:tab w:leader="none" w:pos="12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24" w:lineRule="exact"/>
        <w:rPr>
          <w:rFonts w:ascii="Arial" w:cs="Arial" w:eastAsia="Arial" w:hAnsi="Arial"/>
          <w:sz w:val="17"/>
          <w:szCs w:val="17"/>
          <w:color w:val="auto"/>
        </w:rPr>
      </w:pPr>
    </w:p>
    <w:p>
      <w:pPr>
        <w:jc w:val="both"/>
        <w:ind w:left="1260" w:right="20" w:hanging="314"/>
        <w:spacing w:after="0" w:line="272" w:lineRule="auto"/>
        <w:tabs>
          <w:tab w:leader="none" w:pos="12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24" w:lineRule="exact"/>
        <w:rPr>
          <w:rFonts w:ascii="Arial" w:cs="Arial" w:eastAsia="Arial" w:hAnsi="Arial"/>
          <w:sz w:val="17"/>
          <w:szCs w:val="17"/>
          <w:color w:val="auto"/>
        </w:rPr>
      </w:pPr>
    </w:p>
    <w:p>
      <w:pPr>
        <w:ind w:left="1260" w:right="20" w:hanging="314"/>
        <w:spacing w:after="0" w:line="359" w:lineRule="auto"/>
        <w:tabs>
          <w:tab w:leader="none" w:pos="12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64" w:lineRule="exact"/>
        <w:rPr>
          <w:rFonts w:ascii="Arial" w:cs="Arial" w:eastAsia="Arial" w:hAnsi="Arial"/>
          <w:sz w:val="15"/>
          <w:szCs w:val="15"/>
          <w:color w:val="auto"/>
        </w:rPr>
      </w:pPr>
    </w:p>
    <w:p>
      <w:pPr>
        <w:jc w:val="both"/>
        <w:ind w:left="1260" w:right="20" w:hanging="314"/>
        <w:spacing w:after="0" w:line="272" w:lineRule="auto"/>
        <w:tabs>
          <w:tab w:leader="none" w:pos="12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4" w:lineRule="exact"/>
        <w:rPr>
          <w:rFonts w:ascii="Arial" w:cs="Arial" w:eastAsia="Arial" w:hAnsi="Arial"/>
          <w:sz w:val="17"/>
          <w:szCs w:val="17"/>
          <w:color w:val="auto"/>
        </w:rPr>
      </w:pPr>
    </w:p>
    <w:p>
      <w:pPr>
        <w:ind w:left="640" w:right="20" w:hanging="635"/>
        <w:spacing w:after="0" w:line="288"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11" w:lineRule="exact"/>
        <w:rPr>
          <w:rFonts w:ascii="Arial" w:cs="Arial" w:eastAsia="Arial" w:hAnsi="Arial"/>
          <w:sz w:val="17"/>
          <w:szCs w:val="17"/>
          <w:color w:val="auto"/>
        </w:rPr>
      </w:pPr>
    </w:p>
    <w:p>
      <w:pPr>
        <w:ind w:left="1260" w:right="20" w:hanging="314"/>
        <w:spacing w:after="0" w:line="288" w:lineRule="auto"/>
        <w:tabs>
          <w:tab w:leader="none" w:pos="12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1" w:lineRule="exact"/>
        <w:rPr>
          <w:rFonts w:ascii="Arial" w:cs="Arial" w:eastAsia="Arial" w:hAnsi="Arial"/>
          <w:sz w:val="17"/>
          <w:szCs w:val="17"/>
          <w:color w:val="auto"/>
        </w:rPr>
      </w:pPr>
    </w:p>
    <w:p>
      <w:pPr>
        <w:ind w:left="1260" w:right="20" w:hanging="314"/>
        <w:spacing w:after="0" w:line="288" w:lineRule="auto"/>
        <w:tabs>
          <w:tab w:leader="none" w:pos="12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60" w:type="dxa"/>
            <w:vAlign w:val="bottom"/>
          </w:tcPr>
          <w:p>
            <w:pPr>
              <w:spacing w:after="0"/>
              <w:rPr>
                <w:sz w:val="20"/>
                <w:szCs w:val="20"/>
                <w:color w:val="auto"/>
              </w:rPr>
            </w:pPr>
            <w:r>
              <w:rPr>
                <w:rFonts w:ascii="Arial" w:cs="Arial" w:eastAsia="Arial" w:hAnsi="Arial"/>
                <w:sz w:val="17"/>
                <w:szCs w:val="17"/>
                <w:color w:val="auto"/>
              </w:rPr>
              <w:t>Date: August 2, 2005</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Robert L. Long</w:t>
            </w:r>
          </w:p>
        </w:tc>
        <w:tc>
          <w:tcPr>
            <w:tcW w:w="20" w:type="dxa"/>
            <w:vAlign w:val="bottom"/>
          </w:tcPr>
          <w:p>
            <w:pPr>
              <w:spacing w:after="0"/>
              <w:rPr>
                <w:sz w:val="19"/>
                <w:szCs w:val="19"/>
                <w:color w:val="auto"/>
              </w:rPr>
            </w:pPr>
          </w:p>
        </w:tc>
      </w:tr>
      <w:tr>
        <w:trPr>
          <w:trHeight w:val="215"/>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Robert L. Long</w:t>
            </w:r>
          </w:p>
        </w:tc>
        <w:tc>
          <w:tcPr>
            <w:tcW w:w="20" w:type="dxa"/>
            <w:vAlign w:val="bottom"/>
          </w:tcPr>
          <w:p>
            <w:pPr>
              <w:spacing w:after="0"/>
              <w:rPr>
                <w:sz w:val="18"/>
                <w:szCs w:val="18"/>
                <w:color w:val="auto"/>
              </w:rPr>
            </w:pPr>
          </w:p>
        </w:tc>
      </w:tr>
      <w:tr>
        <w:trPr>
          <w:trHeight w:val="223"/>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President and Chief Executive Officer</w:t>
            </w:r>
          </w:p>
        </w:tc>
        <w:tc>
          <w:tcPr>
            <w:tcW w:w="20" w:type="dxa"/>
            <w:vAlign w:val="bottom"/>
          </w:tcPr>
          <w:p>
            <w:pPr>
              <w:spacing w:after="0"/>
              <w:rPr>
                <w:sz w:val="19"/>
                <w:szCs w:val="19"/>
                <w:color w:val="auto"/>
              </w:rPr>
            </w:pPr>
          </w:p>
        </w:tc>
      </w:tr>
      <w:tr>
        <w:trPr>
          <w:trHeight w:val="612"/>
        </w:trPr>
        <w:tc>
          <w:tcPr>
            <w:tcW w:w="686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-13970</wp:posOffset>
            </wp:positionV>
            <wp:extent cx="12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14" w:right="219" w:bottom="1440" w:gutter="0" w:footer="0" w:header="0"/>
        </w:sectPr>
      </w:pPr>
    </w:p>
    <w:bookmarkStart w:id="46" w:name="page47"/>
    <w:bookmarkEnd w:id="46"/>
    <w:p>
      <w:pPr>
        <w:jc w:val="right"/>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35560"/>
                    </a:xfrm>
                    <a:prstGeom prst="rect">
                      <a:avLst/>
                    </a:prstGeom>
                    <a:noFill/>
                  </pic:spPr>
                </pic:pic>
              </a:graphicData>
            </a:graphic>
          </wp:anchor>
        </w:drawing>
        <w:t>Exhibit 31.2</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CFO CERTIFICATION PURSUANT TO SECTION 302 OF THE SARBANES-OXLEY ACT OF 2002</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I, Gregory L. Cauthen, certify that:</w:t>
      </w:r>
    </w:p>
    <w:p>
      <w:pPr>
        <w:spacing w:after="0" w:line="275" w:lineRule="exact"/>
        <w:rPr>
          <w:sz w:val="20"/>
          <w:szCs w:val="20"/>
          <w:color w:val="auto"/>
        </w:rPr>
      </w:pPr>
    </w:p>
    <w:p>
      <w:pPr>
        <w:ind w:left="640" w:hanging="635"/>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Transocean Inc.,</w:t>
      </w:r>
    </w:p>
    <w:p>
      <w:pPr>
        <w:spacing w:after="0" w:line="275" w:lineRule="exact"/>
        <w:rPr>
          <w:rFonts w:ascii="Arial" w:cs="Arial" w:eastAsia="Arial" w:hAnsi="Arial"/>
          <w:sz w:val="17"/>
          <w:szCs w:val="17"/>
          <w:color w:val="auto"/>
        </w:rPr>
      </w:pPr>
    </w:p>
    <w:p>
      <w:pPr>
        <w:jc w:val="both"/>
        <w:ind w:left="640" w:right="20" w:hanging="635"/>
        <w:spacing w:after="0" w:line="272"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4" w:lineRule="exact"/>
        <w:rPr>
          <w:rFonts w:ascii="Arial" w:cs="Arial" w:eastAsia="Arial" w:hAnsi="Arial"/>
          <w:sz w:val="17"/>
          <w:szCs w:val="17"/>
          <w:color w:val="auto"/>
        </w:rPr>
      </w:pPr>
    </w:p>
    <w:p>
      <w:pPr>
        <w:ind w:left="640" w:right="20" w:hanging="635"/>
        <w:spacing w:after="0" w:line="321"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7" w:lineRule="exact"/>
        <w:rPr>
          <w:rFonts w:ascii="Arial" w:cs="Arial" w:eastAsia="Arial" w:hAnsi="Arial"/>
          <w:sz w:val="16"/>
          <w:szCs w:val="16"/>
          <w:color w:val="auto"/>
        </w:rPr>
      </w:pPr>
    </w:p>
    <w:p>
      <w:pPr>
        <w:jc w:val="both"/>
        <w:ind w:left="640" w:right="20" w:hanging="635"/>
        <w:spacing w:after="0" w:line="272"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24" w:lineRule="exact"/>
        <w:rPr>
          <w:rFonts w:ascii="Arial" w:cs="Arial" w:eastAsia="Arial" w:hAnsi="Arial"/>
          <w:sz w:val="17"/>
          <w:szCs w:val="17"/>
          <w:color w:val="auto"/>
        </w:rPr>
      </w:pPr>
    </w:p>
    <w:p>
      <w:pPr>
        <w:jc w:val="both"/>
        <w:ind w:left="1260" w:right="20" w:hanging="314"/>
        <w:spacing w:after="0" w:line="272" w:lineRule="auto"/>
        <w:tabs>
          <w:tab w:leader="none" w:pos="12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24" w:lineRule="exact"/>
        <w:rPr>
          <w:rFonts w:ascii="Arial" w:cs="Arial" w:eastAsia="Arial" w:hAnsi="Arial"/>
          <w:sz w:val="17"/>
          <w:szCs w:val="17"/>
          <w:color w:val="auto"/>
        </w:rPr>
      </w:pPr>
    </w:p>
    <w:p>
      <w:pPr>
        <w:jc w:val="both"/>
        <w:ind w:left="1260" w:right="20" w:hanging="314"/>
        <w:spacing w:after="0" w:line="272" w:lineRule="auto"/>
        <w:tabs>
          <w:tab w:leader="none" w:pos="12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24" w:lineRule="exact"/>
        <w:rPr>
          <w:rFonts w:ascii="Arial" w:cs="Arial" w:eastAsia="Arial" w:hAnsi="Arial"/>
          <w:sz w:val="17"/>
          <w:szCs w:val="17"/>
          <w:color w:val="auto"/>
        </w:rPr>
      </w:pPr>
    </w:p>
    <w:p>
      <w:pPr>
        <w:ind w:left="1260" w:right="20" w:hanging="314"/>
        <w:spacing w:after="0" w:line="359" w:lineRule="auto"/>
        <w:tabs>
          <w:tab w:leader="none" w:pos="126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64" w:lineRule="exact"/>
        <w:rPr>
          <w:rFonts w:ascii="Arial" w:cs="Arial" w:eastAsia="Arial" w:hAnsi="Arial"/>
          <w:sz w:val="15"/>
          <w:szCs w:val="15"/>
          <w:color w:val="auto"/>
        </w:rPr>
      </w:pPr>
    </w:p>
    <w:p>
      <w:pPr>
        <w:jc w:val="both"/>
        <w:ind w:left="1260" w:right="20" w:hanging="314"/>
        <w:spacing w:after="0" w:line="272" w:lineRule="auto"/>
        <w:tabs>
          <w:tab w:leader="none" w:pos="12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4" w:lineRule="exact"/>
        <w:rPr>
          <w:rFonts w:ascii="Arial" w:cs="Arial" w:eastAsia="Arial" w:hAnsi="Arial"/>
          <w:sz w:val="17"/>
          <w:szCs w:val="17"/>
          <w:color w:val="auto"/>
        </w:rPr>
      </w:pPr>
    </w:p>
    <w:p>
      <w:pPr>
        <w:ind w:left="640" w:right="20" w:hanging="635"/>
        <w:spacing w:after="0" w:line="288"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11" w:lineRule="exact"/>
        <w:rPr>
          <w:rFonts w:ascii="Arial" w:cs="Arial" w:eastAsia="Arial" w:hAnsi="Arial"/>
          <w:sz w:val="17"/>
          <w:szCs w:val="17"/>
          <w:color w:val="auto"/>
        </w:rPr>
      </w:pPr>
    </w:p>
    <w:p>
      <w:pPr>
        <w:ind w:left="1260" w:right="20" w:hanging="314"/>
        <w:spacing w:after="0" w:line="288" w:lineRule="auto"/>
        <w:tabs>
          <w:tab w:leader="none" w:pos="12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1" w:lineRule="exact"/>
        <w:rPr>
          <w:rFonts w:ascii="Arial" w:cs="Arial" w:eastAsia="Arial" w:hAnsi="Arial"/>
          <w:sz w:val="17"/>
          <w:szCs w:val="17"/>
          <w:color w:val="auto"/>
        </w:rPr>
      </w:pPr>
    </w:p>
    <w:p>
      <w:pPr>
        <w:ind w:left="1260" w:right="20" w:hanging="314"/>
        <w:spacing w:after="0" w:line="288" w:lineRule="auto"/>
        <w:tabs>
          <w:tab w:leader="none" w:pos="12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60" w:type="dxa"/>
            <w:vAlign w:val="bottom"/>
          </w:tcPr>
          <w:p>
            <w:pPr>
              <w:spacing w:after="0"/>
              <w:rPr>
                <w:sz w:val="20"/>
                <w:szCs w:val="20"/>
                <w:color w:val="auto"/>
              </w:rPr>
            </w:pPr>
            <w:r>
              <w:rPr>
                <w:rFonts w:ascii="Arial" w:cs="Arial" w:eastAsia="Arial" w:hAnsi="Arial"/>
                <w:sz w:val="17"/>
                <w:szCs w:val="17"/>
                <w:color w:val="auto"/>
              </w:rPr>
              <w:t>Date: August 2, 2005</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Gregory L. Cauthen</w:t>
            </w:r>
          </w:p>
        </w:tc>
        <w:tc>
          <w:tcPr>
            <w:tcW w:w="20" w:type="dxa"/>
            <w:vAlign w:val="bottom"/>
          </w:tcPr>
          <w:p>
            <w:pPr>
              <w:spacing w:after="0"/>
              <w:rPr>
                <w:sz w:val="19"/>
                <w:szCs w:val="19"/>
                <w:color w:val="auto"/>
              </w:rPr>
            </w:pPr>
          </w:p>
        </w:tc>
      </w:tr>
      <w:tr>
        <w:trPr>
          <w:trHeight w:val="215"/>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Gregory L. Cauthen</w:t>
            </w:r>
          </w:p>
        </w:tc>
        <w:tc>
          <w:tcPr>
            <w:tcW w:w="20" w:type="dxa"/>
            <w:vAlign w:val="bottom"/>
          </w:tcPr>
          <w:p>
            <w:pPr>
              <w:spacing w:after="0"/>
              <w:rPr>
                <w:sz w:val="18"/>
                <w:szCs w:val="18"/>
                <w:color w:val="auto"/>
              </w:rPr>
            </w:pPr>
          </w:p>
        </w:tc>
      </w:tr>
      <w:tr>
        <w:trPr>
          <w:trHeight w:val="223"/>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Senior Vice President and</w:t>
            </w:r>
          </w:p>
        </w:tc>
        <w:tc>
          <w:tcPr>
            <w:tcW w:w="20" w:type="dxa"/>
            <w:vAlign w:val="bottom"/>
          </w:tcPr>
          <w:p>
            <w:pPr>
              <w:spacing w:after="0"/>
              <w:rPr>
                <w:sz w:val="19"/>
                <w:szCs w:val="19"/>
                <w:color w:val="auto"/>
              </w:rPr>
            </w:pPr>
          </w:p>
        </w:tc>
      </w:tr>
      <w:tr>
        <w:trPr>
          <w:trHeight w:val="235"/>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Chief Financial Officer</w:t>
            </w:r>
          </w:p>
        </w:tc>
        <w:tc>
          <w:tcPr>
            <w:tcW w:w="20" w:type="dxa"/>
            <w:vAlign w:val="bottom"/>
          </w:tcPr>
          <w:p>
            <w:pPr>
              <w:spacing w:after="0"/>
              <w:rPr>
                <w:sz w:val="20"/>
                <w:szCs w:val="20"/>
                <w:color w:val="auto"/>
              </w:rPr>
            </w:pPr>
          </w:p>
        </w:tc>
      </w:tr>
      <w:tr>
        <w:trPr>
          <w:trHeight w:val="664"/>
        </w:trPr>
        <w:tc>
          <w:tcPr>
            <w:tcW w:w="686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14" w:right="219" w:bottom="1440" w:gutter="0" w:footer="0" w:header="0"/>
        </w:sectPr>
      </w:pPr>
    </w:p>
    <w:bookmarkStart w:id="47" w:name="page48"/>
    <w:bookmarkEnd w:id="47"/>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35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35560"/>
                    </a:xfrm>
                    <a:prstGeom prst="rect">
                      <a:avLst/>
                    </a:prstGeom>
                    <a:noFill/>
                  </pic:spPr>
                </pic:pic>
              </a:graphicData>
            </a:graphic>
          </wp:anchor>
        </w:drawing>
        <w:t>Exhibit 32.1</w:t>
      </w:r>
    </w:p>
    <w:p>
      <w:pPr>
        <w:spacing w:after="0" w:line="275" w:lineRule="exact"/>
        <w:rPr>
          <w:sz w:val="20"/>
          <w:szCs w:val="20"/>
          <w:color w:val="auto"/>
        </w:rPr>
      </w:pPr>
    </w:p>
    <w:p>
      <w:pPr>
        <w:jc w:val="center"/>
        <w:ind w:left="260" w:right="2820"/>
        <w:spacing w:after="0" w:line="276" w:lineRule="auto"/>
        <w:rPr>
          <w:sz w:val="20"/>
          <w:szCs w:val="20"/>
          <w:color w:val="auto"/>
        </w:rPr>
      </w:pPr>
      <w:r>
        <w:rPr>
          <w:rFonts w:ascii="Arial" w:cs="Arial" w:eastAsia="Arial" w:hAnsi="Arial"/>
          <w:sz w:val="17"/>
          <w:szCs w:val="17"/>
          <w:b w:val="1"/>
          <w:bCs w:val="1"/>
          <w:color w:val="auto"/>
        </w:rPr>
        <w:t>CERTIFICATION PURSUANT TO SECTION 906 OF THE SARBANES-OXLEY ACT OF 2002 (SUBSECTIONS (a) AND (b) OF SECTION 1350, CHAPTER 63 OF TITLE 18, UNITED STATES CODE)</w:t>
      </w:r>
    </w:p>
    <w:p>
      <w:pPr>
        <w:spacing w:after="0" w:line="221" w:lineRule="exact"/>
        <w:rPr>
          <w:sz w:val="20"/>
          <w:szCs w:val="20"/>
          <w:color w:val="auto"/>
        </w:rPr>
      </w:pPr>
    </w:p>
    <w:p>
      <w:pPr>
        <w:ind w:firstLine="628"/>
        <w:spacing w:after="0" w:line="321"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I, Robert L. Long, President and Chief Executive Officer of Transocean Inc., a Cayman Islands company (the “Company”), hereby certify, to my knowledge, that:</w:t>
      </w:r>
    </w:p>
    <w:p>
      <w:pPr>
        <w:spacing w:after="0" w:line="188" w:lineRule="exact"/>
        <w:rPr>
          <w:sz w:val="20"/>
          <w:szCs w:val="20"/>
          <w:color w:val="auto"/>
        </w:rPr>
      </w:pPr>
    </w:p>
    <w:p>
      <w:pPr>
        <w:ind w:left="1260" w:hanging="628"/>
        <w:spacing w:after="0" w:line="288" w:lineRule="auto"/>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 ended June 30, 2005 (the “Report”) fully complies with the requirements of Section 13(a) or 15(d) of the Securities Exchange Act of 1934; and</w:t>
      </w:r>
    </w:p>
    <w:p>
      <w:pPr>
        <w:spacing w:after="0" w:line="211" w:lineRule="exact"/>
        <w:rPr>
          <w:rFonts w:ascii="Arial" w:cs="Arial" w:eastAsia="Arial" w:hAnsi="Arial"/>
          <w:sz w:val="17"/>
          <w:szCs w:val="17"/>
          <w:color w:val="auto"/>
        </w:rPr>
      </w:pPr>
    </w:p>
    <w:p>
      <w:pPr>
        <w:ind w:left="1260" w:hanging="628"/>
        <w:spacing w:after="0"/>
        <w:tabs>
          <w:tab w:leader="none" w:pos="1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results of operations of the Company.</w:t>
      </w:r>
    </w:p>
    <w:p>
      <w:pPr>
        <w:spacing w:after="0" w:line="339" w:lineRule="exact"/>
        <w:rPr>
          <w:sz w:val="20"/>
          <w:szCs w:val="20"/>
          <w:color w:val="auto"/>
        </w:rPr>
      </w:pPr>
    </w:p>
    <w:p>
      <w:pPr>
        <w:spacing w:after="0"/>
        <w:tabs>
          <w:tab w:leader="none" w:pos="6380" w:val="left"/>
        </w:tabs>
        <w:rPr>
          <w:sz w:val="20"/>
          <w:szCs w:val="20"/>
          <w:color w:val="auto"/>
        </w:rPr>
      </w:pPr>
      <w:r>
        <w:rPr>
          <w:rFonts w:ascii="Arial" w:cs="Arial" w:eastAsia="Arial" w:hAnsi="Arial"/>
          <w:sz w:val="17"/>
          <w:szCs w:val="17"/>
          <w:color w:val="auto"/>
        </w:rPr>
        <w:t>Dated:August 2, 2005</w:t>
      </w:r>
      <w:r>
        <w:rPr>
          <w:sz w:val="20"/>
          <w:szCs w:val="20"/>
          <w:color w:val="auto"/>
        </w:rPr>
        <w:tab/>
      </w:r>
      <w:r>
        <w:rPr>
          <w:rFonts w:ascii="Arial" w:cs="Arial" w:eastAsia="Arial" w:hAnsi="Arial"/>
          <w:sz w:val="16"/>
          <w:szCs w:val="16"/>
          <w:color w:val="auto"/>
        </w:rPr>
        <w:t>/s/ Robert L.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4064635</wp:posOffset>
            </wp:positionH>
            <wp:positionV relativeFrom="paragraph">
              <wp:posOffset>24765</wp:posOffset>
            </wp:positionV>
            <wp:extent cx="31896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89605" cy="8255"/>
                    </a:xfrm>
                    <a:prstGeom prst="rect">
                      <a:avLst/>
                    </a:prstGeom>
                    <a:noFill/>
                  </pic:spPr>
                </pic:pic>
              </a:graphicData>
            </a:graphic>
          </wp:anchor>
        </w:drawing>
      </w:r>
    </w:p>
    <w:p>
      <w:pPr>
        <w:spacing w:after="0" w:line="20"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7"/>
          <w:szCs w:val="17"/>
          <w:color w:val="auto"/>
        </w:rPr>
        <w:t>Name:</w:t>
        <w:tab/>
        <w:t>Robert L. Long</w:t>
      </w:r>
    </w:p>
    <w:p>
      <w:pPr>
        <w:spacing w:after="0" w:line="4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President and Chief Executive Officer</w:t>
      </w:r>
    </w:p>
    <w:p>
      <w:pPr>
        <w:spacing w:after="0" w:line="302" w:lineRule="exact"/>
        <w:rPr>
          <w:sz w:val="20"/>
          <w:szCs w:val="20"/>
          <w:color w:val="auto"/>
        </w:rPr>
      </w:pPr>
    </w:p>
    <w:p>
      <w:pPr>
        <w:ind w:firstLine="628"/>
        <w:spacing w:after="0" w:line="28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w:t>
      </w:r>
    </w:p>
    <w:p>
      <w:pPr>
        <w:spacing w:after="0" w:line="211" w:lineRule="exact"/>
        <w:rPr>
          <w:sz w:val="20"/>
          <w:szCs w:val="20"/>
          <w:color w:val="auto"/>
        </w:rPr>
      </w:pPr>
    </w:p>
    <w:p>
      <w:pPr>
        <w:ind w:firstLine="628"/>
        <w:spacing w:after="0" w:line="288" w:lineRule="auto"/>
        <w:rPr>
          <w:sz w:val="20"/>
          <w:szCs w:val="20"/>
          <w:color w:val="auto"/>
        </w:rPr>
      </w:pPr>
      <w:r>
        <w:rPr>
          <w:rFonts w:ascii="Arial" w:cs="Arial" w:eastAsia="Arial" w:hAnsi="Arial"/>
          <w:sz w:val="17"/>
          <w:szCs w:val="17"/>
          <w:color w:val="auto"/>
        </w:rPr>
        <w:t>A signed original of this written statement required by Section 906 has been provided to Transocean Inc. and will be retained by Transocean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727202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35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35560"/>
                    </a:xfrm>
                    <a:prstGeom prst="rect">
                      <a:avLst/>
                    </a:prstGeom>
                    <a:noFill/>
                  </pic:spPr>
                </pic:pic>
              </a:graphicData>
            </a:graphic>
          </wp:anchor>
        </w:drawing>
        <w:t>Exhibit 32.2</w:t>
      </w:r>
    </w:p>
    <w:p>
      <w:pPr>
        <w:spacing w:after="0" w:line="275" w:lineRule="exact"/>
        <w:rPr>
          <w:sz w:val="20"/>
          <w:szCs w:val="20"/>
          <w:color w:val="auto"/>
        </w:rPr>
      </w:pPr>
    </w:p>
    <w:p>
      <w:pPr>
        <w:jc w:val="center"/>
        <w:ind w:left="260" w:right="2820"/>
        <w:spacing w:after="0" w:line="276" w:lineRule="auto"/>
        <w:rPr>
          <w:sz w:val="20"/>
          <w:szCs w:val="20"/>
          <w:color w:val="auto"/>
        </w:rPr>
      </w:pPr>
      <w:r>
        <w:rPr>
          <w:rFonts w:ascii="Arial" w:cs="Arial" w:eastAsia="Arial" w:hAnsi="Arial"/>
          <w:sz w:val="17"/>
          <w:szCs w:val="17"/>
          <w:b w:val="1"/>
          <w:bCs w:val="1"/>
          <w:color w:val="auto"/>
        </w:rPr>
        <w:t>CERTIFICATION PURSUANT TO SECTION 906 OF THE SARBANES-OXLEY ACT OF 2002 (SUBSECTIONS (a) AND (b) OF SECTION 1350, CHAPTER 63 OF TITLE 18, UNITED STATES CODE)</w:t>
      </w:r>
    </w:p>
    <w:p>
      <w:pPr>
        <w:spacing w:after="0" w:line="221" w:lineRule="exact"/>
        <w:rPr>
          <w:sz w:val="20"/>
          <w:szCs w:val="20"/>
          <w:color w:val="auto"/>
        </w:rPr>
      </w:pPr>
    </w:p>
    <w:p>
      <w:pPr>
        <w:jc w:val="both"/>
        <w:ind w:firstLine="628"/>
        <w:spacing w:after="0" w:line="272"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I, Gregory L. Cauthen, Senior Vice President and Chief Financial Officer of Transocean Inc., a Cayman Islands company (the “Company”), hereby certify, to my knowledge, that:</w:t>
      </w:r>
    </w:p>
    <w:p>
      <w:pPr>
        <w:spacing w:after="0" w:line="225" w:lineRule="exact"/>
        <w:rPr>
          <w:sz w:val="20"/>
          <w:szCs w:val="20"/>
          <w:color w:val="auto"/>
        </w:rPr>
      </w:pPr>
    </w:p>
    <w:p>
      <w:pPr>
        <w:ind w:left="1260" w:hanging="628"/>
        <w:spacing w:after="0" w:line="288" w:lineRule="auto"/>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 ended June 30, 2005 (the “Report”) fully complies with the requirements of Section 13(a) or 15(d) of the Securities Exchange Act of 1934; and</w:t>
      </w:r>
    </w:p>
    <w:p>
      <w:pPr>
        <w:spacing w:after="0" w:line="211" w:lineRule="exact"/>
        <w:rPr>
          <w:rFonts w:ascii="Arial" w:cs="Arial" w:eastAsia="Arial" w:hAnsi="Arial"/>
          <w:sz w:val="17"/>
          <w:szCs w:val="17"/>
          <w:color w:val="auto"/>
        </w:rPr>
      </w:pPr>
    </w:p>
    <w:p>
      <w:pPr>
        <w:ind w:left="1260" w:hanging="628"/>
        <w:spacing w:after="0"/>
        <w:tabs>
          <w:tab w:leader="none" w:pos="1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6380" w:val="left"/>
        </w:tabs>
        <w:rPr>
          <w:sz w:val="20"/>
          <w:szCs w:val="20"/>
          <w:color w:val="auto"/>
        </w:rPr>
      </w:pPr>
      <w:r>
        <w:rPr>
          <w:rFonts w:ascii="Arial" w:cs="Arial" w:eastAsia="Arial" w:hAnsi="Arial"/>
          <w:sz w:val="34"/>
          <w:szCs w:val="34"/>
          <w:color w:val="auto"/>
          <w:vertAlign w:val="superscript"/>
        </w:rPr>
        <w:t>Dated:August 2, 2005</w:t>
      </w:r>
      <w:r>
        <w:rPr>
          <w:sz w:val="20"/>
          <w:szCs w:val="20"/>
          <w:color w:val="auto"/>
        </w:rPr>
        <w:tab/>
      </w:r>
      <w:r>
        <w:rPr>
          <w:rFonts w:ascii="Arial" w:cs="Arial" w:eastAsia="Arial" w:hAnsi="Arial"/>
          <w:sz w:val="15"/>
          <w:szCs w:val="15"/>
          <w:color w:val="auto"/>
        </w:rPr>
        <w:t>/s/ Gregory L. Cauthen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4064635</wp:posOffset>
            </wp:positionH>
            <wp:positionV relativeFrom="paragraph">
              <wp:posOffset>-8890</wp:posOffset>
            </wp:positionV>
            <wp:extent cx="31896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89605" cy="8255"/>
                    </a:xfrm>
                    <a:prstGeom prst="rect">
                      <a:avLst/>
                    </a:prstGeom>
                    <a:noFill/>
                  </pic:spPr>
                </pic:pic>
              </a:graphicData>
            </a:graphic>
          </wp:anchor>
        </w:drawing>
      </w:r>
    </w:p>
    <w:p>
      <w:pPr>
        <w:ind w:left="5720"/>
        <w:spacing w:after="0"/>
        <w:tabs>
          <w:tab w:leader="none" w:pos="6380" w:val="left"/>
        </w:tabs>
        <w:rPr>
          <w:sz w:val="20"/>
          <w:szCs w:val="20"/>
          <w:color w:val="auto"/>
        </w:rPr>
      </w:pPr>
      <w:r>
        <w:rPr>
          <w:rFonts w:ascii="Arial" w:cs="Arial" w:eastAsia="Arial" w:hAnsi="Arial"/>
          <w:sz w:val="17"/>
          <w:szCs w:val="17"/>
          <w:color w:val="auto"/>
        </w:rPr>
        <w:t>Name:</w:t>
        <w:tab/>
        <w:t>Gregory L. Cauthen</w:t>
      </w:r>
    </w:p>
    <w:p>
      <w:pPr>
        <w:spacing w:after="0" w:line="26"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Senior Vice President and Chief Financial Officer</w:t>
      </w:r>
    </w:p>
    <w:p>
      <w:pPr>
        <w:spacing w:after="0" w:line="302" w:lineRule="exact"/>
        <w:rPr>
          <w:sz w:val="20"/>
          <w:szCs w:val="20"/>
          <w:color w:val="auto"/>
        </w:rPr>
      </w:pPr>
    </w:p>
    <w:p>
      <w:pPr>
        <w:ind w:firstLine="628"/>
        <w:spacing w:after="0" w:line="28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w:t>
      </w:r>
    </w:p>
    <w:p>
      <w:pPr>
        <w:spacing w:after="0" w:line="211" w:lineRule="exact"/>
        <w:rPr>
          <w:sz w:val="20"/>
          <w:szCs w:val="20"/>
          <w:color w:val="auto"/>
        </w:rPr>
      </w:pPr>
    </w:p>
    <w:p>
      <w:pPr>
        <w:ind w:firstLine="628"/>
        <w:spacing w:after="0" w:line="288" w:lineRule="auto"/>
        <w:rPr>
          <w:sz w:val="20"/>
          <w:szCs w:val="20"/>
          <w:color w:val="auto"/>
        </w:rPr>
      </w:pPr>
      <w:r>
        <w:rPr>
          <w:rFonts w:ascii="Arial" w:cs="Arial" w:eastAsia="Arial" w:hAnsi="Arial"/>
          <w:sz w:val="17"/>
          <w:szCs w:val="17"/>
          <w:color w:val="auto"/>
        </w:rPr>
        <w:t>A signed original of this written statement required by Section 906 has been provided to Transocean Inc. and will be retained by Transocean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339090</wp:posOffset>
            </wp:positionV>
            <wp:extent cx="727202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sectPr>
      <w:pgSz w:w="11900" w:h="16838" w:orient="portrait"/>
      <w:cols w:equalWidth="0" w:num="1">
        <w:col w:w="11420"/>
      </w:cols>
      <w:pgMar w:left="240" w:top="5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lowerRoman"/>
      <w:start w:val="1"/>
    </w:lvl>
  </w:abstractNum>
  <w:abstractNum w:abstractNumId="9">
    <w:nsid w:val="109CF92E"/>
    <w:multiLevelType w:val="hybridMultilevel"/>
    <w:lvl w:ilvl="0">
      <w:lvlJc w:val="left"/>
      <w:lvlText w:val="(%1)"/>
      <w:numFmt w:val="lowerRoman"/>
      <w:start w:val="2"/>
    </w:lvl>
  </w:abstractNum>
  <w:abstractNum w:abstractNumId="10">
    <w:nsid w:val="DED7263"/>
    <w:multiLevelType w:val="hybridMultilevel"/>
    <w:lvl w:ilvl="0">
      <w:lvlJc w:val="left"/>
      <w:lvlText w:val="(%1)"/>
      <w:numFmt w:val="lowerRoman"/>
      <w:start w:val="3"/>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2019-12-14T23:19:36Z</dcterms:created>
  <dcterms:modified xsi:type="dcterms:W3CDTF">2019-12-14T23:19:36Z</dcterms:modified>
</cp:coreProperties>
</file>