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8162d1_8k.htm"/>
      <w:bookmarkStart w:id="1" w:name="kstm262816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610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October 23, 2026 (</w:t>
      </w:r>
      <w:bookmarkStart w:id="3" w:name="xdx_908_edei--DocumentPeriodEndDate_c202"/>
      <w:bookmarkEnd w:id="3"/>
      <w:r>
        <w:rPr>
          <w:rFonts w:ascii="Times New Roman;Times;Serif" w:hAnsi="Times New Roman;Times;Serif"/>
          <w:b/>
          <w:i w:val="false"/>
          <w:caps w:val="false"/>
          <w:smallCaps w:val="false"/>
          <w:sz w:val="20"/>
        </w:rPr>
        <w:t>October 23,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bookmarkStart w:id="5" w:name="xdx_90B_edei--EntityIncorporationStateCo"/>
            <w:bookmarkEnd w:id="5"/>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bookmarkStart w:id="6" w:name="xdx_906_edei--EntityFileNumber_c20261023"/>
            <w:bookmarkEnd w:id="6"/>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bookmarkStart w:id="7" w:name="xdx_90A_edei--EntityTaxIdentificationNum"/>
            <w:bookmarkEnd w:id="7"/>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bookmarkStart w:id="8" w:name="xdx_908_edei--EntityAddressAddressLine1_"/>
            <w:bookmarkEnd w:id="8"/>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bookmarkStart w:id="9" w:name="xdx_90A_edei--EntityAddressCityOrTown_c2"/>
            <w:bookmarkEnd w:id="9"/>
            <w:r>
              <w:rPr>
                <w:b/>
              </w:rPr>
              <w:t xml:space="preserve">Steinhausen, </w:t>
            </w:r>
            <w:bookmarkStart w:id="10" w:name="xdx_903_edei--EntityAddressCountry_c2026"/>
            <w:bookmarkEnd w:id="10"/>
            <w:r>
              <w:rPr>
                <w:b/>
              </w:rPr>
              <w:t xml:space="preserve">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bookmarkStart w:id="11" w:name="xdx_906_edei--EntityAddressPostalZipCode"/>
            <w:bookmarkEnd w:id="11"/>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C_edei--CityAreaCode_c20261023__20"/>
      <w:bookmarkEnd w:id="12"/>
      <w:r>
        <w:rPr>
          <w:rFonts w:ascii="Times New Roman;Times;Serif" w:hAnsi="Times New Roman;Times;Serif"/>
          <w:b/>
          <w:i w:val="false"/>
          <w:caps w:val="false"/>
          <w:smallCaps w:val="false"/>
          <w:sz w:val="20"/>
        </w:rPr>
        <w:t xml:space="preserve">+41 (41) </w:t>
      </w:r>
      <w:bookmarkStart w:id="13" w:name="xdx_90A_edei--LocalPhoneNumber_c20261023"/>
      <w:bookmarkEnd w:id="13"/>
      <w:r>
        <w:rPr>
          <w:rFonts w:ascii="Times New Roman;Times;Serif" w:hAnsi="Times New Roman;Times;Serif"/>
          <w:b/>
          <w:i w:val="false"/>
          <w:caps w:val="false"/>
          <w:smallCaps w:val="false"/>
          <w:sz w:val="20"/>
        </w:rPr>
        <w:t>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E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bookmarkStart w:id="18" w:name="xdx_908_edei--Security12bTitle_c20261023"/>
            <w:bookmarkEnd w:id="18"/>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0_edei--TradingSymbol_c20261023__2"/>
            <w:bookmarkEnd w:id="19"/>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bookmarkStart w:id="20" w:name="xdx_908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announced, on February 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and </w:t>
      </w:r>
      <w:r>
        <w:rPr>
          <w:rFonts w:ascii="Times New Roman;Times;Serif" w:hAnsi="Times New Roman;Times;Serif"/>
          <w:b w:val="false"/>
          <w:i w:val="false"/>
          <w:caps w:val="false"/>
          <w:smallCaps w:val="false"/>
          <w:sz w:val="20"/>
        </w:rPr>
        <w:t>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Business Combination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The Agreement provides that, among other things and upon the terms and subject to the conditions thereof, Transocean will acquire all of the issued and outstanding common shares of Valaris (the “</w:t>
      </w:r>
      <w:r>
        <w:rPr>
          <w:rFonts w:ascii="Times New Roman;Times;Serif" w:hAnsi="Times New Roman;Times;Serif"/>
          <w:b/>
          <w:i w:val="false"/>
          <w:caps w:val="false"/>
          <w:smallCaps w:val="false"/>
          <w:sz w:val="20"/>
        </w:rPr>
        <w:t>Valaris Shares</w:t>
      </w:r>
      <w:r>
        <w:rPr>
          <w:rFonts w:ascii="Times New Roman;Times;Serif" w:hAnsi="Times New Roman;Times;Serif"/>
          <w:b w:val="false"/>
          <w:i w:val="false"/>
          <w:caps w:val="false"/>
          <w:smallCaps w:val="false"/>
          <w:sz w:val="20"/>
        </w:rPr>
        <w:t>”) in exchange for 15.235 shares of Transocean per Valaris Share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pursuant to a court-sanctioned scheme of Arrangement (the “</w:t>
      </w:r>
      <w:r>
        <w:rPr>
          <w:rFonts w:ascii="Times New Roman;Times;Serif" w:hAnsi="Times New Roman;Times;Serif"/>
          <w:b/>
          <w:i w:val="false"/>
          <w:caps w:val="false"/>
          <w:smallCaps w:val="false"/>
          <w:sz w:val="20"/>
        </w:rPr>
        <w:t>Scheme of Arrangement</w:t>
      </w:r>
      <w:r>
        <w:rPr>
          <w:rFonts w:ascii="Times New Roman;Times;Serif" w:hAnsi="Times New Roman;Times;Serif"/>
          <w:b w:val="false"/>
          <w:i w:val="false"/>
          <w:caps w:val="false"/>
          <w:smallCaps w:val="false"/>
          <w:sz w:val="20"/>
        </w:rPr>
        <w:t>”) between Valaris and the shareholders of Valaris (the “</w:t>
      </w:r>
      <w:r>
        <w:rPr>
          <w:rFonts w:ascii="Times New Roman;Times;Serif" w:hAnsi="Times New Roman;Times;Serif"/>
          <w:b/>
          <w:i w:val="false"/>
          <w:caps w:val="false"/>
          <w:smallCaps w:val="false"/>
          <w:sz w:val="20"/>
        </w:rPr>
        <w:t>Valaris Shareholders</w:t>
      </w:r>
      <w:r>
        <w:rPr>
          <w:rFonts w:ascii="Times New Roman;Times;Serif" w:hAnsi="Times New Roman;Times;Serif"/>
          <w:b w:val="false"/>
          <w:i w:val="false"/>
          <w:caps w:val="false"/>
          <w:smallCaps w:val="false"/>
          <w:sz w:val="20"/>
        </w:rPr>
        <w:t>”), pursuant to section 99 of the Companies Act 1981 of Bermuda, as amended (the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Transocean and Valaris filed a joint definitive proxy statement on Schedule 14A with the United States Securities and Exchange Commission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in connection with the (i) extraordinary general meeting (the “</w:t>
      </w:r>
      <w:r>
        <w:rPr>
          <w:rFonts w:ascii="Times New Roman;Times;Serif" w:hAnsi="Times New Roman;Times;Serif"/>
          <w:b/>
          <w:i w:val="false"/>
          <w:caps w:val="false"/>
          <w:smallCaps w:val="false"/>
          <w:sz w:val="20"/>
        </w:rPr>
        <w:t>Transocean Meeting</w:t>
      </w:r>
      <w:r>
        <w:rPr>
          <w:rFonts w:ascii="Times New Roman;Times;Serif" w:hAnsi="Times New Roman;Times;Serif"/>
          <w:b w:val="false"/>
          <w:i w:val="false"/>
          <w:caps w:val="false"/>
          <w:smallCaps w:val="false"/>
          <w:sz w:val="20"/>
        </w:rPr>
        <w:t>”) of the shareholders of Transocean (the “</w:t>
      </w:r>
      <w:r>
        <w:rPr>
          <w:rFonts w:ascii="Times New Roman;Times;Serif" w:hAnsi="Times New Roman;Times;Serif"/>
          <w:b/>
          <w:i w:val="false"/>
          <w:caps w:val="false"/>
          <w:smallCaps w:val="false"/>
          <w:sz w:val="20"/>
        </w:rPr>
        <w:t>Transocean Shareholders</w:t>
      </w:r>
      <w:r>
        <w:rPr>
          <w:rFonts w:ascii="Times New Roman;Times;Serif" w:hAnsi="Times New Roman;Times;Serif"/>
          <w:b w:val="false"/>
          <w:i w:val="false"/>
          <w:caps w:val="false"/>
          <w:smallCaps w:val="false"/>
          <w:sz w:val="20"/>
        </w:rPr>
        <w:t>”) at which the Transocean Shareholders will vote on certain matters related to the Business Combination and a proposal unrelated to the Business Combination to amend Transocean's Articles of Association, and (ii) special court-ordered meeting (the “</w:t>
      </w:r>
      <w:r>
        <w:rPr>
          <w:rFonts w:ascii="Times New Roman;Times;Serif" w:hAnsi="Times New Roman;Times;Serif"/>
          <w:b/>
          <w:i w:val="false"/>
          <w:caps w:val="false"/>
          <w:smallCaps w:val="false"/>
          <w:sz w:val="20"/>
        </w:rPr>
        <w:t>Valaris Court Meeting</w:t>
      </w:r>
      <w:r>
        <w:rPr>
          <w:rFonts w:ascii="Times New Roman;Times;Serif" w:hAnsi="Times New Roman;Times;Serif"/>
          <w:b w:val="false"/>
          <w:i w:val="false"/>
          <w:caps w:val="false"/>
          <w:smallCaps w:val="false"/>
          <w:sz w:val="20"/>
        </w:rPr>
        <w:t>”) of Valaris Shareholders at which the Valaris Shareholders will vote on the Scheme of Arrangement and certain matters related to the Business Combination. Both the Transocean Meeting and the Valaris Court Meeting are scheduled to be held on November 24,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approval by the Transocean Shareholders of the requisite matters related to the Business Combination at the Transocean Meeting and approval by the Valaris Shareholders of the Scheme of Arrangement at the Valaris Court Meeting, in accordance with the Agreement Valaris will make an application to the Supreme Court of Bermuda (the “</w:t>
      </w:r>
      <w:r>
        <w:rPr>
          <w:rFonts w:ascii="Times New Roman;Times;Serif" w:hAnsi="Times New Roman;Times;Serif"/>
          <w:b/>
          <w:i w:val="false"/>
          <w:caps w:val="false"/>
          <w:smallCaps w:val="false"/>
          <w:sz w:val="20"/>
        </w:rPr>
        <w:t>Bermuda Court</w:t>
      </w:r>
      <w:r>
        <w:rPr>
          <w:rFonts w:ascii="Times New Roman;Times;Serif" w:hAnsi="Times New Roman;Times;Serif"/>
          <w:b w:val="false"/>
          <w:i w:val="false"/>
          <w:caps w:val="false"/>
          <w:smallCaps w:val="false"/>
          <w:sz w:val="20"/>
        </w:rPr>
        <w:t>”), for an order sanctioning the Scheme of Arrangement in accordance with section 99 of the Companies Act (the “</w:t>
      </w:r>
      <w:r>
        <w:rPr>
          <w:rFonts w:ascii="Times New Roman;Times;Serif" w:hAnsi="Times New Roman;Times;Serif"/>
          <w:b/>
          <w:i w:val="false"/>
          <w:caps w:val="false"/>
          <w:smallCaps w:val="false"/>
          <w:sz w:val="20"/>
        </w:rPr>
        <w:t>Sanction Hearing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Sanction Hearing has been scheduled to be held on Thursday, November 26, 2026 at 11:00 a.m. (Bermuda time) at Commercial Court, 2nd Floor, Government Administration Building, 30 Parliament Street, Hamilton HM12, Bermuda. Valaris Shareholders of record may appear in person or by counsel at the Sanction Hearing.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Bermuda Court grants the sanction order and sanctions the Scheme of Arrangement at the Sanction Hearing, Transocean anticipates that (i) all conditions to the consummation of the Business Combination will be satisfied and (ii) the Business Combination will be consummated on or about December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 (iv) 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proposed transaction will be completed, or if it is completed, that it will close within the anticipated time period. While the list of factors presented here is, and the list of factors presented in the joint proxy statement are,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definitive proxy statement on Schedule 14A with the SEC on October 14, 2026. The joint definitive proxy statement was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and other documents filed with the SEC by Transocean or Valaris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Copies of the documents filed with the SEC by Transocean will be available free of charge on Transocean’s website at </w:t>
      </w:r>
      <w:r>
        <w:rPr>
          <w:rFonts w:ascii="Times New Roman;Times;Serif" w:hAnsi="Times New Roman;Times;Serif"/>
          <w:b w:val="false"/>
          <w:i w:val="false"/>
          <w:caps w:val="false"/>
          <w:smallCaps w:val="false"/>
          <w:sz w:val="20"/>
          <w:u w:val="single"/>
        </w:rPr>
        <w:t>www.deepwater.com</w:t>
      </w:r>
      <w:r>
        <w:rPr>
          <w:rFonts w:ascii="Times New Roman;Times;Serif" w:hAnsi="Times New Roman;Times;Serif"/>
          <w:b w:val="false"/>
          <w:i w:val="false"/>
          <w:caps w:val="false"/>
          <w:smallCaps w:val="false"/>
          <w:sz w:val="20"/>
        </w:rPr>
        <w:t> under the tab “Investors” and under the heading “SEC Filings.” Copies of the documents filed with the SEC by Valaris will be available free of charge on Valaris’ website at </w:t>
      </w:r>
      <w:r>
        <w:rPr>
          <w:rFonts w:ascii="Times New Roman;Times;Serif" w:hAnsi="Times New Roman;Times;Serif"/>
          <w:b w:val="false"/>
          <w:i w:val="false"/>
          <w:caps w:val="false"/>
          <w:smallCaps w:val="false"/>
          <w:sz w:val="20"/>
          <w:u w:val="single"/>
        </w:rPr>
        <w:t>www.valaris.com</w:t>
      </w:r>
      <w:r>
        <w:rPr>
          <w:rFonts w:ascii="Times New Roman;Times;Serif" w:hAnsi="Times New Roman;Times;Serif"/>
          <w:b w:val="false"/>
          <w:i w:val="false"/>
          <w:caps w:val="false"/>
          <w:smallCaps w:val="false"/>
          <w:sz w:val="20"/>
        </w:rPr>
        <w:t xml:space="preserve"> under the tab “Investors” and under the heading “Financials” and subheading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Times;Serif" w:hAnsi="Times New Roman;Times;Serif"/>
          <w:b/>
          <w:i w:val="false"/>
          <w:caps w:val="false"/>
          <w:smallCaps w:val="false"/>
          <w:sz w:val="20"/>
        </w:rPr>
        <w:t>FinSA</w:t>
      </w:r>
      <w:r>
        <w:rPr>
          <w:rFonts w:ascii="Times New Roman;Times;Serif" w:hAnsi="Times New Roman;Times;Serif"/>
          <w:b w:val="false"/>
          <w:i w:val="false"/>
          <w:caps w:val="false"/>
          <w:smallCaps w:val="false"/>
          <w:sz w:val="20"/>
        </w:rPr>
        <w:t>”), or advertising within the meaning of the FinSA.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925"/>
        <w:gridCol w:w="320"/>
        <w:gridCol w:w="2090"/>
      </w:tblGrid>
      <w:tr>
        <w:trPr/>
        <w:tc>
          <w:tcPr>
            <w:tcW w:w="192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TRANSOCEAN LTD.</w:t>
            </w:r>
          </w:p>
        </w:tc>
      </w:tr>
      <w:tr>
        <w:trPr/>
        <w:tc>
          <w:tcPr>
            <w:tcW w:w="192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rFonts w:ascii="Times New Roman;Times;Serif" w:hAnsi="Times New Roman;Times;Serif"/>
                <w:sz w:val="20"/>
              </w:rPr>
              <w:t>Date:</w:t>
            </w:r>
            <w:r>
              <w:rPr>
                <w:sz w:val="20"/>
              </w:rPr>
              <w:t xml:space="preserve"> October 23,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tcMar>
              <w:bottom w:w="28" w:type="dxa"/>
            </w:tcMar>
            <w:vAlign w:val="center"/>
          </w:tcPr>
          <w:p>
            <w:pPr>
              <w:pStyle w:val="TableContents"/>
              <w:bidi w:val="0"/>
              <w:spacing w:before="0" w:after="283"/>
              <w:jc w:val="left"/>
              <w:rPr/>
            </w:pPr>
            <w:r>
              <w:rPr/>
              <w:t>/s/ Debra Kupferman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2791</Words>
  <Characters>16298</Characters>
  <CharactersWithSpaces>19119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