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80"/>
        <w:ind w:left="0" w:right="0" w:hanging="0"/>
        <w:jc w:val="left"/>
        <w:rPr/>
      </w:pPr>
      <w:hyperlink w:anchor="Toc">
        <w:bookmarkStart w:id="0" w:name="rig-20260331x10q.htm"/>
        <w:bookmarkStart w:id="1" w:name="ksrig20260331x10q"/>
        <w:bookmarkEnd w:id="0"/>
        <w:bookmarkEnd w:id="1"/>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sz w:val="20"/>
        </w:rPr>
      </w:pPr>
      <w:bookmarkStart w:id="2" w:name="_5c784032_4799_43c0_b344_e3eae4ffc07d"/>
      <w:bookmarkEnd w:id="2"/>
      <w:r>
        <w:rPr>
          <w:rFonts w:ascii="Arial Narrow" w:hAnsi="Arial Narrow"/>
          <w:b/>
          <w:sz w:val="20"/>
        </w:rPr>
        <w:t>UNITED STATES</w:t>
      </w:r>
    </w:p>
    <w:p>
      <w:pPr>
        <w:pStyle w:val="TextBody"/>
        <w:bidi w:val="0"/>
        <w:spacing w:before="0" w:after="0"/>
        <w:ind w:left="0" w:right="0" w:hanging="0"/>
        <w:jc w:val="center"/>
        <w:rPr>
          <w:rFonts w:ascii="Arial Narrow" w:hAnsi="Arial Narrow"/>
          <w:b/>
          <w:sz w:val="20"/>
        </w:rPr>
      </w:pPr>
      <w:r>
        <w:rPr>
          <w:rFonts w:ascii="Arial Narrow" w:hAnsi="Arial Narrow"/>
          <w:b/>
          <w:sz w:val="20"/>
        </w:rPr>
        <w:t>SECURITIES AND EXCHANGE COMMISSION</w:t>
      </w:r>
    </w:p>
    <w:p>
      <w:pPr>
        <w:pStyle w:val="TextBody"/>
        <w:bidi w:val="0"/>
        <w:spacing w:before="0" w:after="0"/>
        <w:ind w:left="0" w:right="0" w:hanging="0"/>
        <w:jc w:val="center"/>
        <w:rPr>
          <w:rFonts w:ascii="Arial Narrow" w:hAnsi="Arial Narrow"/>
          <w:b/>
          <w:sz w:val="20"/>
        </w:rPr>
      </w:pPr>
      <w:r>
        <w:rPr>
          <w:rFonts w:ascii="Arial Narrow" w:hAnsi="Arial Narrow"/>
          <w:b/>
          <w:sz w:val="20"/>
        </w:rPr>
        <w:t>Washington, D.C. 20549</w:t>
      </w:r>
    </w:p>
    <w:p>
      <w:pPr>
        <w:pStyle w:val="TextBody"/>
        <w:bidi w:val="0"/>
        <w:spacing w:before="80" w:after="283"/>
        <w:ind w:left="0" w:right="0" w:hanging="0"/>
        <w:jc w:val="center"/>
        <w:rPr/>
      </w:pPr>
      <w:r>
        <w:rPr/>
        <w:t>​</w:t>
      </w:r>
    </w:p>
    <w:p>
      <w:pPr>
        <w:pStyle w:val="TextBody"/>
        <w:bidi w:val="0"/>
        <w:spacing w:before="0" w:after="0"/>
        <w:ind w:left="0" w:right="0" w:hanging="0"/>
        <w:jc w:val="center"/>
        <w:rPr/>
      </w:pPr>
      <w:r>
        <w:rPr/>
        <w:t>​</w:t>
      </w:r>
    </w:p>
    <w:p>
      <w:pPr>
        <w:pStyle w:val="TextBody"/>
        <w:bidi w:val="0"/>
        <w:spacing w:before="120" w:after="0"/>
        <w:ind w:left="0" w:right="0" w:hanging="0"/>
        <w:jc w:val="center"/>
        <w:rPr>
          <w:rFonts w:ascii="Arial Narrow" w:hAnsi="Arial Narrow"/>
          <w:b/>
          <w:sz w:val="28"/>
        </w:rPr>
      </w:pPr>
      <w:r>
        <w:rPr>
          <w:rFonts w:ascii="Arial Narrow" w:hAnsi="Arial Narrow"/>
          <w:b/>
          <w:sz w:val="28"/>
        </w:rPr>
        <w:t>FORM 10-Q</w:t>
      </w:r>
    </w:p>
    <w:p>
      <w:pPr>
        <w:pStyle w:val="TextBody"/>
        <w:bidi w:val="0"/>
        <w:spacing w:before="0" w:after="0"/>
        <w:ind w:left="0" w:right="0" w:firstLine="360"/>
        <w:jc w:val="both"/>
        <w:rPr>
          <w:rFonts w:ascii="Arial Narrow" w:hAnsi="Arial Narrow"/>
          <w:sz w:val="18"/>
        </w:rPr>
      </w:pPr>
      <w:r>
        <w:rPr>
          <w:rFonts w:ascii="Arial Narrow" w:hAnsi="Arial Narrow"/>
          <w:sz w:val="18"/>
        </w:rPr>
        <w:t>(Mark one)</w:t>
      </w:r>
    </w:p>
    <w:p>
      <w:pPr>
        <w:pStyle w:val="TextBody"/>
        <w:bidi w:val="0"/>
        <w:spacing w:before="40" w:after="0"/>
        <w:ind w:left="0" w:right="0" w:firstLine="360"/>
        <w:jc w:val="both"/>
        <w:rPr/>
      </w:pPr>
      <w:r>
        <w:rPr/>
        <w:t>☑  </w:t>
      </w:r>
      <w:r>
        <w:rPr>
          <w:rFonts w:ascii="Arial Narrow" w:hAnsi="Arial Narrow"/>
          <w:sz w:val="20"/>
        </w:rPr>
        <w:t>QUARTERLY REPORT PURSUANT TO SECTION 13 OR 15(d) OF THE SECURITIES EXCHANGE ACT OF 1934</w:t>
      </w:r>
    </w:p>
    <w:p>
      <w:pPr>
        <w:pStyle w:val="TextBody"/>
        <w:bidi w:val="0"/>
        <w:spacing w:before="40" w:after="0"/>
        <w:ind w:left="0" w:right="0" w:hanging="0"/>
        <w:jc w:val="center"/>
        <w:rPr>
          <w:rFonts w:ascii="Arial Narrow" w:hAnsi="Arial Narrow"/>
          <w:b/>
          <w:sz w:val="20"/>
        </w:rPr>
      </w:pPr>
      <w:r>
        <w:rPr>
          <w:rFonts w:ascii="Arial Narrow" w:hAnsi="Arial Narrow"/>
          <w:b/>
          <w:sz w:val="20"/>
        </w:rPr>
        <w:t>For the quarterly period ended March 31, 2026</w:t>
      </w:r>
    </w:p>
    <w:p>
      <w:pPr>
        <w:pStyle w:val="TextBody"/>
        <w:bidi w:val="0"/>
        <w:spacing w:before="40" w:after="0"/>
        <w:ind w:left="0" w:right="0" w:hanging="0"/>
        <w:jc w:val="center"/>
        <w:rPr>
          <w:rFonts w:ascii="Arial Narrow" w:hAnsi="Arial Narrow"/>
          <w:b/>
          <w:sz w:val="20"/>
        </w:rPr>
      </w:pPr>
      <w:r>
        <w:rPr>
          <w:rFonts w:ascii="Arial Narrow" w:hAnsi="Arial Narrow"/>
          <w:b/>
          <w:sz w:val="20"/>
        </w:rPr>
        <w:t>OR</w:t>
      </w:r>
    </w:p>
    <w:p>
      <w:pPr>
        <w:pStyle w:val="TextBody"/>
        <w:bidi w:val="0"/>
        <w:spacing w:before="40" w:after="0"/>
        <w:ind w:left="0" w:right="0" w:firstLine="360"/>
        <w:jc w:val="both"/>
        <w:rPr/>
      </w:pPr>
      <w:r>
        <w:rPr/>
        <w:t>☐  </w:t>
      </w:r>
      <w:r>
        <w:rPr>
          <w:rFonts w:ascii="Arial Narrow" w:hAnsi="Arial Narrow"/>
          <w:sz w:val="20"/>
        </w:rPr>
        <w:t>TRANSITION REPORT PURSUANT TO SECTION 13 OR 15(d) OF THE SECURITIES EXCHANGE ACT OF 1934</w:t>
      </w:r>
    </w:p>
    <w:p>
      <w:pPr>
        <w:pStyle w:val="TextBody"/>
        <w:bidi w:val="0"/>
        <w:spacing w:before="0" w:after="0"/>
        <w:ind w:left="0" w:right="0" w:hanging="0"/>
        <w:jc w:val="center"/>
        <w:rPr>
          <w:rFonts w:ascii="Arial Narrow" w:hAnsi="Arial Narrow"/>
          <w:b/>
          <w:sz w:val="20"/>
        </w:rPr>
      </w:pPr>
      <w:r>
        <w:rPr>
          <w:rFonts w:ascii="Arial Narrow" w:hAnsi="Arial Narrow"/>
          <w:b/>
          <w:sz w:val="20"/>
        </w:rPr>
        <w:t>For the transition period from _____ to _____</w:t>
      </w:r>
    </w:p>
    <w:p>
      <w:pPr>
        <w:pStyle w:val="TextBody"/>
        <w:bidi w:val="0"/>
        <w:spacing w:before="80" w:after="283"/>
        <w:ind w:left="0" w:right="0" w:hanging="0"/>
        <w:jc w:val="center"/>
        <w:rPr/>
      </w:pPr>
      <w:r>
        <w:rPr/>
        <w:t>​</w:t>
      </w:r>
    </w:p>
    <w:p>
      <w:pPr>
        <w:pStyle w:val="TextBody"/>
        <w:bidi w:val="0"/>
        <w:spacing w:before="80" w:after="283"/>
        <w:ind w:left="0" w:right="0" w:hanging="0"/>
        <w:jc w:val="center"/>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Commission file number 001-38373</w:t>
      </w:r>
    </w:p>
    <w:p>
      <w:pPr>
        <w:pStyle w:val="TextBody"/>
        <w:bidi w:val="0"/>
        <w:spacing w:before="180" w:after="0"/>
        <w:ind w:left="0" w:right="0" w:hanging="0"/>
        <w:jc w:val="center"/>
        <w:rPr/>
      </w:pPr>
      <w:r>
        <w:rPr/>
        <w:drawing>
          <wp:inline distT="0" distB="0" distL="0" distR="0">
            <wp:extent cx="2420620" cy="548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0620" cy="54864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b/>
          <w:sz w:val="30"/>
        </w:rPr>
      </w:pPr>
      <w:r>
        <w:rPr>
          <w:rFonts w:ascii="Arial Narrow" w:hAnsi="Arial Narrow"/>
          <w:b/>
          <w:sz w:val="30"/>
        </w:rPr>
        <w:t>Transocean Ltd.</w:t>
      </w:r>
    </w:p>
    <w:p>
      <w:pPr>
        <w:pStyle w:val="TextBody"/>
        <w:bidi w:val="0"/>
        <w:spacing w:before="0" w:after="0"/>
        <w:ind w:left="0" w:right="0" w:hanging="0"/>
        <w:jc w:val="center"/>
        <w:rPr>
          <w:rFonts w:ascii="Arial Narrow" w:hAnsi="Arial Narrow"/>
          <w:b w:val="false"/>
          <w:sz w:val="18"/>
        </w:rPr>
      </w:pPr>
      <w:r>
        <w:rPr>
          <w:rFonts w:ascii="Arial Narrow" w:hAnsi="Arial Narrow"/>
          <w:b w:val="false"/>
          <w:sz w:val="18"/>
        </w:rPr>
        <w:t>(Exact name of registrant as specified in its charter)</w:t>
      </w:r>
    </w:p>
    <w:p>
      <w:pPr>
        <w:pStyle w:val="TextBody"/>
        <w:bidi w:val="0"/>
        <w:spacing w:before="80" w:after="283"/>
        <w:ind w:left="0" w:right="0" w:hanging="0"/>
        <w:jc w:val="center"/>
        <w:rPr/>
      </w:pPr>
      <w:r>
        <w:rPr/>
        <w:t>​</w:t>
      </w:r>
    </w:p>
    <w:p>
      <w:pPr>
        <w:pStyle w:val="TextBody"/>
        <w:bidi w:val="0"/>
        <w:spacing w:before="80" w:after="283"/>
        <w:ind w:left="0" w:right="0" w:hanging="0"/>
        <w:jc w:val="center"/>
        <w:rPr/>
      </w:pPr>
      <w:r>
        <w:rPr/>
        <w:t>​</w:t>
      </w:r>
    </w:p>
    <w:p>
      <w:pPr>
        <w:pStyle w:val="Normal"/>
        <w:bidi w:val="0"/>
        <w:spacing w:before="0" w:after="0"/>
        <w:jc w:val="left"/>
        <w:rPr>
          <w:sz w:val="4"/>
          <w:szCs w:val="4"/>
        </w:rPr>
      </w:pPr>
      <w:r>
        <w:rPr>
          <w:sz w:val="4"/>
          <w:szCs w:val="4"/>
        </w:rPr>
      </w:r>
      <w:bookmarkStart w:id="3" w:name="Tc_ElP3WIKujEaVD7UbgopY-w_8_0"/>
      <w:bookmarkStart w:id="4" w:name="Tc_A1VVMtWZrU23nd41F8zUwA_7_0"/>
      <w:bookmarkStart w:id="5" w:name="Tc_V6NPzDfev0uVEjz58_90yg_4_1"/>
      <w:bookmarkStart w:id="6" w:name="Tc_eWqinArbckWFFR1qY4fYkw_4_0"/>
      <w:bookmarkStart w:id="7" w:name="Tc_YjlMJX8X-UeXv016wPYA8w_3_0"/>
      <w:bookmarkStart w:id="8" w:name="Tc_r7hPVSLb4UiU5JWd5oq2Uw_1_1"/>
      <w:bookmarkStart w:id="9" w:name="Tc_JODWCnIR40icF73NFkiysQ_1_0"/>
      <w:bookmarkStart w:id="10" w:name="_0d02fdd4_610c_45a6_903b_7f382e9f561c"/>
      <w:bookmarkStart w:id="11" w:name="Tc_ElP3WIKujEaVD7UbgopY-w_8_0"/>
      <w:bookmarkStart w:id="12" w:name="Tc_A1VVMtWZrU23nd41F8zUwA_7_0"/>
      <w:bookmarkStart w:id="13" w:name="Tc_V6NPzDfev0uVEjz58_90yg_4_1"/>
      <w:bookmarkStart w:id="14" w:name="Tc_eWqinArbckWFFR1qY4fYkw_4_0"/>
      <w:bookmarkStart w:id="15" w:name="Tc_YjlMJX8X-UeXv016wPYA8w_3_0"/>
      <w:bookmarkStart w:id="16" w:name="Tc_r7hPVSLb4UiU5JWd5oq2Uw_1_1"/>
      <w:bookmarkStart w:id="17" w:name="Tc_JODWCnIR40icF73NFkiysQ_1_0"/>
      <w:bookmarkStart w:id="18" w:name="_0d02fdd4_610c_45a6_903b_7f382e9f561c"/>
      <w:bookmarkEnd w:id="11"/>
      <w:bookmarkEnd w:id="12"/>
      <w:bookmarkEnd w:id="13"/>
      <w:bookmarkEnd w:id="14"/>
      <w:bookmarkEnd w:id="15"/>
      <w:bookmarkEnd w:id="16"/>
      <w:bookmarkEnd w:id="17"/>
      <w:bookmarkEnd w:id="18"/>
    </w:p>
    <w:tbl>
      <w:tblPr>
        <w:tblW w:w="6137" w:type="dxa"/>
        <w:jc w:val="left"/>
        <w:tblInd w:w="0" w:type="dxa"/>
        <w:tblLayout w:type="fixed"/>
        <w:tblCellMar>
          <w:top w:w="0" w:type="dxa"/>
          <w:left w:w="0" w:type="dxa"/>
          <w:bottom w:w="0" w:type="dxa"/>
          <w:right w:w="0" w:type="dxa"/>
        </w:tblCellMar>
      </w:tblPr>
      <w:tblGrid>
        <w:gridCol w:w="3751"/>
        <w:gridCol w:w="2386"/>
      </w:tblGrid>
      <w:tr>
        <w:trPr/>
        <w:tc>
          <w:tcPr>
            <w:tcW w:w="375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Switzerland</w:t>
            </w:r>
          </w:p>
        </w:tc>
        <w:tc>
          <w:tcPr>
            <w:tcW w:w="2386"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98-0599916</w:t>
            </w:r>
          </w:p>
        </w:tc>
      </w:tr>
      <w:tr>
        <w:trPr/>
        <w:tc>
          <w:tcPr>
            <w:tcW w:w="3751"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(State or other jurisdiction of incorporation or organization)</w:t>
            </w:r>
          </w:p>
        </w:tc>
        <w:tc>
          <w:tcPr>
            <w:tcW w:w="2386"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(I.R.S. Employer Identification No.)</w:t>
            </w:r>
          </w:p>
        </w:tc>
      </w:tr>
      <w:tr>
        <w:trPr/>
        <w:tc>
          <w:tcPr>
            <w:tcW w:w="375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r>
      <w:tr>
        <w:trPr/>
        <w:tc>
          <w:tcPr>
            <w:tcW w:w="375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Turmstrasse 30</w:t>
            </w:r>
          </w:p>
          <w:p>
            <w:pPr>
              <w:pStyle w:val="TableContents"/>
              <w:bidi w:val="0"/>
              <w:spacing w:before="0" w:after="0"/>
              <w:ind w:left="0" w:right="0" w:hanging="0"/>
              <w:jc w:val="center"/>
              <w:rPr>
                <w:rFonts w:ascii="Arial Narrow" w:hAnsi="Arial Narrow"/>
                <w:b/>
                <w:sz w:val="20"/>
              </w:rPr>
            </w:pPr>
            <w:r>
              <w:rPr>
                <w:rFonts w:ascii="Arial Narrow" w:hAnsi="Arial Narrow"/>
                <w:b/>
                <w:sz w:val="20"/>
              </w:rPr>
              <w:t>Steinhausen, Switzerland</w:t>
            </w:r>
          </w:p>
        </w:tc>
        <w:tc>
          <w:tcPr>
            <w:tcW w:w="2386"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6312</w:t>
            </w:r>
          </w:p>
        </w:tc>
      </w:tr>
      <w:tr>
        <w:trPr/>
        <w:tc>
          <w:tcPr>
            <w:tcW w:w="3751"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(Address of principal executive offices)</w:t>
            </w:r>
          </w:p>
        </w:tc>
        <w:tc>
          <w:tcPr>
            <w:tcW w:w="2386"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(Zip Code)</w:t>
            </w:r>
          </w:p>
        </w:tc>
      </w:tr>
      <w:tr>
        <w:trPr/>
        <w:tc>
          <w:tcPr>
            <w:tcW w:w="375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r>
      <w:tr>
        <w:trPr/>
        <w:tc>
          <w:tcPr>
            <w:tcW w:w="6137" w:type="dxa"/>
            <w:gridSpan w:val="2"/>
            <w:tcBorders/>
            <w:vAlign w:val="center"/>
          </w:tcPr>
          <w:p>
            <w:pPr>
              <w:pStyle w:val="TableContents"/>
              <w:bidi w:val="0"/>
              <w:spacing w:before="80" w:after="283"/>
              <w:ind w:left="0" w:right="0" w:hanging="0"/>
              <w:jc w:val="center"/>
              <w:rPr/>
            </w:pPr>
            <w:r>
              <w:rPr/>
              <w:t>​</w:t>
            </w:r>
          </w:p>
        </w:tc>
      </w:tr>
      <w:tr>
        <w:trPr/>
        <w:tc>
          <w:tcPr>
            <w:tcW w:w="6137" w:type="dxa"/>
            <w:gridSpan w:val="2"/>
            <w:tcBorders/>
            <w:vAlign w:val="center"/>
          </w:tcPr>
          <w:p>
            <w:pPr>
              <w:pStyle w:val="TableContents"/>
              <w:bidi w:val="0"/>
              <w:spacing w:before="40" w:after="40"/>
              <w:ind w:left="0" w:right="0" w:hanging="0"/>
              <w:jc w:val="center"/>
              <w:rPr>
                <w:rFonts w:ascii="Arial Narrow" w:hAnsi="Arial Narrow"/>
                <w:b/>
                <w:sz w:val="20"/>
              </w:rPr>
            </w:pPr>
            <w:r>
              <w:rPr>
                <w:rFonts w:ascii="Arial Narrow" w:hAnsi="Arial Narrow"/>
                <w:b/>
                <w:sz w:val="20"/>
              </w:rPr>
              <w:t>+41 (41) 749-0500</w:t>
            </w:r>
          </w:p>
        </w:tc>
      </w:tr>
      <w:tr>
        <w:trPr/>
        <w:tc>
          <w:tcPr>
            <w:tcW w:w="6137" w:type="dxa"/>
            <w:gridSpan w:val="2"/>
            <w:tcBorders/>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(Registrant’s telephone number, including area code)</w:t>
            </w:r>
          </w:p>
        </w:tc>
      </w:tr>
      <w:tr>
        <w:trPr/>
        <w:tc>
          <w:tcPr>
            <w:tcW w:w="375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r>
      <w:tr>
        <w:trPr/>
        <w:tc>
          <w:tcPr>
            <w:tcW w:w="6137" w:type="dxa"/>
            <w:gridSpan w:val="2"/>
            <w:tcBorders/>
            <w:vAlign w:val="center"/>
          </w:tcPr>
          <w:p>
            <w:pPr>
              <w:pStyle w:val="TableContents"/>
              <w:bidi w:val="0"/>
              <w:spacing w:before="80" w:after="283"/>
              <w:ind w:left="0" w:right="0" w:hanging="0"/>
              <w:jc w:val="center"/>
              <w:rPr/>
            </w:pPr>
            <w:r>
              <w:rPr/>
              <w:t>​</w:t>
            </w:r>
          </w:p>
        </w:tc>
      </w:tr>
    </w:tbl>
    <w:p>
      <w:pPr>
        <w:pStyle w:val="TextBody"/>
        <w:bidi w:val="0"/>
        <w:spacing w:before="120" w:after="60"/>
        <w:ind w:left="0" w:right="0" w:firstLine="360"/>
        <w:jc w:val="left"/>
        <w:rPr>
          <w:rFonts w:ascii="Arial Narrow" w:hAnsi="Arial Narrow"/>
          <w:sz w:val="18"/>
        </w:rPr>
      </w:pPr>
      <w:r>
        <w:rPr>
          <w:rFonts w:ascii="Arial Narrow" w:hAnsi="Arial Narrow"/>
          <w:sz w:val="18"/>
        </w:rPr>
        <w:t>Securities registered pursuant to Section 12(b) of the Act:</w:t>
      </w:r>
    </w:p>
    <w:p>
      <w:pPr>
        <w:pStyle w:val="Normal"/>
        <w:bidi w:val="0"/>
        <w:spacing w:before="0" w:after="0"/>
        <w:jc w:val="left"/>
        <w:rPr>
          <w:sz w:val="4"/>
          <w:szCs w:val="4"/>
        </w:rPr>
      </w:pPr>
      <w:r>
        <w:rPr>
          <w:sz w:val="4"/>
          <w:szCs w:val="4"/>
        </w:rPr>
      </w:r>
      <w:bookmarkStart w:id="19" w:name="Tc_7EU-7AN4mUG4tkfJG0-E2g_3_0"/>
      <w:bookmarkStart w:id="20" w:name="Tc_10x0BGjHnUi82GbzC4bvHQ_2_2"/>
      <w:bookmarkStart w:id="21" w:name="Tc_k4eeBz3kOUGhhmi0LlQiyA_2_1"/>
      <w:bookmarkStart w:id="22" w:name="Tc_KnfVU7aSXEynayVTi7y54Q_2_0"/>
      <w:bookmarkStart w:id="23" w:name="_f683fb09_dda8_4640_8bf0_bd8aecd4148c"/>
      <w:bookmarkStart w:id="24" w:name="Tc_7EU-7AN4mUG4tkfJG0-E2g_3_0"/>
      <w:bookmarkStart w:id="25" w:name="Tc_10x0BGjHnUi82GbzC4bvHQ_2_2"/>
      <w:bookmarkStart w:id="26" w:name="Tc_k4eeBz3kOUGhhmi0LlQiyA_2_1"/>
      <w:bookmarkStart w:id="27" w:name="Tc_KnfVU7aSXEynayVTi7y54Q_2_0"/>
      <w:bookmarkStart w:id="28" w:name="_f683fb09_dda8_4640_8bf0_bd8aecd4148c"/>
      <w:bookmarkEnd w:id="24"/>
      <w:bookmarkEnd w:id="25"/>
      <w:bookmarkEnd w:id="26"/>
      <w:bookmarkEnd w:id="27"/>
      <w:bookmarkEnd w:id="28"/>
    </w:p>
    <w:tbl>
      <w:tblPr>
        <w:tblW w:w="5628" w:type="dxa"/>
        <w:jc w:val="left"/>
        <w:tblInd w:w="0" w:type="dxa"/>
        <w:tblLayout w:type="fixed"/>
        <w:tblCellMar>
          <w:top w:w="0" w:type="dxa"/>
          <w:left w:w="0" w:type="dxa"/>
          <w:bottom w:w="0" w:type="dxa"/>
          <w:right w:w="0" w:type="dxa"/>
        </w:tblCellMar>
      </w:tblPr>
      <w:tblGrid>
        <w:gridCol w:w="1621"/>
        <w:gridCol w:w="1066"/>
        <w:gridCol w:w="2941"/>
      </w:tblGrid>
      <w:tr>
        <w:trPr/>
        <w:tc>
          <w:tcPr>
            <w:tcW w:w="162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Title of each class</w:t>
            </w:r>
          </w:p>
        </w:tc>
        <w:tc>
          <w:tcPr>
            <w:tcW w:w="10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Trading symbol</w:t>
            </w:r>
          </w:p>
        </w:tc>
        <w:tc>
          <w:tcPr>
            <w:tcW w:w="29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Name of each exchange on which registered</w:t>
            </w:r>
          </w:p>
        </w:tc>
      </w:tr>
      <w:tr>
        <w:trPr/>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left"/>
              <w:rPr>
                <w:rFonts w:ascii="Arial Narrow" w:hAnsi="Arial Narrow"/>
                <w:sz w:val="18"/>
              </w:rPr>
            </w:pPr>
            <w:r>
              <w:rPr>
                <w:rFonts w:ascii="Arial Narrow" w:hAnsi="Arial Narrow"/>
                <w:sz w:val="18"/>
              </w:rPr>
              <w:t>Shares, $0.10 par value</w:t>
            </w:r>
          </w:p>
        </w:tc>
        <w:tc>
          <w:tcPr>
            <w:tcW w:w="10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RIG</w:t>
            </w:r>
          </w:p>
        </w:tc>
        <w:tc>
          <w:tcPr>
            <w:tcW w:w="29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New York Stock Exchange</w:t>
            </w:r>
          </w:p>
        </w:tc>
      </w:tr>
    </w:tbl>
    <w:p>
      <w:pPr>
        <w:pStyle w:val="TextBody"/>
        <w:bidi w:val="0"/>
        <w:spacing w:before="80" w:after="283"/>
        <w:ind w:left="0" w:right="0" w:hanging="0"/>
        <w:jc w:val="both"/>
        <w:rPr/>
      </w:pPr>
      <w:r>
        <w:rPr/>
        <w:t>​</w:t>
      </w:r>
    </w:p>
    <w:p>
      <w:pPr>
        <w:pStyle w:val="TextBody"/>
        <w:bidi w:val="0"/>
        <w:spacing w:before="40" w:after="0"/>
        <w:ind w:left="0" w:right="0" w:firstLine="360"/>
        <w:jc w:val="both"/>
        <w:rPr>
          <w:rFonts w:ascii="Arial Narrow" w:hAnsi="Arial Narrow"/>
          <w:sz w:val="18"/>
        </w:rPr>
      </w:pPr>
      <w:r>
        <w:rPr>
          <w:rFonts w:ascii="Arial Narrow" w:hAnsi="Arial Narrow"/>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Narrow" w:hAnsi="Arial Narrow"/>
          <w:sz w:val="16"/>
        </w:rPr>
        <w:t>Yes</w:t>
      </w:r>
      <w:r>
        <w:rPr>
          <w:rFonts w:ascii="Arial Narrow" w:hAnsi="Arial Narrow"/>
          <w:sz w:val="18"/>
        </w:rPr>
        <w:t xml:space="preserve"> ☑   </w:t>
      </w:r>
      <w:r>
        <w:rPr>
          <w:rFonts w:ascii="Arial Narrow" w:hAnsi="Arial Narrow"/>
          <w:sz w:val="16"/>
        </w:rPr>
        <w:t>No </w:t>
      </w:r>
      <w:r>
        <w:rPr>
          <w:rFonts w:ascii="Arial Narrow" w:hAnsi="Arial Narrow"/>
          <w:sz w:val="18"/>
        </w:rPr>
        <w:t>☐</w:t>
      </w:r>
    </w:p>
    <w:p>
      <w:pPr>
        <w:pStyle w:val="TextBody"/>
        <w:bidi w:val="0"/>
        <w:spacing w:before="40" w:after="0"/>
        <w:ind w:left="0" w:right="0" w:firstLine="360"/>
        <w:jc w:val="both"/>
        <w:rPr>
          <w:rFonts w:ascii="Arial Narrow" w:hAnsi="Arial Narrow"/>
          <w:sz w:val="18"/>
        </w:rPr>
      </w:pPr>
      <w:r>
        <w:rPr>
          <w:rFonts w:ascii="Arial Narrow" w:hAnsi="Arial Narrow"/>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Narrow" w:hAnsi="Arial Narrow"/>
          <w:sz w:val="16"/>
        </w:rPr>
        <w:t>Yes</w:t>
      </w:r>
      <w:r>
        <w:rPr>
          <w:rFonts w:ascii="Arial Narrow" w:hAnsi="Arial Narrow"/>
          <w:sz w:val="18"/>
        </w:rPr>
        <w:t xml:space="preserve"> ☑   </w:t>
      </w:r>
      <w:r>
        <w:rPr>
          <w:rFonts w:ascii="Arial Narrow" w:hAnsi="Arial Narrow"/>
          <w:sz w:val="16"/>
        </w:rPr>
        <w:t>No </w:t>
      </w:r>
      <w:r>
        <w:rPr>
          <w:rFonts w:ascii="Arial Narrow" w:hAnsi="Arial Narrow"/>
          <w:sz w:val="18"/>
        </w:rPr>
        <w:t>☐</w:t>
      </w:r>
    </w:p>
    <w:p>
      <w:pPr>
        <w:pStyle w:val="TextBody"/>
        <w:bidi w:val="0"/>
        <w:spacing w:before="40" w:after="0"/>
        <w:ind w:left="0" w:right="0" w:firstLine="360"/>
        <w:jc w:val="both"/>
        <w:rPr>
          <w:rFonts w:ascii="Arial Narrow" w:hAnsi="Arial Narrow"/>
          <w:sz w:val="18"/>
        </w:rPr>
      </w:pPr>
      <w:r>
        <w:rPr>
          <w:rFonts w:ascii="Arial Narrow" w:hAnsi="Arial Narrow"/>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40" w:after="0"/>
        <w:ind w:left="0" w:right="0" w:hanging="0"/>
        <w:jc w:val="center"/>
        <w:rPr>
          <w:rFonts w:ascii="Arial Narrow" w:hAnsi="Arial Narrow"/>
          <w:sz w:val="18"/>
        </w:rPr>
      </w:pPr>
      <w:r>
        <w:rPr>
          <w:rFonts w:ascii="Arial Narrow" w:hAnsi="Arial Narrow"/>
          <w:sz w:val="16"/>
        </w:rPr>
        <w:t>Large accelerated filer</w:t>
      </w:r>
      <w:r>
        <w:rPr>
          <w:rFonts w:ascii="Arial Narrow" w:hAnsi="Arial Narrow"/>
          <w:sz w:val="18"/>
        </w:rPr>
        <w:t xml:space="preserve"> ☑ </w:t>
      </w:r>
      <w:r>
        <w:rPr>
          <w:rFonts w:ascii="Arial Narrow" w:hAnsi="Arial Narrow"/>
          <w:sz w:val="16"/>
        </w:rPr>
        <w:t>Accelerated filer </w:t>
      </w:r>
      <w:r>
        <w:rPr>
          <w:rFonts w:ascii="Arial Narrow" w:hAnsi="Arial Narrow"/>
          <w:sz w:val="18"/>
        </w:rPr>
        <w:t xml:space="preserve">☐ </w:t>
      </w:r>
      <w:r>
        <w:rPr>
          <w:rFonts w:ascii="Arial Narrow" w:hAnsi="Arial Narrow"/>
          <w:sz w:val="16"/>
        </w:rPr>
        <w:t>Non</w:t>
      </w:r>
      <w:r>
        <w:rPr>
          <w:rFonts w:ascii="Arial Narrow" w:hAnsi="Arial Narrow"/>
          <w:sz w:val="18"/>
        </w:rPr>
        <w:t>-</w:t>
      </w:r>
      <w:r>
        <w:rPr>
          <w:rFonts w:ascii="Arial Narrow" w:hAnsi="Arial Narrow"/>
          <w:sz w:val="16"/>
        </w:rPr>
        <w:t>accelerated filer </w:t>
      </w:r>
      <w:r>
        <w:rPr>
          <w:rFonts w:ascii="Arial Narrow" w:hAnsi="Arial Narrow"/>
          <w:sz w:val="18"/>
        </w:rPr>
        <w:t xml:space="preserve">☐ </w:t>
      </w:r>
      <w:r>
        <w:rPr>
          <w:rFonts w:ascii="Arial Narrow" w:hAnsi="Arial Narrow"/>
          <w:sz w:val="16"/>
        </w:rPr>
        <w:t>Smaller reporting company </w:t>
      </w:r>
      <w:r>
        <w:rPr>
          <w:rFonts w:ascii="Arial Narrow" w:hAnsi="Arial Narrow"/>
          <w:sz w:val="18"/>
        </w:rPr>
        <w:t xml:space="preserve">☐ </w:t>
      </w:r>
      <w:r>
        <w:rPr>
          <w:rFonts w:ascii="Arial Narrow" w:hAnsi="Arial Narrow"/>
          <w:sz w:val="16"/>
        </w:rPr>
        <w:t>Emerging growth company </w:t>
      </w:r>
      <w:r>
        <w:rPr>
          <w:rFonts w:ascii="Arial Narrow" w:hAnsi="Arial Narrow"/>
          <w:sz w:val="18"/>
        </w:rPr>
        <w:t>☐</w:t>
      </w:r>
    </w:p>
    <w:p>
      <w:pPr>
        <w:pStyle w:val="TextBody"/>
        <w:bidi w:val="0"/>
        <w:spacing w:before="120" w:after="0"/>
        <w:ind w:left="0" w:right="0" w:firstLine="360"/>
        <w:jc w:val="both"/>
        <w:rPr>
          <w:rFonts w:ascii="Arial Narrow" w:hAnsi="Arial Narrow"/>
          <w:sz w:val="16"/>
        </w:rPr>
      </w:pPr>
      <w:r>
        <w:rPr>
          <w:rFonts w:ascii="Arial Narrow" w:hAnsi="Arial Narrow"/>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Narrow" w:hAnsi="Arial Narrow"/>
          <w:sz w:val="16"/>
        </w:rPr>
        <w:t>☐</w:t>
      </w:r>
    </w:p>
    <w:p>
      <w:pPr>
        <w:pStyle w:val="TextBody"/>
        <w:bidi w:val="0"/>
        <w:spacing w:before="80" w:after="0"/>
        <w:ind w:left="0" w:right="0" w:firstLine="360"/>
        <w:jc w:val="both"/>
        <w:rPr>
          <w:rFonts w:ascii="Arial Narrow" w:hAnsi="Arial Narrow"/>
          <w:sz w:val="18"/>
        </w:rPr>
      </w:pPr>
      <w:r>
        <w:rPr>
          <w:rFonts w:ascii="Arial Narrow" w:hAnsi="Arial Narrow"/>
          <w:sz w:val="18"/>
        </w:rPr>
        <w:t xml:space="preserve">Indicate by check mark whether the registrant is a shell company (as defined in Rule 12b-2 of the Exchange Act).   </w:t>
      </w:r>
      <w:r>
        <w:rPr>
          <w:rFonts w:ascii="Arial Narrow" w:hAnsi="Arial Narrow"/>
          <w:sz w:val="16"/>
        </w:rPr>
        <w:t>Yes </w:t>
      </w:r>
      <w:r>
        <w:rPr>
          <w:rFonts w:ascii="Arial Narrow" w:hAnsi="Arial Narrow"/>
          <w:sz w:val="18"/>
        </w:rPr>
        <w:t xml:space="preserve">☐   </w:t>
      </w:r>
      <w:r>
        <w:rPr>
          <w:rFonts w:ascii="Arial Narrow" w:hAnsi="Arial Narrow"/>
          <w:sz w:val="16"/>
        </w:rPr>
        <w:t>No </w:t>
      </w:r>
      <w:r>
        <w:rPr>
          <w:rFonts w:ascii="Arial Narrow" w:hAnsi="Arial Narrow"/>
          <w:sz w:val="18"/>
        </w:rPr>
        <w:t>☑</w:t>
      </w:r>
    </w:p>
    <w:p>
      <w:pPr>
        <w:pStyle w:val="TextBody"/>
        <w:bidi w:val="0"/>
        <w:spacing w:before="80" w:after="283"/>
        <w:ind w:left="0" w:right="0" w:firstLine="360"/>
        <w:jc w:val="both"/>
        <w:rPr/>
      </w:pPr>
      <w:r>
        <w:rPr/>
        <w:t>​</w:t>
      </w:r>
    </w:p>
    <w:p>
      <w:pPr>
        <w:pStyle w:val="TextBody"/>
        <w:bidi w:val="0"/>
        <w:spacing w:before="40" w:after="0"/>
        <w:ind w:left="0" w:right="0" w:firstLine="360"/>
        <w:jc w:val="both"/>
        <w:rPr>
          <w:rFonts w:ascii="Arial Narrow" w:hAnsi="Arial Narrow"/>
          <w:sz w:val="18"/>
        </w:rPr>
      </w:pPr>
      <w:r>
        <w:rPr>
          <w:rFonts w:ascii="Arial Narrow" w:hAnsi="Arial Narrow"/>
          <w:sz w:val="18"/>
        </w:rPr>
        <w:t>As of April 28, 2026, 1,116,441,176 shares were outstanding.</w:t>
      </w:r>
    </w:p>
    <w:p>
      <w:pPr>
        <w:pStyle w:val="TextBody"/>
        <w:bidi w:val="0"/>
        <w:spacing w:before="0" w:after="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29" w:name="_62048908_3d86_4464_bc07_bd843383f4a2"/>
      <w:bookmarkEnd w:id="29"/>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30" w:name="Toc"/>
      <w:bookmarkEnd w:id="30"/>
      <w:r>
        <w:rPr>
          <w:rFonts w:ascii="Arial Narrow" w:hAnsi="Arial Narrow"/>
          <w:b/>
          <w:caps/>
          <w:sz w:val="22"/>
        </w:rPr>
        <w:t>INDEX TO QUARTERLY REPORT ON FORM 10-Q</w:t>
      </w:r>
    </w:p>
    <w:p>
      <w:pPr>
        <w:pStyle w:val="TextBody"/>
        <w:bidi w:val="0"/>
        <w:spacing w:before="0" w:after="120"/>
        <w:ind w:left="0" w:right="0" w:hanging="0"/>
        <w:jc w:val="center"/>
        <w:rPr>
          <w:rFonts w:ascii="Arial Narrow" w:hAnsi="Arial Narrow"/>
          <w:b/>
          <w:caps/>
          <w:sz w:val="22"/>
        </w:rPr>
      </w:pPr>
      <w:r>
        <w:rPr>
          <w:rFonts w:ascii="Arial Narrow" w:hAnsi="Arial Narrow"/>
          <w:b/>
          <w:caps/>
          <w:sz w:val="22"/>
        </w:rPr>
        <w:t>QUARTER ENDED MARCH 31, 2026</w:t>
      </w:r>
    </w:p>
    <w:p>
      <w:pPr>
        <w:pStyle w:val="TextBody"/>
        <w:bidi w:val="0"/>
        <w:spacing w:before="0" w:after="0"/>
        <w:ind w:left="0" w:right="0" w:hanging="0"/>
        <w:jc w:val="left"/>
        <w:rPr/>
      </w:pPr>
      <w:r>
        <w:rPr/>
        <w:t>​</w:t>
      </w:r>
    </w:p>
    <w:tbl>
      <w:tblPr>
        <w:tblW w:w="7608" w:type="dxa"/>
        <w:jc w:val="left"/>
        <w:tblInd w:w="0" w:type="dxa"/>
        <w:tblLayout w:type="fixed"/>
        <w:tblCellMar>
          <w:top w:w="0" w:type="dxa"/>
          <w:left w:w="0" w:type="dxa"/>
          <w:bottom w:w="0" w:type="dxa"/>
          <w:right w:w="0" w:type="dxa"/>
        </w:tblCellMar>
      </w:tblPr>
      <w:tblGrid>
        <w:gridCol w:w="721"/>
        <w:gridCol w:w="6346"/>
        <w:gridCol w:w="541"/>
      </w:tblGrid>
      <w:tr>
        <w:trPr/>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634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left"/>
              <w:rPr/>
            </w:pPr>
            <w:r>
              <w:rPr/>
              <w:t>​</w:t>
            </w:r>
          </w:p>
        </w:tc>
      </w:tr>
      <w:tr>
        <w:trPr/>
        <w:tc>
          <w:tcPr>
            <w:tcW w:w="7067" w:type="dxa"/>
            <w:gridSpan w:val="2"/>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Page</w:t>
            </w:r>
          </w:p>
        </w:tc>
      </w:tr>
      <w:tr>
        <w:trPr/>
        <w:tc>
          <w:tcPr>
            <w:tcW w:w="721" w:type="dxa"/>
            <w:tcBorders/>
            <w:shd w:fill="00556F" w:val="clear"/>
            <w:vAlign w:val="center"/>
          </w:tcPr>
          <w:p>
            <w:pPr>
              <w:pStyle w:val="TableContents"/>
              <w:bidi w:val="0"/>
              <w:spacing w:before="0" w:after="283"/>
              <w:ind w:left="0" w:right="0" w:hanging="0"/>
              <w:jc w:val="left"/>
              <w:rPr>
                <w:sz w:val="4"/>
                <w:szCs w:val="4"/>
              </w:rPr>
            </w:pPr>
            <w:r>
              <w:rPr>
                <w:sz w:val="4"/>
                <w:szCs w:val="4"/>
              </w:rPr>
            </w:r>
          </w:p>
        </w:tc>
        <w:tc>
          <w:tcPr>
            <w:tcW w:w="6346" w:type="dxa"/>
            <w:tcBorders/>
            <w:shd w:fill="00556F" w:val="clear"/>
            <w:vAlign w:val="center"/>
          </w:tcPr>
          <w:p>
            <w:pPr>
              <w:pStyle w:val="TableContents"/>
              <w:bidi w:val="0"/>
              <w:spacing w:before="0" w:after="120"/>
              <w:ind w:left="0" w:right="0" w:hanging="0"/>
              <w:jc w:val="center"/>
              <w:rPr>
                <w:rFonts w:ascii="Arial Narrow" w:hAnsi="Arial Narrow"/>
                <w:b/>
                <w:caps/>
                <w:color w:val="FFFFFF"/>
                <w:sz w:val="22"/>
              </w:rPr>
            </w:pPr>
            <w:r>
              <w:rPr>
                <w:rFonts w:ascii="Arial Narrow" w:hAnsi="Arial Narrow"/>
                <w:b/>
                <w:caps/>
                <w:color w:val="FFFFFF"/>
                <w:sz w:val="22"/>
              </w:rPr>
              <w:t>Part I. FINANCIAL INFORMATION</w:t>
            </w:r>
          </w:p>
        </w:tc>
        <w:tc>
          <w:tcPr>
            <w:tcW w:w="541" w:type="dxa"/>
            <w:tcBorders/>
            <w:shd w:fill="00556F" w:val="clear"/>
            <w:vAlign w:val="center"/>
          </w:tcPr>
          <w:p>
            <w:pPr>
              <w:pStyle w:val="TableContents"/>
              <w:bidi w:val="0"/>
              <w:spacing w:before="0" w:after="0"/>
              <w:ind w:left="0" w:right="0" w:hanging="0"/>
              <w:jc w:val="right"/>
              <w:rPr>
                <w:color w:val="FFFFFF"/>
              </w:rPr>
            </w:pPr>
            <w:r>
              <w:rPr>
                <w:color w:val="FFFFFF"/>
              </w:rPr>
              <w:t>​</w:t>
            </w:r>
          </w:p>
        </w:tc>
      </w:tr>
      <w:tr>
        <w:trPr/>
        <w:tc>
          <w:tcPr>
            <w:tcW w:w="721" w:type="dxa"/>
            <w:tcBorders/>
            <w:shd w:fill="CEDBE2" w:val="clear"/>
            <w:vAlign w:val="center"/>
          </w:tcPr>
          <w:p>
            <w:pPr>
              <w:pStyle w:val="TableContents"/>
              <w:bidi w:val="0"/>
              <w:spacing w:before="0" w:after="0"/>
              <w:ind w:left="0" w:right="0" w:hanging="0"/>
              <w:jc w:val="left"/>
              <w:rPr/>
            </w:pPr>
            <w:hyperlink w:anchor="Item1FinancialStatements_644848">
              <w:r>
                <w:rPr>
                  <w:rStyle w:val="InternetLink"/>
                  <w:rFonts w:ascii="Arial Narrow" w:hAnsi="Arial Narrow"/>
                  <w:b w:val="false"/>
                  <w:i w:val="false"/>
                  <w:caps w:val="false"/>
                  <w:smallCaps w:val="false"/>
                  <w:sz w:val="20"/>
                </w:rPr>
                <w:t>Item 1.</w:t>
              </w:r>
            </w:hyperlink>
          </w:p>
        </w:tc>
        <w:tc>
          <w:tcPr>
            <w:tcW w:w="6346" w:type="dxa"/>
            <w:tcBorders/>
            <w:shd w:fill="CEDBE2" w:val="clear"/>
            <w:vAlign w:val="center"/>
          </w:tcPr>
          <w:p>
            <w:pPr>
              <w:pStyle w:val="TableContents"/>
              <w:pBdr/>
              <w:bidi w:val="0"/>
              <w:spacing w:before="0" w:after="0"/>
              <w:ind w:left="0" w:right="0" w:hanging="0"/>
              <w:jc w:val="left"/>
              <w:rPr/>
            </w:pPr>
            <w:hyperlink w:anchor="Item1FinancialStatements_644848">
              <w:r>
                <w:rPr>
                  <w:rStyle w:val="InternetLink"/>
                  <w:rFonts w:ascii="Arial Narrow" w:hAnsi="Arial Narrow"/>
                  <w:b w:val="false"/>
                  <w:i w:val="false"/>
                  <w:caps w:val="false"/>
                  <w:smallCaps w:val="false"/>
                  <w:sz w:val="20"/>
                </w:rPr>
                <w:t>Financial Statements (Unaudited)</w:t>
              </w:r>
            </w:hyperlink>
          </w:p>
        </w:tc>
        <w:tc>
          <w:tcPr>
            <w:tcW w:w="541" w:type="dxa"/>
            <w:tcBorders/>
            <w:shd w:fill="CEDBE2" w:val="clear"/>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pBdr/>
              <w:bidi w:val="0"/>
              <w:spacing w:before="0" w:after="0"/>
              <w:ind w:left="0" w:right="0" w:hanging="0"/>
              <w:jc w:val="left"/>
              <w:rPr/>
            </w:pPr>
            <w:hyperlink w:anchor="STATEMENTSOFOPERATIONS_303716">
              <w:r>
                <w:rPr>
                  <w:rStyle w:val="InternetLink"/>
                  <w:rFonts w:ascii="Arial Narrow" w:hAnsi="Arial Narrow"/>
                  <w:b w:val="false"/>
                  <w:i w:val="false"/>
                  <w:caps w:val="false"/>
                  <w:smallCaps w:val="false"/>
                  <w:sz w:val="20"/>
                </w:rPr>
                <w:t>Condensed Consolidated Statements of Operations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r>
      <w:tr>
        <w:trPr/>
        <w:tc>
          <w:tcPr>
            <w:tcW w:w="721" w:type="dxa"/>
            <w:tcBorders/>
            <w:shd w:fill="CEDBE2" w:val="clear"/>
            <w:vAlign w:val="center"/>
          </w:tcPr>
          <w:p>
            <w:pPr>
              <w:pStyle w:val="TableContents"/>
              <w:bidi w:val="0"/>
              <w:spacing w:before="0" w:after="0"/>
              <w:ind w:left="0" w:right="0" w:hanging="0"/>
              <w:jc w:val="left"/>
              <w:rPr/>
            </w:pPr>
            <w:r>
              <w:rPr/>
              <w:t>​</w:t>
            </w:r>
          </w:p>
        </w:tc>
        <w:tc>
          <w:tcPr>
            <w:tcW w:w="6346" w:type="dxa"/>
            <w:tcBorders/>
            <w:shd w:fill="CEDBE2" w:val="clear"/>
            <w:vAlign w:val="center"/>
          </w:tcPr>
          <w:p>
            <w:pPr>
              <w:pStyle w:val="TableContents"/>
              <w:pBdr/>
              <w:bidi w:val="0"/>
              <w:spacing w:before="0" w:after="0"/>
              <w:ind w:left="0" w:right="0" w:hanging="0"/>
              <w:jc w:val="left"/>
              <w:rPr/>
            </w:pPr>
            <w:hyperlink w:anchor="COMPREHENSIVEINCOME_537868">
              <w:r>
                <w:rPr>
                  <w:rStyle w:val="InternetLink"/>
                  <w:rFonts w:ascii="Arial Narrow" w:hAnsi="Arial Narrow"/>
                  <w:b w:val="false"/>
                  <w:i w:val="false"/>
                  <w:caps w:val="false"/>
                  <w:smallCaps w:val="false"/>
                  <w:sz w:val="20"/>
                </w:rPr>
                <w:t>Condensed Consolidated Statements of Comprehensive Income (Loss</w:t>
              </w:r>
            </w:hyperlink>
            <w:r>
              <w:rPr>
                <w:rFonts w:ascii="Arial Narrow" w:hAnsi="Arial Narrow"/>
                <w:sz w:val="20"/>
              </w:rPr>
              <w:t>)</w:t>
            </w:r>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r>
      <w:tr>
        <w:trPr/>
        <w:tc>
          <w:tcPr>
            <w:tcW w:w="721"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pBdr/>
              <w:bidi w:val="0"/>
              <w:spacing w:before="0" w:after="0"/>
              <w:ind w:left="0" w:right="0" w:hanging="0"/>
              <w:jc w:val="left"/>
              <w:rPr/>
            </w:pPr>
            <w:hyperlink w:anchor="BALANCESHEETS_727729">
              <w:r>
                <w:rPr>
                  <w:rStyle w:val="InternetLink"/>
                  <w:rFonts w:ascii="Arial Narrow" w:hAnsi="Arial Narrow"/>
                  <w:b w:val="false"/>
                  <w:i w:val="false"/>
                  <w:caps w:val="false"/>
                  <w:smallCaps w:val="false"/>
                  <w:sz w:val="20"/>
                </w:rPr>
                <w:t>Condensed Consolidated Balance Sheets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r>
      <w:tr>
        <w:trPr/>
        <w:tc>
          <w:tcPr>
            <w:tcW w:w="721" w:type="dxa"/>
            <w:tcBorders/>
            <w:shd w:fill="CEDBE2" w:val="clear"/>
            <w:vAlign w:val="center"/>
          </w:tcPr>
          <w:p>
            <w:pPr>
              <w:pStyle w:val="TableContents"/>
              <w:bidi w:val="0"/>
              <w:spacing w:before="0" w:after="0"/>
              <w:ind w:left="0" w:right="0" w:hanging="0"/>
              <w:jc w:val="left"/>
              <w:rPr/>
            </w:pPr>
            <w:r>
              <w:rPr/>
              <w:t>​</w:t>
            </w:r>
          </w:p>
        </w:tc>
        <w:tc>
          <w:tcPr>
            <w:tcW w:w="6346" w:type="dxa"/>
            <w:tcBorders/>
            <w:shd w:fill="CEDBE2" w:val="clear"/>
            <w:vAlign w:val="center"/>
          </w:tcPr>
          <w:p>
            <w:pPr>
              <w:pStyle w:val="TableContents"/>
              <w:pBdr/>
              <w:bidi w:val="0"/>
              <w:spacing w:before="0" w:after="0"/>
              <w:ind w:left="0" w:right="0" w:hanging="0"/>
              <w:jc w:val="left"/>
              <w:rPr/>
            </w:pPr>
            <w:hyperlink w:anchor="EQUITY_473348">
              <w:r>
                <w:rPr>
                  <w:rStyle w:val="InternetLink"/>
                  <w:rFonts w:ascii="Arial Narrow" w:hAnsi="Arial Narrow"/>
                  <w:b w:val="false"/>
                  <w:i w:val="false"/>
                  <w:caps w:val="false"/>
                  <w:smallCaps w:val="false"/>
                  <w:sz w:val="20"/>
                </w:rPr>
                <w:t>Condensed Consolidated Statements of Equity</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w:t>
            </w:r>
          </w:p>
        </w:tc>
      </w:tr>
      <w:tr>
        <w:trPr/>
        <w:tc>
          <w:tcPr>
            <w:tcW w:w="721"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pBdr/>
              <w:bidi w:val="0"/>
              <w:spacing w:before="0" w:after="0"/>
              <w:ind w:left="0" w:right="0" w:hanging="0"/>
              <w:jc w:val="left"/>
              <w:rPr/>
            </w:pPr>
            <w:hyperlink w:anchor="CASHFLOWS_27735">
              <w:r>
                <w:rPr>
                  <w:rStyle w:val="InternetLink"/>
                  <w:rFonts w:ascii="Arial Narrow" w:hAnsi="Arial Narrow"/>
                  <w:b w:val="false"/>
                  <w:i w:val="false"/>
                  <w:caps w:val="false"/>
                  <w:smallCaps w:val="false"/>
                  <w:sz w:val="20"/>
                </w:rPr>
                <w:t>Condensed Consolidated Statements of Cash Flows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w:t>
            </w:r>
          </w:p>
        </w:tc>
      </w:tr>
      <w:tr>
        <w:trPr/>
        <w:tc>
          <w:tcPr>
            <w:tcW w:w="721" w:type="dxa"/>
            <w:tcBorders/>
            <w:shd w:fill="CEDBE2" w:val="clear"/>
            <w:vAlign w:val="center"/>
          </w:tcPr>
          <w:p>
            <w:pPr>
              <w:pStyle w:val="TableContents"/>
              <w:bidi w:val="0"/>
              <w:spacing w:before="0" w:after="0"/>
              <w:ind w:left="0" w:right="0" w:hanging="0"/>
              <w:jc w:val="left"/>
              <w:rPr/>
            </w:pPr>
            <w:r>
              <w:rPr/>
              <w:t>​</w:t>
            </w:r>
          </w:p>
        </w:tc>
        <w:tc>
          <w:tcPr>
            <w:tcW w:w="6346" w:type="dxa"/>
            <w:tcBorders/>
            <w:shd w:fill="CEDBE2" w:val="clear"/>
            <w:vAlign w:val="center"/>
          </w:tcPr>
          <w:p>
            <w:pPr>
              <w:pStyle w:val="TableContents"/>
              <w:pBdr/>
              <w:bidi w:val="0"/>
              <w:spacing w:before="0" w:after="0"/>
              <w:ind w:left="0" w:right="0" w:hanging="0"/>
              <w:jc w:val="left"/>
              <w:rPr/>
            </w:pPr>
            <w:hyperlink w:anchor="NotesToConsolidatedFinancialStatements">
              <w:r>
                <w:rPr>
                  <w:rStyle w:val="InternetLink"/>
                  <w:rFonts w:ascii="Arial Narrow" w:hAnsi="Arial Narrow"/>
                  <w:b w:val="false"/>
                  <w:i w:val="false"/>
                  <w:caps w:val="false"/>
                  <w:smallCaps w:val="false"/>
                  <w:sz w:val="20"/>
                </w:rPr>
                <w:t>Notes to Condensed Consolidated Financial Statements</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w:t>
            </w:r>
          </w:p>
        </w:tc>
      </w:tr>
      <w:tr>
        <w:trPr/>
        <w:tc>
          <w:tcPr>
            <w:tcW w:w="721" w:type="dxa"/>
            <w:tcBorders/>
            <w:vAlign w:val="center"/>
          </w:tcPr>
          <w:p>
            <w:pPr>
              <w:pStyle w:val="TableContents"/>
              <w:bidi w:val="0"/>
              <w:spacing w:before="0" w:after="0"/>
              <w:ind w:left="0" w:right="0" w:hanging="0"/>
              <w:jc w:val="left"/>
              <w:rPr/>
            </w:pPr>
            <w:hyperlink w:anchor="Item7ManagementsDiscussionandAnalysis_88">
              <w:r>
                <w:rPr>
                  <w:rStyle w:val="InternetLink"/>
                  <w:rFonts w:ascii="Arial Narrow" w:hAnsi="Arial Narrow"/>
                  <w:b w:val="false"/>
                  <w:i w:val="false"/>
                  <w:caps w:val="false"/>
                  <w:smallCaps w:val="false"/>
                  <w:sz w:val="20"/>
                </w:rPr>
                <w:t>Item 2.</w:t>
              </w:r>
            </w:hyperlink>
          </w:p>
        </w:tc>
        <w:tc>
          <w:tcPr>
            <w:tcW w:w="6346" w:type="dxa"/>
            <w:tcBorders/>
            <w:vAlign w:val="center"/>
          </w:tcPr>
          <w:p>
            <w:pPr>
              <w:pStyle w:val="TableContents"/>
              <w:pBdr/>
              <w:bidi w:val="0"/>
              <w:spacing w:before="0" w:after="0"/>
              <w:ind w:left="0" w:right="0" w:hanging="0"/>
              <w:jc w:val="left"/>
              <w:rPr/>
            </w:pPr>
            <w:hyperlink w:anchor="Item7ManagementsDiscussionandAnalysis_88">
              <w:r>
                <w:rPr>
                  <w:rStyle w:val="InternetLink"/>
                  <w:rFonts w:ascii="Arial Narrow" w:hAnsi="Arial Narrow"/>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12</w:t>
            </w:r>
          </w:p>
        </w:tc>
      </w:tr>
      <w:tr>
        <w:trPr/>
        <w:tc>
          <w:tcPr>
            <w:tcW w:w="721" w:type="dxa"/>
            <w:tcBorders/>
            <w:shd w:fill="CEDBE2" w:val="clear"/>
            <w:vAlign w:val="center"/>
          </w:tcPr>
          <w:p>
            <w:pPr>
              <w:pStyle w:val="TableContents"/>
              <w:bidi w:val="0"/>
              <w:spacing w:before="0" w:after="0"/>
              <w:ind w:left="0" w:right="0" w:hanging="0"/>
              <w:jc w:val="left"/>
              <w:rPr/>
            </w:pPr>
            <w:hyperlink w:anchor="Item7AQuantitativeandQualitativeDisclosu">
              <w:r>
                <w:rPr>
                  <w:rStyle w:val="InternetLink"/>
                  <w:rFonts w:ascii="Arial Narrow" w:hAnsi="Arial Narrow"/>
                  <w:b w:val="false"/>
                  <w:i w:val="false"/>
                  <w:caps w:val="false"/>
                  <w:smallCaps w:val="false"/>
                  <w:sz w:val="20"/>
                </w:rPr>
                <w:t>Item 3.</w:t>
              </w:r>
            </w:hyperlink>
          </w:p>
        </w:tc>
        <w:tc>
          <w:tcPr>
            <w:tcW w:w="6346" w:type="dxa"/>
            <w:tcBorders/>
            <w:shd w:fill="CEDBE2" w:val="clear"/>
            <w:vAlign w:val="center"/>
          </w:tcPr>
          <w:p>
            <w:pPr>
              <w:pStyle w:val="TableContents"/>
              <w:pBdr/>
              <w:bidi w:val="0"/>
              <w:spacing w:before="0" w:after="0"/>
              <w:ind w:left="0" w:right="0" w:hanging="0"/>
              <w:jc w:val="left"/>
              <w:rPr/>
            </w:pPr>
            <w:hyperlink w:anchor="Item7AQuantitativeandQualitativeDisclosu">
              <w:r>
                <w:rPr>
                  <w:rStyle w:val="InternetLink"/>
                  <w:rFonts w:ascii="Arial Narrow" w:hAnsi="Arial Narrow"/>
                  <w:b w:val="false"/>
                  <w:i w:val="false"/>
                  <w:caps w:val="false"/>
                  <w:smallCaps w:val="false"/>
                  <w:sz w:val="20"/>
                </w:rPr>
                <w:t>Quantitative and Qualitative Disclosures About Market Risk</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19</w:t>
            </w:r>
          </w:p>
        </w:tc>
      </w:tr>
      <w:tr>
        <w:trPr/>
        <w:tc>
          <w:tcPr>
            <w:tcW w:w="721" w:type="dxa"/>
            <w:tcBorders/>
            <w:vAlign w:val="center"/>
          </w:tcPr>
          <w:p>
            <w:pPr>
              <w:pStyle w:val="TableContents"/>
              <w:bidi w:val="0"/>
              <w:spacing w:before="0" w:after="0"/>
              <w:ind w:left="0" w:right="0" w:hanging="0"/>
              <w:jc w:val="left"/>
              <w:rPr/>
            </w:pPr>
            <w:hyperlink w:anchor="Item9AControlsandProcedures_646698">
              <w:r>
                <w:rPr>
                  <w:rStyle w:val="InternetLink"/>
                  <w:rFonts w:ascii="Arial Narrow" w:hAnsi="Arial Narrow"/>
                  <w:b w:val="false"/>
                  <w:i w:val="false"/>
                  <w:caps w:val="false"/>
                  <w:smallCaps w:val="false"/>
                  <w:sz w:val="20"/>
                </w:rPr>
                <w:t>Item 4.</w:t>
              </w:r>
            </w:hyperlink>
          </w:p>
        </w:tc>
        <w:tc>
          <w:tcPr>
            <w:tcW w:w="6346" w:type="dxa"/>
            <w:tcBorders/>
            <w:vAlign w:val="center"/>
          </w:tcPr>
          <w:p>
            <w:pPr>
              <w:pStyle w:val="TableContents"/>
              <w:pBdr/>
              <w:bidi w:val="0"/>
              <w:spacing w:before="0" w:after="0"/>
              <w:ind w:left="0" w:right="0" w:hanging="0"/>
              <w:jc w:val="left"/>
              <w:rPr/>
            </w:pPr>
            <w:hyperlink w:anchor="Item9AControlsandProcedures_646698">
              <w:r>
                <w:rPr>
                  <w:rStyle w:val="InternetLink"/>
                  <w:rFonts w:ascii="Arial Narrow" w:hAnsi="Arial Narrow"/>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19</w:t>
            </w:r>
          </w:p>
        </w:tc>
      </w:tr>
      <w:tr>
        <w:trPr/>
        <w:tc>
          <w:tcPr>
            <w:tcW w:w="721"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pBdr/>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721" w:type="dxa"/>
            <w:tcBorders/>
            <w:shd w:fill="00556F" w:val="clear"/>
            <w:vAlign w:val="center"/>
          </w:tcPr>
          <w:p>
            <w:pPr>
              <w:pStyle w:val="TableContents"/>
              <w:bidi w:val="0"/>
              <w:spacing w:before="0" w:after="120"/>
              <w:ind w:left="0" w:right="0" w:hanging="0"/>
              <w:jc w:val="center"/>
              <w:rPr>
                <w:caps/>
                <w:color w:val="FFFFFF"/>
              </w:rPr>
            </w:pPr>
            <w:r>
              <w:rPr>
                <w:caps/>
                <w:color w:val="FFFFFF"/>
              </w:rPr>
              <w:t>​</w:t>
            </w:r>
          </w:p>
        </w:tc>
        <w:tc>
          <w:tcPr>
            <w:tcW w:w="6346" w:type="dxa"/>
            <w:tcBorders/>
            <w:shd w:fill="00556F" w:val="clear"/>
            <w:vAlign w:val="center"/>
          </w:tcPr>
          <w:p>
            <w:pPr>
              <w:pStyle w:val="TableContents"/>
              <w:bidi w:val="0"/>
              <w:spacing w:before="0" w:after="120"/>
              <w:ind w:left="0" w:right="0" w:hanging="0"/>
              <w:jc w:val="center"/>
              <w:rPr/>
            </w:pPr>
            <w:r>
              <w:rPr>
                <w:rFonts w:ascii="Arial Narrow" w:hAnsi="Arial Narrow"/>
                <w:b/>
                <w:caps/>
                <w:color w:val="FFFFFF"/>
                <w:sz w:val="22"/>
              </w:rPr>
              <w:t xml:space="preserve">Part II. </w:t>
            </w:r>
            <w:hyperlink w:anchor="PARTIIOTHERINFORMATION_708350">
              <w:r>
                <w:rPr>
                  <w:rStyle w:val="InternetLink"/>
                  <w:rFonts w:ascii="Arial Narrow" w:hAnsi="Arial Narrow"/>
                  <w:b/>
                  <w:i w:val="false"/>
                  <w:caps/>
                  <w:color w:val="FFFFFF"/>
                  <w:sz w:val="22"/>
                </w:rPr>
                <w:t>OTHER INFORMATION</w:t>
              </w:r>
            </w:hyperlink>
          </w:p>
        </w:tc>
        <w:tc>
          <w:tcPr>
            <w:tcW w:w="541" w:type="dxa"/>
            <w:tcBorders/>
            <w:shd w:fill="00556F" w:val="clear"/>
            <w:vAlign w:val="center"/>
          </w:tcPr>
          <w:p>
            <w:pPr>
              <w:pStyle w:val="TableContents"/>
              <w:bidi w:val="0"/>
              <w:spacing w:before="0" w:after="0"/>
              <w:ind w:left="0" w:right="0" w:hanging="0"/>
              <w:jc w:val="right"/>
              <w:rPr>
                <w:color w:val="FFFFFF"/>
              </w:rPr>
            </w:pPr>
            <w:r>
              <w:rPr>
                <w:color w:val="FFFFFF"/>
              </w:rPr>
              <w:t>​</w:t>
            </w:r>
          </w:p>
        </w:tc>
      </w:tr>
      <w:tr>
        <w:trPr/>
        <w:tc>
          <w:tcPr>
            <w:tcW w:w="721" w:type="dxa"/>
            <w:tcBorders/>
            <w:shd w:fill="CEDBE2" w:val="clear"/>
            <w:vAlign w:val="center"/>
          </w:tcPr>
          <w:p>
            <w:pPr>
              <w:pStyle w:val="TableContents"/>
              <w:bidi w:val="0"/>
              <w:spacing w:before="0" w:after="0"/>
              <w:ind w:left="0" w:right="0" w:hanging="0"/>
              <w:jc w:val="left"/>
              <w:rPr/>
            </w:pPr>
            <w:hyperlink w:anchor="Item3LegalProceedings_313392">
              <w:r>
                <w:rPr>
                  <w:rStyle w:val="InternetLink"/>
                  <w:rFonts w:ascii="Arial Narrow" w:hAnsi="Arial Narrow"/>
                  <w:b w:val="false"/>
                  <w:i w:val="false"/>
                  <w:caps w:val="false"/>
                  <w:smallCaps w:val="false"/>
                  <w:sz w:val="20"/>
                </w:rPr>
                <w:t>Item 1.</w:t>
              </w:r>
            </w:hyperlink>
          </w:p>
        </w:tc>
        <w:tc>
          <w:tcPr>
            <w:tcW w:w="6346" w:type="dxa"/>
            <w:tcBorders/>
            <w:shd w:fill="CEDBE2" w:val="clear"/>
            <w:vAlign w:val="center"/>
          </w:tcPr>
          <w:p>
            <w:pPr>
              <w:pStyle w:val="TableContents"/>
              <w:pBdr/>
              <w:bidi w:val="0"/>
              <w:spacing w:before="0" w:after="0"/>
              <w:ind w:left="0" w:right="0" w:hanging="0"/>
              <w:jc w:val="left"/>
              <w:rPr/>
            </w:pPr>
            <w:hyperlink w:anchor="Item3LegalProceedings_313392">
              <w:r>
                <w:rPr>
                  <w:rStyle w:val="InternetLink"/>
                  <w:rFonts w:ascii="Arial Narrow" w:hAnsi="Arial Narrow"/>
                  <w:b w:val="false"/>
                  <w:i w:val="false"/>
                  <w:caps w:val="false"/>
                  <w:smallCaps w:val="false"/>
                  <w:sz w:val="20"/>
                </w:rPr>
                <w:t>Legal Proceedings</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19</w:t>
            </w:r>
          </w:p>
        </w:tc>
      </w:tr>
      <w:tr>
        <w:trPr/>
        <w:tc>
          <w:tcPr>
            <w:tcW w:w="721" w:type="dxa"/>
            <w:tcBorders/>
            <w:vAlign w:val="center"/>
          </w:tcPr>
          <w:p>
            <w:pPr>
              <w:pStyle w:val="TableContents"/>
              <w:bidi w:val="0"/>
              <w:spacing w:before="0" w:after="0"/>
              <w:ind w:left="0" w:right="0" w:hanging="0"/>
              <w:jc w:val="left"/>
              <w:rPr/>
            </w:pPr>
            <w:hyperlink w:anchor="Item1ARiskFactors_255413">
              <w:r>
                <w:rPr>
                  <w:rStyle w:val="InternetLink"/>
                  <w:rFonts w:ascii="Arial Narrow" w:hAnsi="Arial Narrow"/>
                  <w:b w:val="false"/>
                  <w:i w:val="false"/>
                  <w:caps w:val="false"/>
                  <w:smallCaps w:val="false"/>
                  <w:sz w:val="20"/>
                </w:rPr>
                <w:t>Item 1A.</w:t>
              </w:r>
            </w:hyperlink>
          </w:p>
        </w:tc>
        <w:tc>
          <w:tcPr>
            <w:tcW w:w="6346" w:type="dxa"/>
            <w:tcBorders/>
            <w:vAlign w:val="center"/>
          </w:tcPr>
          <w:p>
            <w:pPr>
              <w:pStyle w:val="TableContents"/>
              <w:pBdr/>
              <w:bidi w:val="0"/>
              <w:spacing w:before="0" w:after="0"/>
              <w:ind w:left="0" w:right="0" w:hanging="0"/>
              <w:jc w:val="left"/>
              <w:rPr/>
            </w:pPr>
            <w:hyperlink w:anchor="Item1ARiskFactors_255413">
              <w:r>
                <w:rPr>
                  <w:rStyle w:val="InternetLink"/>
                  <w:rFonts w:ascii="Arial Narrow" w:hAnsi="Arial Narrow"/>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w:t>
            </w:r>
          </w:p>
        </w:tc>
      </w:tr>
      <w:tr>
        <w:trPr/>
        <w:tc>
          <w:tcPr>
            <w:tcW w:w="721" w:type="dxa"/>
            <w:tcBorders/>
            <w:shd w:fill="CEDBE2" w:val="clear"/>
            <w:vAlign w:val="center"/>
          </w:tcPr>
          <w:p>
            <w:pPr>
              <w:pStyle w:val="TableContents"/>
              <w:bidi w:val="0"/>
              <w:spacing w:before="0" w:after="0"/>
              <w:ind w:left="0" w:right="0" w:hanging="0"/>
              <w:jc w:val="left"/>
              <w:rPr/>
            </w:pPr>
            <w:hyperlink w:anchor="Item2UnregisteredSalesofEquitySecurities">
              <w:r>
                <w:rPr>
                  <w:rStyle w:val="InternetLink"/>
                  <w:rFonts w:ascii="Arial Narrow" w:hAnsi="Arial Narrow"/>
                  <w:b w:val="false"/>
                  <w:i w:val="false"/>
                  <w:caps w:val="false"/>
                  <w:smallCaps w:val="false"/>
                  <w:sz w:val="20"/>
                </w:rPr>
                <w:t>Item 2.</w:t>
              </w:r>
            </w:hyperlink>
          </w:p>
        </w:tc>
        <w:tc>
          <w:tcPr>
            <w:tcW w:w="6346" w:type="dxa"/>
            <w:tcBorders/>
            <w:shd w:fill="CEDBE2" w:val="clear"/>
            <w:vAlign w:val="center"/>
          </w:tcPr>
          <w:p>
            <w:pPr>
              <w:pStyle w:val="TableContents"/>
              <w:pBdr/>
              <w:bidi w:val="0"/>
              <w:spacing w:before="0" w:after="0"/>
              <w:ind w:left="0" w:right="0" w:hanging="0"/>
              <w:jc w:val="left"/>
              <w:rPr/>
            </w:pPr>
            <w:hyperlink w:anchor="Item2UnregisteredSalesofEquitySecurities">
              <w:r>
                <w:rPr>
                  <w:rStyle w:val="InternetLink"/>
                  <w:rFonts w:ascii="Arial Narrow" w:hAnsi="Arial Narrow"/>
                  <w:b w:val="false"/>
                  <w:i w:val="false"/>
                  <w:caps w:val="false"/>
                  <w:smallCaps w:val="false"/>
                  <w:sz w:val="20"/>
                </w:rPr>
                <w:t>Unregistered Sales of Equity Securities and Use of Proceeds</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w:t>
            </w:r>
          </w:p>
        </w:tc>
      </w:tr>
      <w:tr>
        <w:trPr/>
        <w:tc>
          <w:tcPr>
            <w:tcW w:w="721" w:type="dxa"/>
            <w:tcBorders/>
            <w:vAlign w:val="center"/>
          </w:tcPr>
          <w:p>
            <w:pPr>
              <w:pStyle w:val="TableContents"/>
              <w:bidi w:val="0"/>
              <w:spacing w:before="0" w:after="0"/>
              <w:ind w:left="0" w:right="0" w:hanging="0"/>
              <w:jc w:val="left"/>
              <w:rPr/>
            </w:pPr>
            <w:hyperlink w:anchor="Item_3_DefaultsUponSeniorSecurities">
              <w:r>
                <w:rPr>
                  <w:rStyle w:val="InternetLink"/>
                  <w:rFonts w:ascii="Arial Narrow" w:hAnsi="Arial Narrow"/>
                  <w:b w:val="false"/>
                  <w:i w:val="false"/>
                  <w:caps w:val="false"/>
                  <w:smallCaps w:val="false"/>
                  <w:sz w:val="20"/>
                </w:rPr>
                <w:t>Item 3.</w:t>
              </w:r>
            </w:hyperlink>
          </w:p>
        </w:tc>
        <w:tc>
          <w:tcPr>
            <w:tcW w:w="6346" w:type="dxa"/>
            <w:tcBorders/>
            <w:vAlign w:val="center"/>
          </w:tcPr>
          <w:p>
            <w:pPr>
              <w:pStyle w:val="TableContents"/>
              <w:bidi w:val="0"/>
              <w:spacing w:before="0" w:after="0"/>
              <w:ind w:left="0" w:right="0" w:hanging="0"/>
              <w:jc w:val="left"/>
              <w:rPr/>
            </w:pPr>
            <w:hyperlink w:anchor="Item_3_DefaultsUponSeniorSecurities">
              <w:r>
                <w:rPr>
                  <w:rStyle w:val="InternetLink"/>
                  <w:rFonts w:ascii="Arial Narrow" w:hAnsi="Arial Narrow"/>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w:t>
            </w:r>
          </w:p>
        </w:tc>
      </w:tr>
      <w:tr>
        <w:trPr/>
        <w:tc>
          <w:tcPr>
            <w:tcW w:w="721" w:type="dxa"/>
            <w:tcBorders/>
            <w:shd w:fill="CEDBE2" w:val="clear"/>
            <w:vAlign w:val="center"/>
          </w:tcPr>
          <w:p>
            <w:pPr>
              <w:pStyle w:val="TableContents"/>
              <w:bidi w:val="0"/>
              <w:spacing w:before="0" w:after="0"/>
              <w:ind w:left="0" w:right="0" w:hanging="0"/>
              <w:jc w:val="left"/>
              <w:rPr/>
            </w:pPr>
            <w:hyperlink w:anchor="Item_4_MineSafetyDisclosures">
              <w:r>
                <w:rPr>
                  <w:rStyle w:val="InternetLink"/>
                  <w:rFonts w:ascii="Arial Narrow" w:hAnsi="Arial Narrow"/>
                  <w:b w:val="false"/>
                  <w:i w:val="false"/>
                  <w:caps w:val="false"/>
                  <w:smallCaps w:val="false"/>
                  <w:sz w:val="20"/>
                </w:rPr>
                <w:t>Item 4.</w:t>
              </w:r>
            </w:hyperlink>
          </w:p>
        </w:tc>
        <w:tc>
          <w:tcPr>
            <w:tcW w:w="6346" w:type="dxa"/>
            <w:tcBorders/>
            <w:shd w:fill="CEDBE2" w:val="clear"/>
            <w:vAlign w:val="center"/>
          </w:tcPr>
          <w:p>
            <w:pPr>
              <w:pStyle w:val="TableContents"/>
              <w:bidi w:val="0"/>
              <w:spacing w:before="0" w:after="0"/>
              <w:ind w:left="0" w:right="0" w:hanging="0"/>
              <w:jc w:val="left"/>
              <w:rPr/>
            </w:pPr>
            <w:hyperlink w:anchor="Item_4_MineSafetyDisclosures">
              <w:r>
                <w:rPr>
                  <w:rStyle w:val="InternetLink"/>
                  <w:rFonts w:ascii="Arial Narrow" w:hAnsi="Arial Narrow"/>
                  <w:b w:val="false"/>
                  <w:i w:val="false"/>
                  <w:caps w:val="false"/>
                  <w:smallCaps w:val="false"/>
                  <w:sz w:val="20"/>
                </w:rPr>
                <w:t>Mine Safety Disclosures</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w:t>
            </w:r>
          </w:p>
        </w:tc>
      </w:tr>
      <w:tr>
        <w:trPr/>
        <w:tc>
          <w:tcPr>
            <w:tcW w:w="721" w:type="dxa"/>
            <w:tcBorders/>
            <w:vAlign w:val="center"/>
          </w:tcPr>
          <w:p>
            <w:pPr>
              <w:pStyle w:val="TableContents"/>
              <w:bidi w:val="0"/>
              <w:spacing w:before="0" w:after="0"/>
              <w:ind w:left="0" w:right="0" w:hanging="0"/>
              <w:jc w:val="left"/>
              <w:rPr/>
            </w:pPr>
            <w:hyperlink w:anchor="Item5OtherInfo">
              <w:r>
                <w:rPr>
                  <w:rStyle w:val="InternetLink"/>
                  <w:rFonts w:ascii="Arial Narrow" w:hAnsi="Arial Narrow"/>
                  <w:b w:val="false"/>
                  <w:i w:val="false"/>
                  <w:caps w:val="false"/>
                  <w:smallCaps w:val="false"/>
                  <w:sz w:val="20"/>
                </w:rPr>
                <w:t>Item 5.</w:t>
              </w:r>
            </w:hyperlink>
          </w:p>
        </w:tc>
        <w:tc>
          <w:tcPr>
            <w:tcW w:w="6346" w:type="dxa"/>
            <w:tcBorders/>
            <w:vAlign w:val="center"/>
          </w:tcPr>
          <w:p>
            <w:pPr>
              <w:pStyle w:val="TableContents"/>
              <w:pBdr/>
              <w:bidi w:val="0"/>
              <w:spacing w:before="0" w:after="0"/>
              <w:ind w:left="0" w:right="0" w:hanging="0"/>
              <w:jc w:val="left"/>
              <w:rPr/>
            </w:pPr>
            <w:hyperlink w:anchor="Item5OtherInfo">
              <w:r>
                <w:rPr>
                  <w:rStyle w:val="InternetLink"/>
                  <w:rFonts w:ascii="Arial Narrow" w:hAnsi="Arial Narrow"/>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w:t>
            </w:r>
          </w:p>
        </w:tc>
      </w:tr>
      <w:tr>
        <w:trPr/>
        <w:tc>
          <w:tcPr>
            <w:tcW w:w="721" w:type="dxa"/>
            <w:tcBorders/>
            <w:shd w:fill="CEDBE0" w:val="clear"/>
            <w:vAlign w:val="center"/>
          </w:tcPr>
          <w:p>
            <w:pPr>
              <w:pStyle w:val="TableContents"/>
              <w:bidi w:val="0"/>
              <w:spacing w:before="0" w:after="0"/>
              <w:ind w:left="0" w:right="0" w:hanging="0"/>
              <w:jc w:val="left"/>
              <w:rPr/>
            </w:pPr>
            <w:hyperlink w:anchor="Item6Exhibits_779881">
              <w:r>
                <w:rPr>
                  <w:rStyle w:val="InternetLink"/>
                  <w:rFonts w:ascii="Arial Narrow" w:hAnsi="Arial Narrow"/>
                  <w:b w:val="false"/>
                  <w:i w:val="false"/>
                  <w:caps w:val="false"/>
                  <w:smallCaps w:val="false"/>
                  <w:sz w:val="20"/>
                </w:rPr>
                <w:t>Item 6.</w:t>
              </w:r>
            </w:hyperlink>
          </w:p>
        </w:tc>
        <w:tc>
          <w:tcPr>
            <w:tcW w:w="6346" w:type="dxa"/>
            <w:tcBorders/>
            <w:shd w:fill="CEDBE0" w:val="clear"/>
            <w:vAlign w:val="center"/>
          </w:tcPr>
          <w:p>
            <w:pPr>
              <w:pStyle w:val="TableContents"/>
              <w:pBdr/>
              <w:bidi w:val="0"/>
              <w:spacing w:before="0" w:after="0"/>
              <w:ind w:left="0" w:right="0" w:hanging="0"/>
              <w:jc w:val="left"/>
              <w:rPr/>
            </w:pPr>
            <w:hyperlink w:anchor="Item6Exhibits_779881">
              <w:r>
                <w:rPr>
                  <w:rStyle w:val="InternetLink"/>
                  <w:rFonts w:ascii="Arial Narrow" w:hAnsi="Arial Narrow"/>
                  <w:b w:val="false"/>
                  <w:i w:val="false"/>
                  <w:caps w:val="false"/>
                  <w:smallCaps w:val="false"/>
                  <w:sz w:val="20"/>
                </w:rPr>
                <w:t>Exhibits</w:t>
              </w:r>
            </w:hyperlink>
          </w:p>
        </w:tc>
        <w:tc>
          <w:tcPr>
            <w:tcW w:w="541" w:type="dxa"/>
            <w:tcBorders/>
            <w:shd w:fill="CEDBE0" w:val="clear"/>
            <w:vAlign w:val="center"/>
          </w:tcPr>
          <w:p>
            <w:pPr>
              <w:pStyle w:val="TableContents"/>
              <w:bidi w:val="0"/>
              <w:spacing w:before="0" w:after="0"/>
              <w:ind w:left="0" w:right="144" w:hanging="0"/>
              <w:jc w:val="right"/>
              <w:rPr>
                <w:rFonts w:ascii="Arial Narrow" w:hAnsi="Arial Narrow"/>
                <w:sz w:val="20"/>
              </w:rPr>
            </w:pPr>
            <w:r>
              <w:rPr>
                <w:rFonts w:ascii="Arial Narrow" w:hAnsi="Arial Narrow"/>
                <w:sz w:val="20"/>
              </w:rPr>
              <w:t>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shd w:fill="00556F" w:val="clear"/>
        <w:bidi w:val="0"/>
        <w:spacing w:before="0" w:after="0"/>
        <w:ind w:left="0" w:right="0" w:hanging="1080"/>
        <w:jc w:val="center"/>
        <w:rPr>
          <w:rFonts w:ascii="Arial Narrow" w:hAnsi="Arial Narrow"/>
          <w:b/>
          <w:caps/>
          <w:color w:val="FFFFFF"/>
          <w:sz w:val="22"/>
        </w:rPr>
      </w:pPr>
      <w:bookmarkStart w:id="31" w:name="_81ab3ab4_b2b1_42c4_9c85_860288efac4a"/>
      <w:bookmarkEnd w:id="31"/>
      <w:r>
        <w:rPr>
          <w:rFonts w:ascii="Arial Narrow" w:hAnsi="Arial Narrow"/>
          <w:b/>
          <w:caps/>
          <w:color w:val="FFFFFF"/>
          <w:sz w:val="22"/>
        </w:rPr>
        <w:t>PART I. FINANCIAL INFORMATION</w:t>
      </w:r>
    </w:p>
    <w:p>
      <w:pPr>
        <w:pStyle w:val="Normal"/>
        <w:bidi w:val="0"/>
        <w:spacing w:before="0" w:after="0"/>
        <w:jc w:val="left"/>
        <w:rPr>
          <w:sz w:val="4"/>
          <w:szCs w:val="4"/>
        </w:rPr>
      </w:pPr>
      <w:r>
        <w:rPr>
          <w:sz w:val="4"/>
          <w:szCs w:val="4"/>
        </w:rPr>
      </w:r>
      <w:bookmarkStart w:id="32" w:name="Item1FinancialStatements"/>
      <w:bookmarkStart w:id="33" w:name="Item1FinancialStatements_644848"/>
      <w:bookmarkStart w:id="34" w:name="Item1FinancialStatements"/>
      <w:bookmarkStart w:id="35" w:name="Item1FinancialStatements_644848"/>
      <w:bookmarkEnd w:id="34"/>
      <w:bookmarkEnd w:id="35"/>
    </w:p>
    <w:tbl>
      <w:tblPr>
        <w:tblW w:w="3152" w:type="dxa"/>
        <w:jc w:val="left"/>
        <w:tblInd w:w="0" w:type="dxa"/>
        <w:tblLayout w:type="fixed"/>
        <w:tblCellMar>
          <w:top w:w="0" w:type="dxa"/>
          <w:left w:w="0" w:type="dxa"/>
          <w:bottom w:w="0" w:type="dxa"/>
          <w:right w:w="0" w:type="dxa"/>
        </w:tblCellMar>
      </w:tblPr>
      <w:tblGrid>
        <w:gridCol w:w="691"/>
        <w:gridCol w:w="2461"/>
      </w:tblGrid>
      <w:tr>
        <w:trPr/>
        <w:tc>
          <w:tcPr>
            <w:tcW w:w="691"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Item I.</w:t>
            </w:r>
          </w:p>
        </w:tc>
        <w:tc>
          <w:tcPr>
            <w:tcW w:w="2461"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Financial Statements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36" w:name="STATEMENTSOFOPERATIONS_303716"/>
      <w:bookmarkEnd w:id="36"/>
      <w:r>
        <w:rPr>
          <w:rFonts w:ascii="Arial Narrow" w:hAnsi="Arial Narrow"/>
          <w:b/>
          <w:caps/>
          <w:sz w:val="22"/>
        </w:rPr>
        <w:t>CONDENSED CONSOLIDATED STATEMENTS OF OPERATIONS</w:t>
      </w:r>
    </w:p>
    <w:p>
      <w:pPr>
        <w:pStyle w:val="TextBody"/>
        <w:bidi w:val="0"/>
        <w:spacing w:before="0" w:after="0"/>
        <w:ind w:left="0" w:right="0" w:hanging="0"/>
        <w:jc w:val="center"/>
        <w:rPr>
          <w:rFonts w:ascii="Arial Narrow" w:hAnsi="Arial Narrow"/>
          <w:sz w:val="20"/>
        </w:rPr>
      </w:pPr>
      <w:r>
        <w:rPr>
          <w:rFonts w:ascii="Arial Narrow" w:hAnsi="Arial Narrow"/>
          <w:sz w:val="20"/>
        </w:rPr>
        <w:t>(in millions, except per share data)</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 w:name="Tc_NV_Q3MpOGkSqa9zzdn0NXQ_33_0"/>
      <w:bookmarkStart w:id="38" w:name="Tc_HqVc-G2Gfk2TQPMjIGxBHA_32_0"/>
      <w:bookmarkStart w:id="39" w:name="Tc_FgkBHP2OxkClRI_cJLAKGA_31_0"/>
      <w:bookmarkStart w:id="40" w:name="Tc_McAG4mOxqUmBA_JywCy0-Q_29_5"/>
      <w:bookmarkStart w:id="41" w:name="Tc_JLutUh2vrkWZMoXx34bfHA_29_2"/>
      <w:bookmarkStart w:id="42" w:name="Tc_oHv0nWulP0m_ysgXKI1B-g_29_0"/>
      <w:bookmarkStart w:id="43" w:name="Tc_ZlCxCZC_1EewXEQST0TG3w_28_5"/>
      <w:bookmarkStart w:id="44" w:name="Tc_mvYLCrEgskSDP6eQi8Pf1Q_28_2"/>
      <w:bookmarkStart w:id="45" w:name="Tc_JFHosqGn70aT2PbKwW2Stw_28_0"/>
      <w:bookmarkStart w:id="46" w:name="Tc_sdoY4_rh_E-E8ZtO_K8hFg_27_0"/>
      <w:bookmarkStart w:id="47" w:name="Tc_jwKtFUBWSUSp3xrhdZcz_w_25_5"/>
      <w:bookmarkStart w:id="48" w:name="Tc_uIWYPysWtEe3ZrW6xQY_qw_25_2"/>
      <w:bookmarkStart w:id="49" w:name="Tc_FUyerIvMHUqUDRJsYeCcbw_25_0"/>
      <w:bookmarkStart w:id="50" w:name="Tc_0cmsa3Lc7UymIl4p2dkTIw_24_0"/>
      <w:bookmarkStart w:id="51" w:name="Tc_ncaSTlhcHEyior3oXoSHyw_23_0"/>
      <w:bookmarkStart w:id="52" w:name="Tc_qJ_TmPv5U0yEfgdEbMSmUw_20_0"/>
      <w:bookmarkStart w:id="53" w:name="Tc_J_r0ZnnnAEyyR25N7tjp0Q_19_6"/>
      <w:bookmarkStart w:id="54" w:name="Tc_vmu3BpeMbkyjKYjSWGlEXQ_19_0"/>
      <w:bookmarkStart w:id="55" w:name="Tc_R_hvJvHk9EOUQpu7rjnf1g_18_0"/>
      <w:bookmarkStart w:id="56" w:name="Tc_97Q5GgongE6eRJUlcCkrHA_17_0"/>
      <w:bookmarkStart w:id="57" w:name="Tc_xBCGdzN3mEu2RjEExEL7Gw_16_0"/>
      <w:bookmarkStart w:id="58" w:name="Tc_scvh6D5e-02B2aski1V5qQ_14_0"/>
      <w:bookmarkStart w:id="59" w:name="Tc_psFRloGkeEGk4IoV9iCMTg_13_0"/>
      <w:bookmarkStart w:id="60" w:name="Tc_qKaAYc-XqUa1ha0pL1ov2Q_10_0"/>
      <w:bookmarkStart w:id="61" w:name="Tc_7JkWQuKkm06eLbPA4QiHJQ_9_0"/>
      <w:bookmarkStart w:id="62" w:name="Tc_K8f9HR0PE0mIKT5ePzSDrA_7_0"/>
      <w:bookmarkStart w:id="63" w:name="Tc_6U-UeWzpR026-IhoY46Ezw_5_5"/>
      <w:bookmarkStart w:id="64" w:name="Tc_fJOAzinbeUGn0qUvhI173g_5_2"/>
      <w:bookmarkStart w:id="65" w:name="Tc_iqKUu6yDxkK4nORrwazKDw_3_5"/>
      <w:bookmarkStart w:id="66" w:name="Tc_yXcMYrJvbESLhwIcYw5l_Q_3_2"/>
      <w:bookmarkStart w:id="67" w:name="Tc_JKJ0w2tjyU2TR3hN1QFwqg_2_2"/>
      <w:bookmarkStart w:id="68" w:name="Tc_aMFgvn1wjUOh_PON-aSSVg_1_2"/>
      <w:bookmarkStart w:id="69" w:name="_539c272d_58a2_47f5_8441_083e28141735"/>
      <w:bookmarkStart w:id="70" w:name="Tc_NV_Q3MpOGkSqa9zzdn0NXQ_33_0"/>
      <w:bookmarkStart w:id="71" w:name="Tc_HqVc-G2Gfk2TQPMjIGxBHA_32_0"/>
      <w:bookmarkStart w:id="72" w:name="Tc_FgkBHP2OxkClRI_cJLAKGA_31_0"/>
      <w:bookmarkStart w:id="73" w:name="Tc_McAG4mOxqUmBA_JywCy0-Q_29_5"/>
      <w:bookmarkStart w:id="74" w:name="Tc_JLutUh2vrkWZMoXx34bfHA_29_2"/>
      <w:bookmarkStart w:id="75" w:name="Tc_oHv0nWulP0m_ysgXKI1B-g_29_0"/>
      <w:bookmarkStart w:id="76" w:name="Tc_ZlCxCZC_1EewXEQST0TG3w_28_5"/>
      <w:bookmarkStart w:id="77" w:name="Tc_mvYLCrEgskSDP6eQi8Pf1Q_28_2"/>
      <w:bookmarkStart w:id="78" w:name="Tc_JFHosqGn70aT2PbKwW2Stw_28_0"/>
      <w:bookmarkStart w:id="79" w:name="Tc_sdoY4_rh_E-E8ZtO_K8hFg_27_0"/>
      <w:bookmarkStart w:id="80" w:name="Tc_jwKtFUBWSUSp3xrhdZcz_w_25_5"/>
      <w:bookmarkStart w:id="81" w:name="Tc_uIWYPysWtEe3ZrW6xQY_qw_25_2"/>
      <w:bookmarkStart w:id="82" w:name="Tc_FUyerIvMHUqUDRJsYeCcbw_25_0"/>
      <w:bookmarkStart w:id="83" w:name="Tc_0cmsa3Lc7UymIl4p2dkTIw_24_0"/>
      <w:bookmarkStart w:id="84" w:name="Tc_ncaSTlhcHEyior3oXoSHyw_23_0"/>
      <w:bookmarkStart w:id="85" w:name="Tc_qJ_TmPv5U0yEfgdEbMSmUw_20_0"/>
      <w:bookmarkStart w:id="86" w:name="Tc_J_r0ZnnnAEyyR25N7tjp0Q_19_6"/>
      <w:bookmarkStart w:id="87" w:name="Tc_vmu3BpeMbkyjKYjSWGlEXQ_19_0"/>
      <w:bookmarkStart w:id="88" w:name="Tc_R_hvJvHk9EOUQpu7rjnf1g_18_0"/>
      <w:bookmarkStart w:id="89" w:name="Tc_97Q5GgongE6eRJUlcCkrHA_17_0"/>
      <w:bookmarkStart w:id="90" w:name="Tc_xBCGdzN3mEu2RjEExEL7Gw_16_0"/>
      <w:bookmarkStart w:id="91" w:name="Tc_scvh6D5e-02B2aski1V5qQ_14_0"/>
      <w:bookmarkStart w:id="92" w:name="Tc_psFRloGkeEGk4IoV9iCMTg_13_0"/>
      <w:bookmarkStart w:id="93" w:name="Tc_qKaAYc-XqUa1ha0pL1ov2Q_10_0"/>
      <w:bookmarkStart w:id="94" w:name="Tc_7JkWQuKkm06eLbPA4QiHJQ_9_0"/>
      <w:bookmarkStart w:id="95" w:name="Tc_K8f9HR0PE0mIKT5ePzSDrA_7_0"/>
      <w:bookmarkStart w:id="96" w:name="Tc_6U-UeWzpR026-IhoY46Ezw_5_5"/>
      <w:bookmarkStart w:id="97" w:name="Tc_fJOAzinbeUGn0qUvhI173g_5_2"/>
      <w:bookmarkStart w:id="98" w:name="Tc_iqKUu6yDxkK4nORrwazKDw_3_5"/>
      <w:bookmarkStart w:id="99" w:name="Tc_yXcMYrJvbESLhwIcYw5l_Q_3_2"/>
      <w:bookmarkStart w:id="100" w:name="Tc_JKJ0w2tjyU2TR3hN1QFwqg_2_2"/>
      <w:bookmarkStart w:id="101" w:name="Tc_aMFgvn1wjUOh_PON-aSSVg_1_2"/>
      <w:bookmarkStart w:id="102" w:name="_539c272d_58a2_47f5_8441_083e2814173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tbl>
      <w:tblPr>
        <w:tblW w:w="5343" w:type="dxa"/>
        <w:jc w:val="left"/>
        <w:tblInd w:w="0" w:type="dxa"/>
        <w:tblLayout w:type="fixed"/>
        <w:tblCellMar>
          <w:top w:w="0" w:type="dxa"/>
          <w:left w:w="0" w:type="dxa"/>
          <w:bottom w:w="0" w:type="dxa"/>
          <w:right w:w="0" w:type="dxa"/>
        </w:tblCellMar>
      </w:tblPr>
      <w:tblGrid>
        <w:gridCol w:w="3136"/>
        <w:gridCol w:w="286"/>
        <w:gridCol w:w="196"/>
        <w:gridCol w:w="511"/>
        <w:gridCol w:w="286"/>
        <w:gridCol w:w="196"/>
        <w:gridCol w:w="541"/>
        <w:gridCol w:w="191"/>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991360" cy="175260"/>
                      <wp:effectExtent l="0" t="0" r="0" b="0"/>
                      <wp:wrapNone/>
                      <wp:docPr id="2" name="Frame1"/>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610" cy="175260"/>
                      <wp:effectExtent l="0" t="0" r="0" b="0"/>
                      <wp:wrapNone/>
                      <wp:docPr id="3" name="Frame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4"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175260"/>
                      <wp:effectExtent l="0" t="0" r="0" b="0"/>
                      <wp:wrapNone/>
                      <wp:docPr id="5" name="Frame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81610" cy="175260"/>
                      <wp:effectExtent l="0" t="0" r="0" b="0"/>
                      <wp:wrapNone/>
                      <wp:docPr id="6" name="Frame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7"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43535" cy="175260"/>
                      <wp:effectExtent l="0" t="0" r="0" b="0"/>
                      <wp:wrapNone/>
                      <wp:docPr id="8" name="Frame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1285" cy="175260"/>
                      <wp:effectExtent l="0" t="0" r="0" b="0"/>
                      <wp:wrapNone/>
                      <wp:docPr id="9" name="Frame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730"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Three months ended </w:t>
            </w:r>
          </w:p>
        </w:tc>
        <w:tc>
          <w:tcPr>
            <w:tcW w:w="191" w:type="dxa"/>
            <w:tcBorders/>
            <w:vAlign w:val="center"/>
          </w:tcPr>
          <w:p>
            <w:pPr>
              <w:pStyle w:val="TableContents"/>
              <w:bidi w:val="0"/>
              <w:spacing w:before="0" w:after="0"/>
              <w:ind w:left="0" w:right="0" w:hanging="0"/>
              <w:jc w:val="center"/>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March 31, </w:t>
            </w:r>
          </w:p>
        </w:tc>
        <w:tc>
          <w:tcPr>
            <w:tcW w:w="191" w:type="dxa"/>
            <w:tcBorders/>
            <w:vAlign w:val="center"/>
          </w:tcPr>
          <w:p>
            <w:pPr>
              <w:pStyle w:val="TableContents"/>
              <w:bidi w:val="0"/>
              <w:spacing w:before="0" w:after="0"/>
              <w:ind w:left="0" w:right="0" w:hanging="0"/>
              <w:jc w:val="center"/>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center"/>
              <w:rPr/>
            </w:pPr>
            <w:r>
              <w:rPr/>
              <w:t>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b/>
                <w:i w:val="false"/>
                <w:caps w:val="false"/>
                <w:smallCaps w:val="false"/>
                <w:sz w:val="20"/>
              </w:rPr>
            </w:pPr>
            <w:r>
              <w:rPr>
                <w:rFonts w:ascii="Arial Narrow" w:hAnsi="Arial Narrow"/>
                <w:b/>
                <w:i w:val="false"/>
                <w:caps w:val="false"/>
                <w:smallCaps w:val="false"/>
                <w:sz w:val="20"/>
              </w:rPr>
              <w:t>Contract drilling revenues</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1,081</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906</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Costs and expenses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b w:val="false"/>
                <w:i w:val="false"/>
                <w:caps w:val="false"/>
                <w:smallCaps w:val="false"/>
                <w:sz w:val="20"/>
              </w:rPr>
            </w:pPr>
            <w:r>
              <w:rPr>
                <w:rFonts w:ascii="Arial Narrow" w:hAnsi="Arial Narrow"/>
                <w:b w:val="false"/>
                <w:i w:val="false"/>
                <w:caps w:val="false"/>
                <w:smallCaps w:val="false"/>
                <w:sz w:val="20"/>
              </w:rPr>
              <w:t>Operating and maintenance</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606</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618</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Depreciation and amortization</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176</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General and administrative</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49</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50</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798</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844</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Gain on disposal of assets, net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Operating income</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287</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64</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Other income (expense), net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Interest income</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Interest expense</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(276)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(116)</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Loss on retirement of debt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41" w:type="dxa"/>
            <w:tcBorders/>
            <w:shd w:fill="CEDBE0" w:val="clear"/>
            <w:vAlign w:val="center"/>
          </w:tcPr>
          <w:p>
            <w:pPr>
              <w:pStyle w:val="TableContents"/>
              <w:bidi w:val="0"/>
              <w:spacing w:before="0" w:after="0"/>
              <w:ind w:left="0" w:right="0" w:hanging="0"/>
              <w:jc w:val="righ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Other, net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(270)</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(104)</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Income (loss) before income taxes</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(40)</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Income tax expense (benefit)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(54)</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39</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6"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Net income (loss)</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71</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4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(79)</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Earnings (loss) per share</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Basic</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0.06</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(0.09)</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Diluted</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0.06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(0.11)</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Weighted-average shares outstanding</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Basic</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1,109</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883</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Diluted</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1,124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958</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- 1 -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103" w:name="_7d110859_02f6_44eb_a4af_e1a4fa20bbd9"/>
      <w:bookmarkEnd w:id="103"/>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104" w:name="COMPREHENSIVEINCOME_537868"/>
      <w:bookmarkEnd w:id="104"/>
      <w:r>
        <w:rPr>
          <w:rFonts w:ascii="Arial Narrow" w:hAnsi="Arial Narrow"/>
          <w:b/>
          <w:caps/>
          <w:sz w:val="22"/>
        </w:rPr>
        <w:t>CONDENSED CONSOLIDATED STATEMENTS OF COMPREHENSIVE INCOME (LOSS)</w:t>
      </w:r>
    </w:p>
    <w:p>
      <w:pPr>
        <w:pStyle w:val="TextBody"/>
        <w:bidi w:val="0"/>
        <w:spacing w:before="0" w:after="0"/>
        <w:ind w:left="0" w:right="0" w:hanging="0"/>
        <w:jc w:val="center"/>
        <w:rPr>
          <w:rFonts w:ascii="Arial Narrow" w:hAnsi="Arial Narrow"/>
          <w:sz w:val="20"/>
        </w:rPr>
      </w:pPr>
      <w:r>
        <w:rPr>
          <w:rFonts w:ascii="Arial Narrow" w:hAnsi="Arial Narrow"/>
          <w:sz w:val="20"/>
        </w:rPr>
        <w:t>(in millions)</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5" w:name="Tc_D8Hfunh5t02s4p5mjJUSAw_14_5"/>
      <w:bookmarkStart w:id="106" w:name="Tc_HI_JFFXGL0Cua-7tfUrSlg_14_2"/>
      <w:bookmarkStart w:id="107" w:name="Tc_YlkVOZN4lUW8fjMbEF80xw_14_0"/>
      <w:bookmarkStart w:id="108" w:name="Tc_gaFu-57A-0WfEuwzxJ82YQ_12_0"/>
      <w:bookmarkStart w:id="109" w:name="Tc_63QdD1FQaU6Fj8jd1swJlQ_10_6"/>
      <w:bookmarkStart w:id="110" w:name="Tc_wJbogOK8tkK5U4mfrWJ3cg_10_3"/>
      <w:bookmarkStart w:id="111" w:name="Tc_rWbCj29PkUa_gz5G55BFSg_10_0"/>
      <w:bookmarkStart w:id="112" w:name="Tc_wullNvLDGUepGnJORmEwIg_9_0"/>
      <w:bookmarkStart w:id="113" w:name="Tc_yl_otSf-3EaHRwkf4N09ag_8_6"/>
      <w:bookmarkStart w:id="114" w:name="Tc_fuPG0nAqBkaq0WTFK6X07g_8_3"/>
      <w:bookmarkStart w:id="115" w:name="Tc_qZdtpQGHx0Smqybg_nX22g_8_0"/>
      <w:bookmarkStart w:id="116" w:name="Tc_ffrsvUbwlESY8wG82xymAQ_7_0"/>
      <w:bookmarkStart w:id="117" w:name="Tc_seMZklge5kySMebvpHZ02Q_5_5"/>
      <w:bookmarkStart w:id="118" w:name="Tc_NyfCLpxiqkejhzELNVRbVQ_5_2"/>
      <w:bookmarkStart w:id="119" w:name="Tc_Wb9Cb4CjQkau-XTqamnMRA_5_0"/>
      <w:bookmarkStart w:id="120" w:name="Tc_KozmY1O7MkuxfUrT8Qo1Uw_3_5"/>
      <w:bookmarkStart w:id="121" w:name="Tc_S5GWP6Rad02JxBTLXdInIA_3_2"/>
      <w:bookmarkStart w:id="122" w:name="Tc_HTlx4rbfdEKBLa4yAZzUKA_2_2"/>
      <w:bookmarkStart w:id="123" w:name="Tc_RRTrYw7fKk6bam60qZ61jQ_1_2"/>
      <w:bookmarkStart w:id="124" w:name="_735e287b_5520_4a05_9956_9535f38451b5"/>
      <w:bookmarkStart w:id="125" w:name="Tc_D8Hfunh5t02s4p5mjJUSAw_14_5"/>
      <w:bookmarkStart w:id="126" w:name="Tc_HI_JFFXGL0Cua-7tfUrSlg_14_2"/>
      <w:bookmarkStart w:id="127" w:name="Tc_YlkVOZN4lUW8fjMbEF80xw_14_0"/>
      <w:bookmarkStart w:id="128" w:name="Tc_gaFu-57A-0WfEuwzxJ82YQ_12_0"/>
      <w:bookmarkStart w:id="129" w:name="Tc_63QdD1FQaU6Fj8jd1swJlQ_10_6"/>
      <w:bookmarkStart w:id="130" w:name="Tc_wJbogOK8tkK5U4mfrWJ3cg_10_3"/>
      <w:bookmarkStart w:id="131" w:name="Tc_rWbCj29PkUa_gz5G55BFSg_10_0"/>
      <w:bookmarkStart w:id="132" w:name="Tc_wullNvLDGUepGnJORmEwIg_9_0"/>
      <w:bookmarkStart w:id="133" w:name="Tc_yl_otSf-3EaHRwkf4N09ag_8_6"/>
      <w:bookmarkStart w:id="134" w:name="Tc_fuPG0nAqBkaq0WTFK6X07g_8_3"/>
      <w:bookmarkStart w:id="135" w:name="Tc_qZdtpQGHx0Smqybg_nX22g_8_0"/>
      <w:bookmarkStart w:id="136" w:name="Tc_ffrsvUbwlESY8wG82xymAQ_7_0"/>
      <w:bookmarkStart w:id="137" w:name="Tc_seMZklge5kySMebvpHZ02Q_5_5"/>
      <w:bookmarkStart w:id="138" w:name="Tc_NyfCLpxiqkejhzELNVRbVQ_5_2"/>
      <w:bookmarkStart w:id="139" w:name="Tc_Wb9Cb4CjQkau-XTqamnMRA_5_0"/>
      <w:bookmarkStart w:id="140" w:name="Tc_KozmY1O7MkuxfUrT8Qo1Uw_3_5"/>
      <w:bookmarkStart w:id="141" w:name="Tc_S5GWP6Rad02JxBTLXdInIA_3_2"/>
      <w:bookmarkStart w:id="142" w:name="Tc_HTlx4rbfdEKBLa4yAZzUKA_2_2"/>
      <w:bookmarkStart w:id="143" w:name="Tc_RRTrYw7fKk6bam60qZ61jQ_1_2"/>
      <w:bookmarkStart w:id="144" w:name="_735e287b_5520_4a05_9956_9535f38451b5"/>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tbl>
      <w:tblPr>
        <w:tblW w:w="6664" w:type="dxa"/>
        <w:jc w:val="left"/>
        <w:tblInd w:w="0" w:type="dxa"/>
        <w:tblLayout w:type="fixed"/>
        <w:tblCellMar>
          <w:top w:w="0" w:type="dxa"/>
          <w:left w:w="0" w:type="dxa"/>
          <w:bottom w:w="0" w:type="dxa"/>
          <w:right w:w="0" w:type="dxa"/>
        </w:tblCellMar>
      </w:tblPr>
      <w:tblGrid>
        <w:gridCol w:w="4666"/>
        <w:gridCol w:w="286"/>
        <w:gridCol w:w="213"/>
        <w:gridCol w:w="377"/>
        <w:gridCol w:w="312"/>
        <w:gridCol w:w="213"/>
        <w:gridCol w:w="443"/>
        <w:gridCol w:w="154"/>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962910" cy="175260"/>
                      <wp:effectExtent l="0" t="0" r="0" b="0"/>
                      <wp:wrapNone/>
                      <wp:docPr id="10" name="Frame9"/>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81610" cy="175260"/>
                      <wp:effectExtent l="0" t="0" r="0" b="0"/>
                      <wp:wrapNone/>
                      <wp:docPr id="11" name="Frame1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5255" cy="175260"/>
                      <wp:effectExtent l="0" t="0" r="0" b="0"/>
                      <wp:wrapNone/>
                      <wp:docPr id="12" name="Frame1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9395" cy="175260"/>
                      <wp:effectExtent l="0" t="0" r="0" b="0"/>
                      <wp:wrapNone/>
                      <wp:docPr id="13" name="Frame12"/>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98120" cy="175260"/>
                      <wp:effectExtent l="0" t="0" r="0" b="0"/>
                      <wp:wrapNone/>
                      <wp:docPr id="14" name="Frame13"/>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5255" cy="175260"/>
                      <wp:effectExtent l="0" t="0" r="0" b="0"/>
                      <wp:wrapNone/>
                      <wp:docPr id="15" name="Frame1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81305" cy="175260"/>
                      <wp:effectExtent l="0" t="0" r="0" b="0"/>
                      <wp:wrapNone/>
                      <wp:docPr id="16" name="Frame15"/>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7790" cy="175260"/>
                      <wp:effectExtent l="0" t="0" r="0" b="0"/>
                      <wp:wrapNone/>
                      <wp:docPr id="17" name="Frame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58"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March 31, </w:t>
            </w:r>
          </w:p>
        </w:tc>
        <w:tc>
          <w:tcPr>
            <w:tcW w:w="154" w:type="dxa"/>
            <w:tcBorders/>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312" w:type="dxa"/>
            <w:tcBorders/>
            <w:vAlign w:val="center"/>
          </w:tcPr>
          <w:p>
            <w:pPr>
              <w:pStyle w:val="TableContents"/>
              <w:bidi w:val="0"/>
              <w:spacing w:before="0" w:after="0"/>
              <w:ind w:left="0" w:right="0" w:hanging="0"/>
              <w:jc w:val="center"/>
              <w:rPr/>
            </w:pPr>
            <w:r>
              <w:rPr/>
              <w:t>  ​ ​</w:t>
            </w:r>
          </w:p>
        </w:tc>
        <w:tc>
          <w:tcPr>
            <w:tcW w:w="6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center"/>
              <w:rPr/>
            </w:pPr>
            <w:r>
              <w:rPr/>
              <w:t>​</w:t>
            </w:r>
          </w:p>
        </w:tc>
        <w:tc>
          <w:tcPr>
            <w:tcW w:w="377" w:type="dxa"/>
            <w:tcBorders/>
            <w:vAlign w:val="center"/>
          </w:tcPr>
          <w:p>
            <w:pPr>
              <w:pStyle w:val="TableContents"/>
              <w:bidi w:val="0"/>
              <w:spacing w:before="0" w:after="0"/>
              <w:ind w:left="0" w:right="0" w:hanging="0"/>
              <w:jc w:val="center"/>
              <w:rPr/>
            </w:pPr>
            <w:r>
              <w:rPr/>
              <w:t>​</w:t>
            </w:r>
          </w:p>
        </w:tc>
        <w:tc>
          <w:tcPr>
            <w:tcW w:w="312"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443"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6" w:type="dxa"/>
            <w:tcBorders/>
            <w:shd w:fill="CEDBE0" w:val="clear"/>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Net income (loss)</w:t>
            </w:r>
          </w:p>
        </w:tc>
        <w:tc>
          <w:tcPr>
            <w:tcW w:w="286" w:type="dxa"/>
            <w:tcBorders/>
            <w:shd w:fill="CEDBE0" w:val="clear"/>
            <w:vAlign w:val="center"/>
          </w:tcPr>
          <w:p>
            <w:pPr>
              <w:pStyle w:val="TableContents"/>
              <w:bidi w:val="0"/>
              <w:spacing w:before="0" w:after="0"/>
              <w:ind w:left="0" w:right="0" w:hanging="0"/>
              <w:jc w:val="both"/>
              <w:rPr/>
            </w:pPr>
            <w:r>
              <w:rPr/>
              <w:t>​</w:t>
            </w:r>
          </w:p>
        </w:tc>
        <w:tc>
          <w:tcPr>
            <w:tcW w:w="213"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377"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71</w:t>
            </w:r>
          </w:p>
        </w:tc>
        <w:tc>
          <w:tcPr>
            <w:tcW w:w="312" w:type="dxa"/>
            <w:tcBorders/>
            <w:shd w:fill="CEDBE0" w:val="clear"/>
            <w:vAlign w:val="center"/>
          </w:tcPr>
          <w:p>
            <w:pPr>
              <w:pStyle w:val="TableContents"/>
              <w:bidi w:val="0"/>
              <w:spacing w:before="0" w:after="0"/>
              <w:ind w:left="0" w:right="0" w:hanging="0"/>
              <w:jc w:val="left"/>
              <w:rPr/>
            </w:pPr>
            <w:r>
              <w:rPr/>
              <w:t>​</w:t>
            </w:r>
          </w:p>
        </w:tc>
        <w:tc>
          <w:tcPr>
            <w:tcW w:w="213"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43"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(79)</w:t>
            </w:r>
          </w:p>
        </w:tc>
        <w:tc>
          <w:tcPr>
            <w:tcW w:w="154" w:type="dxa"/>
            <w:tcBorders/>
            <w:shd w:fill="CEDBE0" w:val="clear"/>
            <w:vAlign w:val="center"/>
          </w:tcPr>
          <w:p>
            <w:pPr>
              <w:pStyle w:val="TableContents"/>
              <w:bidi w:val="0"/>
              <w:spacing w:before="0" w:after="0"/>
              <w:ind w:left="0" w:right="0" w:hanging="0"/>
              <w:jc w:val="both"/>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Components of net periodic benefit costs before reclassifications</w:t>
            </w:r>
          </w:p>
        </w:tc>
        <w:tc>
          <w:tcPr>
            <w:tcW w:w="286" w:type="dxa"/>
            <w:tcBorders/>
            <w:shd w:fill="CEDBE0" w:val="clear"/>
            <w:vAlign w:val="center"/>
          </w:tcPr>
          <w:p>
            <w:pPr>
              <w:pStyle w:val="TableContents"/>
              <w:bidi w:val="0"/>
              <w:spacing w:before="0" w:after="0"/>
              <w:ind w:left="0" w:right="0" w:hanging="0"/>
              <w:jc w:val="left"/>
              <w:rPr/>
            </w:pPr>
            <w:r>
              <w:rPr/>
              <w:t>​</w:t>
            </w:r>
          </w:p>
        </w:tc>
        <w:tc>
          <w:tcPr>
            <w:tcW w:w="213" w:type="dxa"/>
            <w:tcBorders/>
            <w:shd w:fill="CEDBE0" w:val="clear"/>
            <w:vAlign w:val="center"/>
          </w:tcPr>
          <w:p>
            <w:pPr>
              <w:pStyle w:val="TableContents"/>
              <w:bidi w:val="0"/>
              <w:spacing w:before="0" w:after="0"/>
              <w:ind w:left="0" w:right="0" w:hanging="0"/>
              <w:jc w:val="left"/>
              <w:rPr/>
            </w:pPr>
            <w:r>
              <w:rPr/>
              <w:t>​</w:t>
            </w:r>
          </w:p>
        </w:tc>
        <w:tc>
          <w:tcPr>
            <w:tcW w:w="377"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w:t>
            </w:r>
          </w:p>
        </w:tc>
        <w:tc>
          <w:tcPr>
            <w:tcW w:w="312" w:type="dxa"/>
            <w:tcBorders/>
            <w:shd w:fill="CEDBE0" w:val="clear"/>
            <w:vAlign w:val="center"/>
          </w:tcPr>
          <w:p>
            <w:pPr>
              <w:pStyle w:val="TableContents"/>
              <w:bidi w:val="0"/>
              <w:spacing w:before="0" w:after="0"/>
              <w:ind w:left="0" w:right="0" w:hanging="0"/>
              <w:jc w:val="left"/>
              <w:rPr/>
            </w:pPr>
            <w:r>
              <w:rPr/>
              <w:t>​</w:t>
            </w:r>
          </w:p>
        </w:tc>
        <w:tc>
          <w:tcPr>
            <w:tcW w:w="213" w:type="dxa"/>
            <w:tcBorders/>
            <w:shd w:fill="CEDBE0" w:val="clear"/>
            <w:vAlign w:val="center"/>
          </w:tcPr>
          <w:p>
            <w:pPr>
              <w:pStyle w:val="TableContents"/>
              <w:bidi w:val="0"/>
              <w:spacing w:before="0" w:after="0"/>
              <w:ind w:left="0" w:right="0" w:hanging="0"/>
              <w:jc w:val="left"/>
              <w:rPr/>
            </w:pPr>
            <w:r>
              <w:rPr/>
              <w:t>​</w:t>
            </w:r>
          </w:p>
        </w:tc>
        <w:tc>
          <w:tcPr>
            <w:tcW w:w="443"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c>
          <w:tcPr>
            <w:tcW w:w="154" w:type="dxa"/>
            <w:tcBorders/>
            <w:shd w:fill="CEDBE0" w:val="clear"/>
            <w:vAlign w:val="center"/>
          </w:tcPr>
          <w:p>
            <w:pPr>
              <w:pStyle w:val="TableContents"/>
              <w:bidi w:val="0"/>
              <w:spacing w:before="0" w:after="0"/>
              <w:ind w:left="0" w:right="0" w:hanging="0"/>
              <w:jc w:val="left"/>
              <w:rPr/>
            </w:pPr>
            <w:r>
              <w:rPr/>
              <w:t>​</w:t>
            </w:r>
          </w:p>
        </w:tc>
      </w:tr>
      <w:tr>
        <w:trPr/>
        <w:tc>
          <w:tcPr>
            <w:tcW w:w="466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Components of net periodic benefit costs reclassified to net 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666" w:type="dxa"/>
            <w:tcBorders/>
            <w:shd w:fill="CEDBE0" w:val="clear"/>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Other comprehensive income (loss) before income taxes</w:t>
            </w:r>
          </w:p>
        </w:tc>
        <w:tc>
          <w:tcPr>
            <w:tcW w:w="286" w:type="dxa"/>
            <w:tcBorders/>
            <w:shd w:fill="CEDBE0" w:val="clear"/>
            <w:vAlign w:val="center"/>
          </w:tcPr>
          <w:p>
            <w:pPr>
              <w:pStyle w:val="TableContents"/>
              <w:bidi w:val="0"/>
              <w:spacing w:before="0" w:after="0"/>
              <w:ind w:left="0" w:right="0" w:hanging="0"/>
              <w:jc w:val="left"/>
              <w:rPr/>
            </w:pPr>
            <w:r>
              <w:rPr/>
              <w:t>​</w:t>
            </w:r>
          </w:p>
        </w:tc>
        <w:tc>
          <w:tcPr>
            <w:tcW w:w="213" w:type="dxa"/>
            <w:tcBorders/>
            <w:shd w:fill="CEDBE0" w:val="clear"/>
            <w:vAlign w:val="center"/>
          </w:tcPr>
          <w:p>
            <w:pPr>
              <w:pStyle w:val="TableContents"/>
              <w:bidi w:val="0"/>
              <w:spacing w:before="0" w:after="0"/>
              <w:ind w:left="0" w:right="0" w:hanging="0"/>
              <w:jc w:val="left"/>
              <w:rPr/>
            </w:pPr>
            <w:r>
              <w:rPr/>
              <w:t>​</w:t>
            </w:r>
          </w:p>
        </w:tc>
        <w:tc>
          <w:tcPr>
            <w:tcW w:w="377"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w:t>
            </w:r>
          </w:p>
        </w:tc>
        <w:tc>
          <w:tcPr>
            <w:tcW w:w="312" w:type="dxa"/>
            <w:tcBorders/>
            <w:shd w:fill="CEDBE0" w:val="clear"/>
            <w:vAlign w:val="center"/>
          </w:tcPr>
          <w:p>
            <w:pPr>
              <w:pStyle w:val="TableContents"/>
              <w:bidi w:val="0"/>
              <w:spacing w:before="0" w:after="0"/>
              <w:ind w:left="0" w:right="0" w:hanging="0"/>
              <w:jc w:val="left"/>
              <w:rPr/>
            </w:pPr>
            <w:r>
              <w:rPr/>
              <w:t>​</w:t>
            </w:r>
          </w:p>
        </w:tc>
        <w:tc>
          <w:tcPr>
            <w:tcW w:w="213" w:type="dxa"/>
            <w:tcBorders/>
            <w:shd w:fill="CEDBE0" w:val="clear"/>
            <w:vAlign w:val="center"/>
          </w:tcPr>
          <w:p>
            <w:pPr>
              <w:pStyle w:val="TableContents"/>
              <w:bidi w:val="0"/>
              <w:spacing w:before="0" w:after="0"/>
              <w:ind w:left="0" w:right="0" w:hanging="0"/>
              <w:jc w:val="left"/>
              <w:rPr/>
            </w:pPr>
            <w:r>
              <w:rPr/>
              <w:t>​</w:t>
            </w:r>
          </w:p>
        </w:tc>
        <w:tc>
          <w:tcPr>
            <w:tcW w:w="443"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c>
          <w:tcPr>
            <w:tcW w:w="154" w:type="dxa"/>
            <w:tcBorders/>
            <w:shd w:fill="CEDBE0" w:val="clear"/>
            <w:vAlign w:val="center"/>
          </w:tcPr>
          <w:p>
            <w:pPr>
              <w:pStyle w:val="TableContents"/>
              <w:bidi w:val="0"/>
              <w:spacing w:before="0" w:after="0"/>
              <w:ind w:left="0" w:right="0" w:hanging="0"/>
              <w:jc w:val="left"/>
              <w:rPr/>
            </w:pPr>
            <w:r>
              <w:rPr/>
              <w:t>​</w:t>
            </w:r>
          </w:p>
        </w:tc>
      </w:tr>
      <w:tr>
        <w:trPr/>
        <w:tc>
          <w:tcPr>
            <w:tcW w:w="466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Income taxes related to other comprehensive income (loss)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right"/>
              <w:rPr/>
            </w:pPr>
            <w:r>
              <w:rPr/>
              <w:t>​</w:t>
            </w:r>
          </w:p>
        </w:tc>
        <w:tc>
          <w:tcPr>
            <w:tcW w:w="312"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66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Other comprehensive income (loss)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w:t>
            </w:r>
          </w:p>
        </w:tc>
        <w:tc>
          <w:tcPr>
            <w:tcW w:w="312"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c>
          <w:tcPr>
            <w:tcW w:w="154"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right"/>
              <w:rPr/>
            </w:pPr>
            <w:r>
              <w:rPr/>
              <w:t>​</w:t>
            </w:r>
          </w:p>
        </w:tc>
        <w:tc>
          <w:tcPr>
            <w:tcW w:w="312"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666"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Total comprehensive income (loss)</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213"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377"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76</w:t>
            </w:r>
          </w:p>
        </w:tc>
        <w:tc>
          <w:tcPr>
            <w:tcW w:w="312"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13"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43"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(82)</w:t>
            </w:r>
          </w:p>
        </w:tc>
        <w:tc>
          <w:tcPr>
            <w:tcW w:w="154"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- 2 -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145" w:name="_13a1c639_5002_44c4_a7d3_bf69e3d1ac0a"/>
      <w:bookmarkEnd w:id="145"/>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146" w:name="BALANCESHEETS_727729"/>
      <w:bookmarkEnd w:id="146"/>
      <w:r>
        <w:rPr>
          <w:rFonts w:ascii="Arial Narrow" w:hAnsi="Arial Narrow"/>
          <w:b/>
          <w:caps/>
          <w:sz w:val="22"/>
        </w:rPr>
        <w:t>CONDENSED CONSOLIDATED BALANCE SHEETS</w:t>
      </w:r>
    </w:p>
    <w:p>
      <w:pPr>
        <w:pStyle w:val="TextBody"/>
        <w:bidi w:val="0"/>
        <w:spacing w:before="0" w:after="0"/>
        <w:ind w:left="0" w:right="0" w:hanging="0"/>
        <w:jc w:val="center"/>
        <w:rPr>
          <w:rFonts w:ascii="Arial Narrow" w:hAnsi="Arial Narrow"/>
          <w:sz w:val="20"/>
        </w:rPr>
      </w:pPr>
      <w:r>
        <w:rPr>
          <w:rFonts w:ascii="Arial Narrow" w:hAnsi="Arial Narrow"/>
          <w:sz w:val="20"/>
        </w:rPr>
        <w:t>(in millions, except par value)</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7" w:name="Tc_a5dDJD5R00On2NzhhPe1Pg_40_5"/>
      <w:bookmarkStart w:id="148" w:name="Tc_Ets9n6l8gkSkWb9DPrvDOw_40_2"/>
      <w:bookmarkStart w:id="149" w:name="Tc_biLzNY6qwUWOyJSmwu8Iqw_40_0"/>
      <w:bookmarkStart w:id="150" w:name="Tc_f66YTnCEXkadPpLMYtLDJg_39_0"/>
      <w:bookmarkStart w:id="151" w:name="Tc_smpM5-WYREaW5E9Ro1xCwQ_38_0"/>
      <w:bookmarkStart w:id="152" w:name="Tc_PCoCnY6BdEyaYARYk2D6iQ_37_0"/>
      <w:bookmarkStart w:id="153" w:name="Tc_o6znt06RhECwO97LedXZwQ_36_0"/>
      <w:bookmarkStart w:id="154" w:name="Tc_c8zTY8NbrEq0nwop40p_zA_35_0"/>
      <w:bookmarkStart w:id="155" w:name="Tc_ImQzMfZAgkGtAuBKMdY6NA_34_0"/>
      <w:bookmarkStart w:id="156" w:name="Tc_o7xKFdrePE-lbmelwuPA_Q_32_0"/>
      <w:bookmarkStart w:id="157" w:name="Tc_sda0RZzOXkqwWojeyPWGOg_30_0"/>
      <w:bookmarkStart w:id="158" w:name="Tc_qzbjwh5XekeDKQmWjBO20A_29_0"/>
      <w:bookmarkStart w:id="159" w:name="Tc_Q7T2uQJfFkWvsjy6mh6VMQ_28_0"/>
      <w:bookmarkStart w:id="160" w:name="Tc_hw4JuFkZdk6vtdKHsorqzw_27_0"/>
      <w:bookmarkStart w:id="161" w:name="Tc_3zDOizaoRUGvNWEpd06Log_25_0"/>
      <w:bookmarkStart w:id="162" w:name="Tc_MnHsdyQ97kGezs2-GZcrbQ_24_0"/>
      <w:bookmarkStart w:id="163" w:name="Tc_QiSohOcqsk-M9m_Ux0H_eQ_23_0"/>
      <w:bookmarkStart w:id="164" w:name="Tc_76JfH04u4kGqpaYjCTdT1A_22_0"/>
      <w:bookmarkStart w:id="165" w:name="Tc_oyE5_t0-F0qveea_p15zxg_21_5"/>
      <w:bookmarkStart w:id="166" w:name="Tc_7nZerrQZOU2-rsyKdSj2QA_21_2"/>
      <w:bookmarkStart w:id="167" w:name="Tc_sqZUYTgdb06pQpEKZho0gQ_21_0"/>
      <w:bookmarkStart w:id="168" w:name="Tc_wjwy5tKQQEu-KX_ZDo2UCA_20_0"/>
      <w:bookmarkStart w:id="169" w:name="Tc_EGcyH5HWFEKzFiFzwUtn0w_18_5"/>
      <w:bookmarkStart w:id="170" w:name="Tc_FMZ5ef_dRUSb890zLfIHpw_18_2"/>
      <w:bookmarkStart w:id="171" w:name="Tc_ksjOz2BXcEuEon3_790PKA_18_0"/>
      <w:bookmarkStart w:id="172" w:name="Tc_FWb0prIBWk-mk9qqP3fzOQ_17_0"/>
      <w:bookmarkStart w:id="173" w:name="Tc_nNHLh67D60qUOBunqe7qIQ_16_0"/>
      <w:bookmarkStart w:id="174" w:name="Tc_KYNU-6ivF0SKx7klAEEuuA_14_0"/>
      <w:bookmarkStart w:id="175" w:name="Tc_ICPJMGCAXkCYyZ2JxOpnjA_13_0"/>
      <w:bookmarkStart w:id="176" w:name="Tc_OMk2FxsYg0-qrT_ZrDPr6A_12_0"/>
      <w:bookmarkStart w:id="177" w:name="Tc_m1GQLc2hrkSigle8Dex_4A_10_0"/>
      <w:bookmarkStart w:id="178" w:name="Tc_JfNr_tbTSkOqTOtiGZkCIA_9_0"/>
      <w:bookmarkStart w:id="179" w:name="Tc_ESdIe2OuJ06kXNC4MrTu-Q_8_0"/>
      <w:bookmarkStart w:id="180" w:name="Tc_tQWHuxK_jEeuAlOyjw1Ghg_7_0"/>
      <w:bookmarkStart w:id="181" w:name="Tc_EQ4E7fN1XUaSQlmhqWSPvA_6_0"/>
      <w:bookmarkStart w:id="182" w:name="Tc_i0FgpFse4kCHzVj-RUZdLg_5_0"/>
      <w:bookmarkStart w:id="183" w:name="Tc_1_yiaPIFs02hg3SakocHng_4_5"/>
      <w:bookmarkStart w:id="184" w:name="Tc_M6L9_2jmdE6MvVoUGFhZcg_4_2"/>
      <w:bookmarkStart w:id="185" w:name="Tc_eaGSqEwWdkit2ONkyaGWwg_4_0"/>
      <w:bookmarkStart w:id="186" w:name="Tc_N0e6lZK6OECMkmB6tXVTdQ_3_0"/>
      <w:bookmarkStart w:id="187" w:name="Tc_bKYxJUr0DUK1pHNM3d8dIQ_2_5"/>
      <w:bookmarkStart w:id="188" w:name="Tc_i0V3C-L6j0-dcxfAqkX_GA_2_2"/>
      <w:bookmarkStart w:id="189" w:name="Tc_-33r1CcjoEW4tA5beCkNNw_1_5"/>
      <w:bookmarkStart w:id="190" w:name="Tc_BZSrdNJsqk6-PTNJCrDKkw_1_2"/>
      <w:bookmarkStart w:id="191" w:name="_52d1ddb8_0329_4cb1_a265_5c7b0cb2d784"/>
      <w:bookmarkStart w:id="192" w:name="Tc_a5dDJD5R00On2NzhhPe1Pg_40_5"/>
      <w:bookmarkStart w:id="193" w:name="Tc_Ets9n6l8gkSkWb9DPrvDOw_40_2"/>
      <w:bookmarkStart w:id="194" w:name="Tc_biLzNY6qwUWOyJSmwu8Iqw_40_0"/>
      <w:bookmarkStart w:id="195" w:name="Tc_f66YTnCEXkadPpLMYtLDJg_39_0"/>
      <w:bookmarkStart w:id="196" w:name="Tc_smpM5-WYREaW5E9Ro1xCwQ_38_0"/>
      <w:bookmarkStart w:id="197" w:name="Tc_PCoCnY6BdEyaYARYk2D6iQ_37_0"/>
      <w:bookmarkStart w:id="198" w:name="Tc_o6znt06RhECwO97LedXZwQ_36_0"/>
      <w:bookmarkStart w:id="199" w:name="Tc_c8zTY8NbrEq0nwop40p_zA_35_0"/>
      <w:bookmarkStart w:id="200" w:name="Tc_ImQzMfZAgkGtAuBKMdY6NA_34_0"/>
      <w:bookmarkStart w:id="201" w:name="Tc_o7xKFdrePE-lbmelwuPA_Q_32_0"/>
      <w:bookmarkStart w:id="202" w:name="Tc_sda0RZzOXkqwWojeyPWGOg_30_0"/>
      <w:bookmarkStart w:id="203" w:name="Tc_qzbjwh5XekeDKQmWjBO20A_29_0"/>
      <w:bookmarkStart w:id="204" w:name="Tc_Q7T2uQJfFkWvsjy6mh6VMQ_28_0"/>
      <w:bookmarkStart w:id="205" w:name="Tc_hw4JuFkZdk6vtdKHsorqzw_27_0"/>
      <w:bookmarkStart w:id="206" w:name="Tc_3zDOizaoRUGvNWEpd06Log_25_0"/>
      <w:bookmarkStart w:id="207" w:name="Tc_MnHsdyQ97kGezs2-GZcrbQ_24_0"/>
      <w:bookmarkStart w:id="208" w:name="Tc_QiSohOcqsk-M9m_Ux0H_eQ_23_0"/>
      <w:bookmarkStart w:id="209" w:name="Tc_76JfH04u4kGqpaYjCTdT1A_22_0"/>
      <w:bookmarkStart w:id="210" w:name="Tc_oyE5_t0-F0qveea_p15zxg_21_5"/>
      <w:bookmarkStart w:id="211" w:name="Tc_7nZerrQZOU2-rsyKdSj2QA_21_2"/>
      <w:bookmarkStart w:id="212" w:name="Tc_sqZUYTgdb06pQpEKZho0gQ_21_0"/>
      <w:bookmarkStart w:id="213" w:name="Tc_wjwy5tKQQEu-KX_ZDo2UCA_20_0"/>
      <w:bookmarkStart w:id="214" w:name="Tc_EGcyH5HWFEKzFiFzwUtn0w_18_5"/>
      <w:bookmarkStart w:id="215" w:name="Tc_FMZ5ef_dRUSb890zLfIHpw_18_2"/>
      <w:bookmarkStart w:id="216" w:name="Tc_ksjOz2BXcEuEon3_790PKA_18_0"/>
      <w:bookmarkStart w:id="217" w:name="Tc_FWb0prIBWk-mk9qqP3fzOQ_17_0"/>
      <w:bookmarkStart w:id="218" w:name="Tc_nNHLh67D60qUOBunqe7qIQ_16_0"/>
      <w:bookmarkStart w:id="219" w:name="Tc_KYNU-6ivF0SKx7klAEEuuA_14_0"/>
      <w:bookmarkStart w:id="220" w:name="Tc_ICPJMGCAXkCYyZ2JxOpnjA_13_0"/>
      <w:bookmarkStart w:id="221" w:name="Tc_OMk2FxsYg0-qrT_ZrDPr6A_12_0"/>
      <w:bookmarkStart w:id="222" w:name="Tc_m1GQLc2hrkSigle8Dex_4A_10_0"/>
      <w:bookmarkStart w:id="223" w:name="Tc_JfNr_tbTSkOqTOtiGZkCIA_9_0"/>
      <w:bookmarkStart w:id="224" w:name="Tc_ESdIe2OuJ06kXNC4MrTu-Q_8_0"/>
      <w:bookmarkStart w:id="225" w:name="Tc_tQWHuxK_jEeuAlOyjw1Ghg_7_0"/>
      <w:bookmarkStart w:id="226" w:name="Tc_EQ4E7fN1XUaSQlmhqWSPvA_6_0"/>
      <w:bookmarkStart w:id="227" w:name="Tc_i0FgpFse4kCHzVj-RUZdLg_5_0"/>
      <w:bookmarkStart w:id="228" w:name="Tc_1_yiaPIFs02hg3SakocHng_4_5"/>
      <w:bookmarkStart w:id="229" w:name="Tc_M6L9_2jmdE6MvVoUGFhZcg_4_2"/>
      <w:bookmarkStart w:id="230" w:name="Tc_eaGSqEwWdkit2ONkyaGWwg_4_0"/>
      <w:bookmarkStart w:id="231" w:name="Tc_N0e6lZK6OECMkmB6tXVTdQ_3_0"/>
      <w:bookmarkStart w:id="232" w:name="Tc_bKYxJUr0DUK1pHNM3d8dIQ_2_5"/>
      <w:bookmarkStart w:id="233" w:name="Tc_i0V3C-L6j0-dcxfAqkX_GA_2_2"/>
      <w:bookmarkStart w:id="234" w:name="Tc_-33r1CcjoEW4tA5beCkNNw_1_5"/>
      <w:bookmarkStart w:id="235" w:name="Tc_BZSrdNJsqk6-PTNJCrDKkw_1_2"/>
      <w:bookmarkStart w:id="236" w:name="_52d1ddb8_0329_4cb1_a265_5c7b0cb2d784"/>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tbl>
      <w:tblPr>
        <w:tblW w:w="9959" w:type="dxa"/>
        <w:jc w:val="left"/>
        <w:tblInd w:w="0" w:type="dxa"/>
        <w:tblLayout w:type="fixed"/>
        <w:tblCellMar>
          <w:top w:w="0" w:type="dxa"/>
          <w:left w:w="0" w:type="dxa"/>
          <w:bottom w:w="0" w:type="dxa"/>
          <w:right w:w="0" w:type="dxa"/>
        </w:tblCellMar>
      </w:tblPr>
      <w:tblGrid>
        <w:gridCol w:w="7321"/>
        <w:gridCol w:w="286"/>
        <w:gridCol w:w="203"/>
        <w:gridCol w:w="607"/>
        <w:gridCol w:w="286"/>
        <w:gridCol w:w="271"/>
        <w:gridCol w:w="794"/>
        <w:gridCol w:w="191"/>
      </w:tblGrid>
      <w:tr>
        <w:trPr/>
        <w:tc>
          <w:tcPr>
            <w:tcW w:w="7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648835" cy="175260"/>
                      <wp:effectExtent l="0" t="0" r="0" b="0"/>
                      <wp:wrapNone/>
                      <wp:docPr id="18" name="Frame17"/>
                      <a:graphic xmlns:a="http://schemas.openxmlformats.org/drawingml/2006/main">
                        <a:graphicData uri="http://schemas.microsoft.com/office/word/2010/wordprocessingShape">
                          <wps:wsp>
                            <wps:cNvSpPr txBox="1"/>
                            <wps:spPr>
                              <a:xfrm>
                                <a:off x="0" y="0"/>
                                <a:ext cx="464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81610" cy="175260"/>
                      <wp:effectExtent l="0" t="0" r="0" b="0"/>
                      <wp:wrapNone/>
                      <wp:docPr id="19" name="Frame1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8905" cy="175260"/>
                      <wp:effectExtent l="0" t="0" r="0" b="0"/>
                      <wp:wrapNone/>
                      <wp:docPr id="20" name="Frame1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5445" cy="175260"/>
                      <wp:effectExtent l="0" t="0" r="0" b="0"/>
                      <wp:wrapNone/>
                      <wp:docPr id="21" name="Frame20"/>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81610" cy="175260"/>
                      <wp:effectExtent l="0" t="0" r="0" b="0"/>
                      <wp:wrapNone/>
                      <wp:docPr id="22" name="Frame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2085" cy="175260"/>
                      <wp:effectExtent l="0" t="0" r="0" b="0"/>
                      <wp:wrapNone/>
                      <wp:docPr id="23" name="Frame2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4190" cy="175260"/>
                      <wp:effectExtent l="0" t="0" r="0" b="0"/>
                      <wp:wrapNone/>
                      <wp:docPr id="24" name="Frame23"/>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5" name="Frame2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March 31, </w:t>
            </w:r>
          </w:p>
        </w:tc>
        <w:tc>
          <w:tcPr>
            <w:tcW w:w="28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December 31, </w:t>
            </w:r>
          </w:p>
        </w:tc>
        <w:tc>
          <w:tcPr>
            <w:tcW w:w="191" w:type="dxa"/>
            <w:tcBorders/>
            <w:vAlign w:val="center"/>
          </w:tcPr>
          <w:p>
            <w:pPr>
              <w:pStyle w:val="TableContents"/>
              <w:bidi w:val="0"/>
              <w:spacing w:before="0" w:after="0"/>
              <w:ind w:left="0" w:right="0" w:hanging="0"/>
              <w:jc w:val="center"/>
              <w:rPr/>
            </w:pPr>
            <w:r>
              <w:rPr/>
              <w:t>​</w:t>
            </w:r>
          </w:p>
        </w:tc>
      </w:tr>
      <w:tr>
        <w:trPr/>
        <w:tc>
          <w:tcPr>
            <w:tcW w:w="73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center"/>
              <w:rPr/>
            </w:pPr>
            <w:r>
              <w:rPr/>
              <w:t>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7321"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Assets</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Cash and cash equivalents</w:t>
            </w:r>
          </w:p>
        </w:tc>
        <w:tc>
          <w:tcPr>
            <w:tcW w:w="286" w:type="dxa"/>
            <w:tcBorders/>
            <w:shd w:fill="CEDBE0" w:val="clear"/>
            <w:vAlign w:val="center"/>
          </w:tcPr>
          <w:p>
            <w:pPr>
              <w:pStyle w:val="TableContents"/>
              <w:bidi w:val="0"/>
              <w:spacing w:before="0" w:after="0"/>
              <w:ind w:left="0" w:right="0" w:hanging="0"/>
              <w:jc w:val="left"/>
              <w:rPr/>
            </w:pPr>
            <w:r>
              <w:rPr/>
              <w:t> </w:t>
            </w:r>
          </w:p>
        </w:tc>
        <w:tc>
          <w:tcPr>
            <w:tcW w:w="203"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330</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620</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Accounts receivable, net of allowance of $2 at March 31, 2026 and December 31, 2025</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638</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540</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Materials and supplies, net of allowance of $144 and $140 at March 31, 2026 and December 31, 2025, respectively</w:t>
            </w:r>
          </w:p>
        </w:tc>
        <w:tc>
          <w:tcPr>
            <w:tcW w:w="286" w:type="dxa"/>
            <w:tcBorders/>
            <w:shd w:fill="CEDBE0" w:val="clear"/>
            <w:vAlign w:val="center"/>
          </w:tcPr>
          <w:p>
            <w:pPr>
              <w:pStyle w:val="TableContents"/>
              <w:bidi w:val="0"/>
              <w:spacing w:before="0" w:after="0"/>
              <w:ind w:left="0" w:right="0" w:hanging="0"/>
              <w:jc w:val="left"/>
              <w:rPr/>
            </w:pPr>
            <w:r>
              <w:rPr/>
              <w:t>​</w:t>
            </w:r>
          </w:p>
        </w:tc>
        <w:tc>
          <w:tcPr>
            <w:tcW w:w="203" w:type="dxa"/>
            <w:tcBorders/>
            <w:shd w:fill="CEDBE0" w:val="clear"/>
            <w:vAlign w:val="center"/>
          </w:tcPr>
          <w:p>
            <w:pPr>
              <w:pStyle w:val="TableContents"/>
              <w:bidi w:val="0"/>
              <w:spacing w:before="0" w:after="0"/>
              <w:ind w:left="0" w:right="0" w:hanging="0"/>
              <w:jc w:val="left"/>
              <w:rPr/>
            </w:pPr>
            <w:r>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383</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pPr>
            <w:r>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378</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Assets held for sale</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24</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Restricted cash and cash equivalents</w:t>
            </w:r>
          </w:p>
        </w:tc>
        <w:tc>
          <w:tcPr>
            <w:tcW w:w="286" w:type="dxa"/>
            <w:tcBorders/>
            <w:shd w:fill="CEDBE0" w:val="clear"/>
            <w:vAlign w:val="center"/>
          </w:tcPr>
          <w:p>
            <w:pPr>
              <w:pStyle w:val="TableContents"/>
              <w:bidi w:val="0"/>
              <w:spacing w:before="0" w:after="0"/>
              <w:ind w:left="0" w:right="0" w:hanging="0"/>
              <w:jc w:val="left"/>
              <w:rPr/>
            </w:pPr>
            <w:r>
              <w:rPr/>
              <w:t>​</w:t>
            </w:r>
          </w:p>
        </w:tc>
        <w:tc>
          <w:tcPr>
            <w:tcW w:w="203" w:type="dxa"/>
            <w:tcBorders/>
            <w:shd w:fill="CEDBE0" w:val="clear"/>
            <w:vAlign w:val="center"/>
          </w:tcPr>
          <w:p>
            <w:pPr>
              <w:pStyle w:val="TableContents"/>
              <w:bidi w:val="0"/>
              <w:spacing w:before="0" w:after="0"/>
              <w:ind w:left="0" w:right="0" w:hanging="0"/>
              <w:jc w:val="left"/>
              <w:rPr/>
            </w:pPr>
            <w:r>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285</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pPr>
            <w:r>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377</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Other current assets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129</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142</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current assets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1,766</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2,081</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Property and equipment</w:t>
            </w:r>
          </w:p>
        </w:tc>
        <w:tc>
          <w:tcPr>
            <w:tcW w:w="286" w:type="dxa"/>
            <w:tcBorders/>
            <w:shd w:fill="CEDBE0" w:val="clear"/>
            <w:vAlign w:val="center"/>
          </w:tcPr>
          <w:p>
            <w:pPr>
              <w:pStyle w:val="TableContents"/>
              <w:bidi w:val="0"/>
              <w:spacing w:before="0" w:after="0"/>
              <w:ind w:left="0" w:right="0" w:hanging="0"/>
              <w:jc w:val="left"/>
              <w:rPr/>
            </w:pPr>
            <w:r>
              <w:rPr/>
              <w:t>​</w:t>
            </w:r>
          </w:p>
        </w:tc>
        <w:tc>
          <w:tcPr>
            <w:tcW w:w="203" w:type="dxa"/>
            <w:tcBorders/>
            <w:shd w:fill="CEDBE0" w:val="clear"/>
            <w:vAlign w:val="center"/>
          </w:tcPr>
          <w:p>
            <w:pPr>
              <w:pStyle w:val="TableContents"/>
              <w:bidi w:val="0"/>
              <w:spacing w:before="0" w:after="0"/>
              <w:ind w:left="0" w:right="0" w:hanging="0"/>
              <w:jc w:val="left"/>
              <w:rPr/>
            </w:pPr>
            <w:r>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17,465</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pPr>
            <w:r>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17,451</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Less accumulated depreciation</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(5,006)</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(4,874)</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Property and equipment, net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12,459</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12,577</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Deferred tax assets, net</w:t>
            </w:r>
          </w:p>
        </w:tc>
        <w:tc>
          <w:tcPr>
            <w:tcW w:w="286" w:type="dxa"/>
            <w:tcBorders/>
            <w:shd w:fill="CEDBE0" w:val="clear"/>
            <w:vAlign w:val="center"/>
          </w:tcPr>
          <w:p>
            <w:pPr>
              <w:pStyle w:val="TableContents"/>
              <w:bidi w:val="0"/>
              <w:spacing w:before="0" w:after="0"/>
              <w:ind w:left="0" w:right="0" w:hanging="0"/>
              <w:jc w:val="left"/>
              <w:rPr/>
            </w:pPr>
            <w:r>
              <w:rPr/>
              <w:t>​</w:t>
            </w:r>
          </w:p>
        </w:tc>
        <w:tc>
          <w:tcPr>
            <w:tcW w:w="203" w:type="dxa"/>
            <w:tcBorders/>
            <w:shd w:fill="CEDBE0" w:val="clear"/>
            <w:vAlign w:val="center"/>
          </w:tcPr>
          <w:p>
            <w:pPr>
              <w:pStyle w:val="TableContents"/>
              <w:bidi w:val="0"/>
              <w:spacing w:before="0" w:after="0"/>
              <w:ind w:left="0" w:right="0" w:hanging="0"/>
              <w:jc w:val="left"/>
              <w:rPr/>
            </w:pPr>
            <w:r>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47</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pPr>
            <w:r>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61</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Other assets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879</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923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2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assets</w:t>
            </w:r>
          </w:p>
        </w:tc>
        <w:tc>
          <w:tcPr>
            <w:tcW w:w="28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 </w:t>
            </w:r>
          </w:p>
        </w:tc>
        <w:tc>
          <w:tcPr>
            <w:tcW w:w="203"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7"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15,151</w:t>
            </w:r>
          </w:p>
        </w:tc>
        <w:tc>
          <w:tcPr>
            <w:tcW w:w="28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7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794"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15,642</w:t>
            </w:r>
          </w:p>
        </w:tc>
        <w:tc>
          <w:tcPr>
            <w:tcW w:w="19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Liabilities and equity</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Accounts payable</w:t>
            </w:r>
          </w:p>
        </w:tc>
        <w:tc>
          <w:tcPr>
            <w:tcW w:w="286" w:type="dxa"/>
            <w:tcBorders/>
            <w:shd w:fill="CEDBE0" w:val="clear"/>
            <w:vAlign w:val="center"/>
          </w:tcPr>
          <w:p>
            <w:pPr>
              <w:pStyle w:val="TableContents"/>
              <w:bidi w:val="0"/>
              <w:spacing w:before="0" w:after="0"/>
              <w:ind w:left="0" w:right="0" w:hanging="0"/>
              <w:jc w:val="both"/>
              <w:rPr/>
            </w:pPr>
            <w:r>
              <w:rPr/>
              <w:t> </w:t>
            </w:r>
          </w:p>
        </w:tc>
        <w:tc>
          <w:tcPr>
            <w:tcW w:w="203"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229</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242</w:t>
            </w:r>
          </w:p>
        </w:tc>
        <w:tc>
          <w:tcPr>
            <w:tcW w:w="191" w:type="dxa"/>
            <w:tcBorders/>
            <w:shd w:fill="CEDBE0" w:val="clear"/>
            <w:vAlign w:val="center"/>
          </w:tcPr>
          <w:p>
            <w:pPr>
              <w:pStyle w:val="TableContents"/>
              <w:bidi w:val="0"/>
              <w:spacing w:before="0" w:after="0"/>
              <w:ind w:left="0" w:right="0" w:hanging="0"/>
              <w:jc w:val="both"/>
              <w:rPr/>
            </w:pPr>
            <w:r>
              <w:rPr/>
              <w:t>​</w:t>
            </w:r>
          </w:p>
        </w:tc>
      </w:tr>
      <w:tr>
        <w:trPr/>
        <w:tc>
          <w:tcPr>
            <w:tcW w:w="7321"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Accrued income taxes</w:t>
            </w:r>
          </w:p>
        </w:tc>
        <w:tc>
          <w:tcPr>
            <w:tcW w:w="286" w:type="dxa"/>
            <w:tcBorders/>
            <w:vAlign w:val="center"/>
          </w:tcPr>
          <w:p>
            <w:pPr>
              <w:pStyle w:val="TableContents"/>
              <w:bidi w:val="0"/>
              <w:spacing w:before="0" w:after="0"/>
              <w:ind w:left="0" w:right="0" w:hanging="0"/>
              <w:jc w:val="both"/>
              <w:rPr/>
            </w:pPr>
            <w:r>
              <w:rPr/>
              <w:t>​</w:t>
            </w:r>
          </w:p>
        </w:tc>
        <w:tc>
          <w:tcPr>
            <w:tcW w:w="203" w:type="dxa"/>
            <w:tcBorders/>
            <w:vAlign w:val="center"/>
          </w:tcPr>
          <w:p>
            <w:pPr>
              <w:pStyle w:val="TableContents"/>
              <w:bidi w:val="0"/>
              <w:spacing w:before="0" w:after="0"/>
              <w:ind w:left="0" w:right="0" w:hanging="0"/>
              <w:jc w:val="both"/>
              <w:rPr/>
            </w:pPr>
            <w:r>
              <w:rPr/>
              <w:t>​</w:t>
            </w:r>
          </w:p>
        </w:tc>
        <w:tc>
          <w:tcPr>
            <w:tcW w:w="607"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28</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both"/>
              <w:rPr/>
            </w:pPr>
            <w:r>
              <w:rPr/>
              <w:t>​</w:t>
            </w:r>
          </w:p>
        </w:tc>
        <w:tc>
          <w:tcPr>
            <w:tcW w:w="79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22</w:t>
            </w:r>
          </w:p>
        </w:tc>
        <w:tc>
          <w:tcPr>
            <w:tcW w:w="191" w:type="dxa"/>
            <w:tcBorders/>
            <w:vAlign w:val="center"/>
          </w:tcPr>
          <w:p>
            <w:pPr>
              <w:pStyle w:val="TableContents"/>
              <w:bidi w:val="0"/>
              <w:spacing w:before="0" w:after="0"/>
              <w:ind w:left="0" w:right="0" w:hanging="0"/>
              <w:jc w:val="both"/>
              <w:rPr/>
            </w:pPr>
            <w:r>
              <w:rPr/>
              <w:t>​</w:t>
            </w:r>
          </w:p>
        </w:tc>
      </w:tr>
      <w:tr>
        <w:trPr/>
        <w:tc>
          <w:tcPr>
            <w:tcW w:w="732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Debt due within one year</w:t>
            </w:r>
          </w:p>
        </w:tc>
        <w:tc>
          <w:tcPr>
            <w:tcW w:w="286" w:type="dxa"/>
            <w:tcBorders/>
            <w:shd w:fill="CEDBE0" w:val="clear"/>
            <w:vAlign w:val="center"/>
          </w:tcPr>
          <w:p>
            <w:pPr>
              <w:pStyle w:val="TableContents"/>
              <w:bidi w:val="0"/>
              <w:spacing w:before="0" w:after="0"/>
              <w:ind w:left="0" w:right="0" w:hanging="0"/>
              <w:jc w:val="both"/>
              <w:rPr/>
            </w:pPr>
            <w:r>
              <w:rPr/>
              <w:t>​</w:t>
            </w:r>
          </w:p>
        </w:tc>
        <w:tc>
          <w:tcPr>
            <w:tcW w:w="203" w:type="dxa"/>
            <w:tcBorders/>
            <w:shd w:fill="CEDBE0" w:val="clear"/>
            <w:vAlign w:val="center"/>
          </w:tcPr>
          <w:p>
            <w:pPr>
              <w:pStyle w:val="TableContents"/>
              <w:bidi w:val="0"/>
              <w:spacing w:before="0" w:after="0"/>
              <w:ind w:left="0" w:right="0" w:hanging="0"/>
              <w:jc w:val="both"/>
              <w:rPr/>
            </w:pPr>
            <w:r>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329</w:t>
            </w:r>
          </w:p>
        </w:tc>
        <w:tc>
          <w:tcPr>
            <w:tcW w:w="286" w:type="dxa"/>
            <w:tcBorders/>
            <w:shd w:fill="CEDBE0" w:val="clear"/>
            <w:vAlign w:val="center"/>
          </w:tcPr>
          <w:p>
            <w:pPr>
              <w:pStyle w:val="TableContents"/>
              <w:bidi w:val="0"/>
              <w:spacing w:before="0" w:after="0"/>
              <w:ind w:left="0" w:right="0" w:hanging="0"/>
              <w:jc w:val="both"/>
              <w:rPr/>
            </w:pPr>
            <w:r>
              <w:rPr/>
              <w:t>​</w:t>
            </w:r>
          </w:p>
        </w:tc>
        <w:tc>
          <w:tcPr>
            <w:tcW w:w="271" w:type="dxa"/>
            <w:tcBorders/>
            <w:shd w:fill="CEDBE0" w:val="clear"/>
            <w:vAlign w:val="center"/>
          </w:tcPr>
          <w:p>
            <w:pPr>
              <w:pStyle w:val="TableContents"/>
              <w:bidi w:val="0"/>
              <w:spacing w:before="0" w:after="0"/>
              <w:ind w:left="0" w:right="0" w:hanging="0"/>
              <w:jc w:val="both"/>
              <w:rPr/>
            </w:pPr>
            <w:r>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445</w:t>
            </w:r>
          </w:p>
        </w:tc>
        <w:tc>
          <w:tcPr>
            <w:tcW w:w="191" w:type="dxa"/>
            <w:tcBorders/>
            <w:shd w:fill="CEDBE0" w:val="clear"/>
            <w:vAlign w:val="center"/>
          </w:tcPr>
          <w:p>
            <w:pPr>
              <w:pStyle w:val="TableContents"/>
              <w:bidi w:val="0"/>
              <w:spacing w:before="0" w:after="0"/>
              <w:ind w:left="0" w:right="0" w:hanging="0"/>
              <w:jc w:val="both"/>
              <w:rPr/>
            </w:pPr>
            <w:r>
              <w:rPr/>
              <w:t>​</w:t>
            </w:r>
          </w:p>
        </w:tc>
      </w:tr>
      <w:tr>
        <w:trPr/>
        <w:tc>
          <w:tcPr>
            <w:tcW w:w="7321"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Other current liabilities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562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627</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r>
      <w:tr>
        <w:trPr/>
        <w:tc>
          <w:tcPr>
            <w:tcW w:w="732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current liabilities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203"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607"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1,148</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271"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79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1,336</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r>
      <w:tr>
        <w:trPr/>
        <w:tc>
          <w:tcPr>
            <w:tcW w:w="73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Long-term debt</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4,945</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5,212</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Deferred tax liabilities, net</w:t>
            </w:r>
          </w:p>
        </w:tc>
        <w:tc>
          <w:tcPr>
            <w:tcW w:w="286" w:type="dxa"/>
            <w:tcBorders/>
            <w:shd w:fill="CEDBE0" w:val="clear"/>
            <w:vAlign w:val="center"/>
          </w:tcPr>
          <w:p>
            <w:pPr>
              <w:pStyle w:val="TableContents"/>
              <w:bidi w:val="0"/>
              <w:spacing w:before="0" w:after="0"/>
              <w:ind w:left="0" w:right="0" w:hanging="0"/>
              <w:jc w:val="left"/>
              <w:rPr/>
            </w:pPr>
            <w:r>
              <w:rPr/>
              <w:t>​</w:t>
            </w:r>
          </w:p>
        </w:tc>
        <w:tc>
          <w:tcPr>
            <w:tcW w:w="203" w:type="dxa"/>
            <w:tcBorders/>
            <w:shd w:fill="CEDBE0" w:val="clear"/>
            <w:vAlign w:val="center"/>
          </w:tcPr>
          <w:p>
            <w:pPr>
              <w:pStyle w:val="TableContents"/>
              <w:bidi w:val="0"/>
              <w:spacing w:before="0" w:after="0"/>
              <w:ind w:left="0" w:right="0" w:hanging="0"/>
              <w:jc w:val="left"/>
              <w:rPr/>
            </w:pPr>
            <w:r>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317</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pPr>
            <w:r>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404</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Other long-term liabilities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549</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582</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long-term liabilities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5,811</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6,198</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Commitments and contingencies</w:t>
            </w:r>
          </w:p>
        </w:tc>
        <w:tc>
          <w:tcPr>
            <w:tcW w:w="286" w:type="dxa"/>
            <w:tcBorders/>
            <w:shd w:fill="CEDBE0" w:val="clear"/>
            <w:vAlign w:val="center"/>
          </w:tcPr>
          <w:p>
            <w:pPr>
              <w:pStyle w:val="TableContents"/>
              <w:bidi w:val="0"/>
              <w:spacing w:before="0" w:after="0"/>
              <w:ind w:left="0" w:right="0" w:hanging="0"/>
              <w:jc w:val="left"/>
              <w:rPr/>
            </w:pPr>
            <w:r>
              <w:rPr/>
              <w:t>​</w:t>
            </w:r>
          </w:p>
        </w:tc>
        <w:tc>
          <w:tcPr>
            <w:tcW w:w="203" w:type="dxa"/>
            <w:tcBorders/>
            <w:shd w:fill="CEDBE0" w:val="clear"/>
            <w:vAlign w:val="center"/>
          </w:tcPr>
          <w:p>
            <w:pPr>
              <w:pStyle w:val="TableContents"/>
              <w:bidi w:val="0"/>
              <w:spacing w:before="0" w:after="0"/>
              <w:ind w:left="0" w:right="0" w:hanging="0"/>
              <w:jc w:val="left"/>
              <w:rPr/>
            </w:pPr>
            <w:r>
              <w:rPr/>
              <w:t>​</w:t>
            </w:r>
          </w:p>
        </w:tc>
        <w:tc>
          <w:tcPr>
            <w:tcW w:w="607" w:type="dxa"/>
            <w:tcBorders/>
            <w:shd w:fill="CEDBE0" w:val="clear"/>
            <w:vAlign w:val="center"/>
          </w:tcPr>
          <w:p>
            <w:pPr>
              <w:pStyle w:val="TableContents"/>
              <w:bidi w:val="0"/>
              <w:spacing w:before="0" w:after="0"/>
              <w:ind w:left="0" w:right="0" w:hanging="0"/>
              <w:jc w:val="right"/>
              <w:rPr/>
            </w:pPr>
            <w:r>
              <w:rPr/>
              <w:t>​</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pPr>
            <w:r>
              <w:rPr/>
              <w:t>​</w:t>
            </w:r>
          </w:p>
        </w:tc>
        <w:tc>
          <w:tcPr>
            <w:tcW w:w="794" w:type="dxa"/>
            <w:tcBorders/>
            <w:shd w:fill="CEDBE0" w:val="clear"/>
            <w:vAlign w:val="center"/>
          </w:tcPr>
          <w:p>
            <w:pPr>
              <w:pStyle w:val="TableContents"/>
              <w:bidi w:val="0"/>
              <w:spacing w:before="0" w:after="0"/>
              <w:ind w:left="0" w:right="0" w:hanging="0"/>
              <w:jc w:val="righ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Shares, $0.10 par value, 1,204 authorized, 141 conditionally authorized, 1,204 issued at March 31, 2026</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and December 31, 2025, and 1,107 and 1,102 outstanding at March 31, 2026 and December 31, 2025, respectively</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111</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110</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Additional paid-in capital</w:t>
            </w:r>
          </w:p>
        </w:tc>
        <w:tc>
          <w:tcPr>
            <w:tcW w:w="286" w:type="dxa"/>
            <w:tcBorders/>
            <w:shd w:fill="CEDBE0" w:val="clear"/>
            <w:vAlign w:val="center"/>
          </w:tcPr>
          <w:p>
            <w:pPr>
              <w:pStyle w:val="TableContents"/>
              <w:bidi w:val="0"/>
              <w:spacing w:before="0" w:after="0"/>
              <w:ind w:left="0" w:right="0" w:hanging="0"/>
              <w:jc w:val="left"/>
              <w:rPr/>
            </w:pPr>
            <w:r>
              <w:rPr/>
              <w:t>​</w:t>
            </w:r>
          </w:p>
        </w:tc>
        <w:tc>
          <w:tcPr>
            <w:tcW w:w="203" w:type="dxa"/>
            <w:tcBorders/>
            <w:shd w:fill="CEDBE0" w:val="clear"/>
            <w:vAlign w:val="center"/>
          </w:tcPr>
          <w:p>
            <w:pPr>
              <w:pStyle w:val="TableContents"/>
              <w:bidi w:val="0"/>
              <w:spacing w:before="0" w:after="0"/>
              <w:ind w:left="0" w:right="0" w:hanging="0"/>
              <w:jc w:val="left"/>
              <w:rPr/>
            </w:pPr>
            <w:r>
              <w:rPr/>
              <w:t>​</w:t>
            </w:r>
          </w:p>
        </w:tc>
        <w:tc>
          <w:tcPr>
            <w:tcW w:w="607"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15,611</w:t>
            </w:r>
          </w:p>
        </w:tc>
        <w:tc>
          <w:tcPr>
            <w:tcW w:w="286" w:type="dxa"/>
            <w:tcBorders/>
            <w:shd w:fill="CEDBE0" w:val="clear"/>
            <w:vAlign w:val="center"/>
          </w:tcPr>
          <w:p>
            <w:pPr>
              <w:pStyle w:val="TableContents"/>
              <w:bidi w:val="0"/>
              <w:spacing w:before="0" w:after="0"/>
              <w:ind w:left="0" w:right="0" w:hanging="0"/>
              <w:jc w:val="left"/>
              <w:rPr/>
            </w:pPr>
            <w:r>
              <w:rPr/>
              <w:t>​</w:t>
            </w:r>
          </w:p>
        </w:tc>
        <w:tc>
          <w:tcPr>
            <w:tcW w:w="271" w:type="dxa"/>
            <w:tcBorders/>
            <w:shd w:fill="CEDBE0" w:val="clear"/>
            <w:vAlign w:val="center"/>
          </w:tcPr>
          <w:p>
            <w:pPr>
              <w:pStyle w:val="TableContents"/>
              <w:bidi w:val="0"/>
              <w:spacing w:before="0" w:after="0"/>
              <w:ind w:left="0" w:right="0" w:hanging="0"/>
              <w:jc w:val="left"/>
              <w:rPr/>
            </w:pPr>
            <w:r>
              <w:rPr/>
              <w:t>​</w:t>
            </w:r>
          </w:p>
        </w:tc>
        <w:tc>
          <w:tcPr>
            <w:tcW w:w="79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15,604</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321"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Accumulated deficit</w:t>
            </w:r>
          </w:p>
        </w:tc>
        <w:tc>
          <w:tcPr>
            <w:tcW w:w="28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(7,389)</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(7,460)</w:t>
            </w:r>
          </w:p>
        </w:tc>
        <w:tc>
          <w:tcPr>
            <w:tcW w:w="191" w:type="dxa"/>
            <w:tcBorders/>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Accumulated other comprehensive loss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(141)</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(146)</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32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equity</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8,192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8,108</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2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liabilities and equity</w:t>
            </w:r>
          </w:p>
        </w:tc>
        <w:tc>
          <w:tcPr>
            <w:tcW w:w="28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 </w:t>
            </w:r>
          </w:p>
        </w:tc>
        <w:tc>
          <w:tcPr>
            <w:tcW w:w="203"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7"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15,151</w:t>
            </w:r>
          </w:p>
        </w:tc>
        <w:tc>
          <w:tcPr>
            <w:tcW w:w="28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7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794"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15,642</w:t>
            </w:r>
          </w:p>
        </w:tc>
        <w:tc>
          <w:tcPr>
            <w:tcW w:w="19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- 3 -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237" w:name="_6bac01ca_ee79_4fb2_83b3_b2c7a8908291"/>
      <w:bookmarkEnd w:id="237"/>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238" w:name="EQUITY_473348"/>
      <w:bookmarkEnd w:id="238"/>
      <w:r>
        <w:rPr>
          <w:rFonts w:ascii="Arial Narrow" w:hAnsi="Arial Narrow"/>
          <w:b/>
          <w:caps/>
          <w:sz w:val="22"/>
        </w:rPr>
        <w:t>CONDENSED CONSOLIDATED STATEMENTS OF EQUITY</w:t>
      </w:r>
    </w:p>
    <w:p>
      <w:pPr>
        <w:pStyle w:val="TextBody"/>
        <w:bidi w:val="0"/>
        <w:spacing w:before="0" w:after="0"/>
        <w:ind w:left="0" w:right="0" w:hanging="0"/>
        <w:jc w:val="center"/>
        <w:rPr>
          <w:rFonts w:ascii="Arial Narrow" w:hAnsi="Arial Narrow"/>
          <w:sz w:val="20"/>
        </w:rPr>
      </w:pPr>
      <w:r>
        <w:rPr>
          <w:rFonts w:ascii="Arial Narrow" w:hAnsi="Arial Narrow"/>
          <w:sz w:val="20"/>
        </w:rPr>
        <w:t>(in millions)</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9" w:name="Tc_LmfIi-aw702Nnl813LCNEA_39_5"/>
      <w:bookmarkStart w:id="240" w:name="Tc_xCrsgX-uFEaApXyFCkJo4A_39_2"/>
      <w:bookmarkStart w:id="241" w:name="Tc_ImQx0UJIiUyHbOnguw2asg_39_0"/>
      <w:bookmarkStart w:id="242" w:name="Tc_nClp5_9Ys06pC52_-cNK4A_38_0"/>
      <w:bookmarkStart w:id="243" w:name="Tc_rhFyGlpvHECjnE-Q2RmipQ_37_0"/>
      <w:bookmarkStart w:id="244" w:name="Tc_WmpF8nwWtkaa9nQb0sglwQ_36_5"/>
      <w:bookmarkStart w:id="245" w:name="Tc_umCxD6czuESs_Ef_E6yibg_36_2"/>
      <w:bookmarkStart w:id="246" w:name="Tc_2ckszVdHgk-2Wyu5DT8siw_36_0"/>
      <w:bookmarkStart w:id="247" w:name="Tc_0zrGvBoRrU6rKUw-_2JORA_35_0"/>
      <w:bookmarkStart w:id="248" w:name="Tc_xiqvmOUU_kW1vb6T0YVHrQ_33_5"/>
      <w:bookmarkStart w:id="249" w:name="Tc_eSlGTiUMaE29NN9nGYc83A_33_3"/>
      <w:bookmarkStart w:id="250" w:name="Tc_QvqniuSoCkCNzW7zYfk_rA_33_2"/>
      <w:bookmarkStart w:id="251" w:name="Tc_6MGccb8LJkW22DJvYZPZ6A_33_0"/>
      <w:bookmarkStart w:id="252" w:name="Tc_W5rAV_67WEa-PEJ5wNTH3A_32_5"/>
      <w:bookmarkStart w:id="253" w:name="Tc__2a5ChNpIUCms0TO71a4yg_32_3"/>
      <w:bookmarkStart w:id="254" w:name="Tc_qGg-jLMgjUGpFveDMMiroA_32_2"/>
      <w:bookmarkStart w:id="255" w:name="Tc_jx20rEK4LUWSwP2qIPQyew_32_0"/>
      <w:bookmarkStart w:id="256" w:name="Tc_j1JN9wT6gU6VhckEyx348A_31_0"/>
      <w:bookmarkStart w:id="257" w:name="Tc_EAttWmRabUW5pMOV1p9CrQ_29_5"/>
      <w:bookmarkStart w:id="258" w:name="Tc_eavnC1mdPkuydAtxBVLrCg_29_2"/>
      <w:bookmarkStart w:id="259" w:name="Tc_chNG_TTKTkasPK1V2FaTsA_29_0"/>
      <w:bookmarkStart w:id="260" w:name="Tc_mMXTX_DPq0CcVGuEGmtoVA_28_0"/>
      <w:bookmarkStart w:id="261" w:name="Tc_L_9SB12s7U2PiL-DceHTLQ_27_0"/>
      <w:bookmarkStart w:id="262" w:name="Tc_3fPhbv1edUKXuPx3txsofA_26_5"/>
      <w:bookmarkStart w:id="263" w:name="Tc_hsBMlBCYJ0aYRxhHgE3LzA_26_2"/>
      <w:bookmarkStart w:id="264" w:name="Tc_L7UUd3d-B0in6eyGrzFwaA_26_0"/>
      <w:bookmarkStart w:id="265" w:name="Tc_BX2nUSl8f0ayakIGrIO2HA_25_0"/>
      <w:bookmarkStart w:id="266" w:name="Tc_DfFq-SnEN0Svt1xd11JMfw_23_5"/>
      <w:bookmarkStart w:id="267" w:name="Tc_YulP_BoJfkut5pVLKwbsnQ_23_2"/>
      <w:bookmarkStart w:id="268" w:name="Tc_rgeB_JQpnkya9z6UBFa7gA_23_0"/>
      <w:bookmarkStart w:id="269" w:name="Tc_NdboRMw9sU6omD8cFAQ5cA_22_0"/>
      <w:bookmarkStart w:id="270" w:name="Tc_Ox9aKBZPika7o1L-ay3ugQ_21_5"/>
      <w:bookmarkStart w:id="271" w:name="Tc_aAvUXn3I8EuByHY6cgZJ5w_21_2"/>
      <w:bookmarkStart w:id="272" w:name="Tc_by5eAsrXyUi4ofSzM1AX1Q_21_0"/>
      <w:bookmarkStart w:id="273" w:name="Tc_1FbdicQj_U62frbviCqJRQ_20_0"/>
      <w:bookmarkStart w:id="274" w:name="Tc_jog32EyNe0SpHTNMNTP3-w_18_5"/>
      <w:bookmarkStart w:id="275" w:name="Tc_7H8jiVj4GUGrmiOCI6q-IA_18_2"/>
      <w:bookmarkStart w:id="276" w:name="Tc_2DMnkH7WOUSSlvLsXv7bKw_18_0"/>
      <w:bookmarkStart w:id="277" w:name="Tc_BTu4jcy_f0KoDaB0i7kR7A_17_0"/>
      <w:bookmarkStart w:id="278" w:name="Tc_8W8-OqekAUOjV2Lfwlsikg_16_5"/>
      <w:bookmarkStart w:id="279" w:name="Tc_-NSviOVdy02AxgJQROx62g_16_2"/>
      <w:bookmarkStart w:id="280" w:name="Tc_kAgBUNr0U0WiZ14BJs-rRA_16_0"/>
      <w:bookmarkStart w:id="281" w:name="Tc_0ntu0tzuYkOabkh1Xb_OaA_15_0"/>
      <w:bookmarkStart w:id="282" w:name="Tc_V2xtuSWxnUm-7HtxSEa6hg_13_5"/>
      <w:bookmarkStart w:id="283" w:name="Tc_GDAORxQTc0OOR5y7mi1lHg_13_2"/>
      <w:bookmarkStart w:id="284" w:name="Tc_eSP_kJfevkGFPmTJ5NwHXw_13_0"/>
      <w:bookmarkStart w:id="285" w:name="Tc_8A8WBNkq2EGV_1zbryGwZA_12_0"/>
      <w:bookmarkStart w:id="286" w:name="Tc_JcgSMoljFEy1mE-VNIk97A_11_0"/>
      <w:bookmarkStart w:id="287" w:name="Tc_IRLf9D5rg0-M8SE__SdvRQ_10_5"/>
      <w:bookmarkStart w:id="288" w:name="Tc_5dOmPOYJ5E2pZt8I69jR2A_10_2"/>
      <w:bookmarkStart w:id="289" w:name="Tc_IPP_Io71gUSP302wYRrDLg_10_0"/>
      <w:bookmarkStart w:id="290" w:name="Tc_0yFk86bGBEepopTOEE2iQA_9_0"/>
      <w:bookmarkStart w:id="291" w:name="Tc_ra9i01-cSkmVUxQPPm6zhA_7_5"/>
      <w:bookmarkStart w:id="292" w:name="Tc_gZttbmz49kWbBuXs8rlvAA_7_2"/>
      <w:bookmarkStart w:id="293" w:name="Tc_TxtkFYUfMUGuIUbFVUA4Xw_7_0"/>
      <w:bookmarkStart w:id="294" w:name="Tc_uvhIDO_SWUCorBkqgwZxUg_6_0"/>
      <w:bookmarkStart w:id="295" w:name="Tc_ciFnK0jID0-7N_sPDDBKOw_5_5"/>
      <w:bookmarkStart w:id="296" w:name="Tc_v1qVIdk2t0aT55Igo9AFaw_5_2"/>
      <w:bookmarkStart w:id="297" w:name="Tc_9LWhuBA05kqqzESX-LPlvQ_5_0"/>
      <w:bookmarkStart w:id="298" w:name="Tc_QU9h4tHz5Em5lVUz9Qq5xg_4_0"/>
      <w:bookmarkStart w:id="299" w:name="Tc_CAPPrcFVzEae2nIKrDN3_A_3_5"/>
      <w:bookmarkStart w:id="300" w:name="Tc_cxaw2RhXbUCIwXMQLH_UeA_3_2"/>
      <w:bookmarkStart w:id="301" w:name="Tc_HI0Ba6FM70eaAw-ucjU4zA_2_2"/>
      <w:bookmarkStart w:id="302" w:name="Tc_JMh_gdm-c0CoahW6N_EAmQ_1_2"/>
      <w:bookmarkStart w:id="303" w:name="_32035dbd_60c5_4ac6_b984_cb9162b2bfa2"/>
      <w:bookmarkStart w:id="304" w:name="Tc_LmfIi-aw702Nnl813LCNEA_39_5"/>
      <w:bookmarkStart w:id="305" w:name="Tc_xCrsgX-uFEaApXyFCkJo4A_39_2"/>
      <w:bookmarkStart w:id="306" w:name="Tc_ImQx0UJIiUyHbOnguw2asg_39_0"/>
      <w:bookmarkStart w:id="307" w:name="Tc_nClp5_9Ys06pC52_-cNK4A_38_0"/>
      <w:bookmarkStart w:id="308" w:name="Tc_rhFyGlpvHECjnE-Q2RmipQ_37_0"/>
      <w:bookmarkStart w:id="309" w:name="Tc_WmpF8nwWtkaa9nQb0sglwQ_36_5"/>
      <w:bookmarkStart w:id="310" w:name="Tc_umCxD6czuESs_Ef_E6yibg_36_2"/>
      <w:bookmarkStart w:id="311" w:name="Tc_2ckszVdHgk-2Wyu5DT8siw_36_0"/>
      <w:bookmarkStart w:id="312" w:name="Tc_0zrGvBoRrU6rKUw-_2JORA_35_0"/>
      <w:bookmarkStart w:id="313" w:name="Tc_xiqvmOUU_kW1vb6T0YVHrQ_33_5"/>
      <w:bookmarkStart w:id="314" w:name="Tc_eSlGTiUMaE29NN9nGYc83A_33_3"/>
      <w:bookmarkStart w:id="315" w:name="Tc_QvqniuSoCkCNzW7zYfk_rA_33_2"/>
      <w:bookmarkStart w:id="316" w:name="Tc_6MGccb8LJkW22DJvYZPZ6A_33_0"/>
      <w:bookmarkStart w:id="317" w:name="Tc_W5rAV_67WEa-PEJ5wNTH3A_32_5"/>
      <w:bookmarkStart w:id="318" w:name="Tc__2a5ChNpIUCms0TO71a4yg_32_3"/>
      <w:bookmarkStart w:id="319" w:name="Tc_qGg-jLMgjUGpFveDMMiroA_32_2"/>
      <w:bookmarkStart w:id="320" w:name="Tc_jx20rEK4LUWSwP2qIPQyew_32_0"/>
      <w:bookmarkStart w:id="321" w:name="Tc_j1JN9wT6gU6VhckEyx348A_31_0"/>
      <w:bookmarkStart w:id="322" w:name="Tc_EAttWmRabUW5pMOV1p9CrQ_29_5"/>
      <w:bookmarkStart w:id="323" w:name="Tc_eavnC1mdPkuydAtxBVLrCg_29_2"/>
      <w:bookmarkStart w:id="324" w:name="Tc_chNG_TTKTkasPK1V2FaTsA_29_0"/>
      <w:bookmarkStart w:id="325" w:name="Tc_mMXTX_DPq0CcVGuEGmtoVA_28_0"/>
      <w:bookmarkStart w:id="326" w:name="Tc_L_9SB12s7U2PiL-DceHTLQ_27_0"/>
      <w:bookmarkStart w:id="327" w:name="Tc_3fPhbv1edUKXuPx3txsofA_26_5"/>
      <w:bookmarkStart w:id="328" w:name="Tc_hsBMlBCYJ0aYRxhHgE3LzA_26_2"/>
      <w:bookmarkStart w:id="329" w:name="Tc_L7UUd3d-B0in6eyGrzFwaA_26_0"/>
      <w:bookmarkStart w:id="330" w:name="Tc_BX2nUSl8f0ayakIGrIO2HA_25_0"/>
      <w:bookmarkStart w:id="331" w:name="Tc_DfFq-SnEN0Svt1xd11JMfw_23_5"/>
      <w:bookmarkStart w:id="332" w:name="Tc_YulP_BoJfkut5pVLKwbsnQ_23_2"/>
      <w:bookmarkStart w:id="333" w:name="Tc_rgeB_JQpnkya9z6UBFa7gA_23_0"/>
      <w:bookmarkStart w:id="334" w:name="Tc_NdboRMw9sU6omD8cFAQ5cA_22_0"/>
      <w:bookmarkStart w:id="335" w:name="Tc_Ox9aKBZPika7o1L-ay3ugQ_21_5"/>
      <w:bookmarkStart w:id="336" w:name="Tc_aAvUXn3I8EuByHY6cgZJ5w_21_2"/>
      <w:bookmarkStart w:id="337" w:name="Tc_by5eAsrXyUi4ofSzM1AX1Q_21_0"/>
      <w:bookmarkStart w:id="338" w:name="Tc_1FbdicQj_U62frbviCqJRQ_20_0"/>
      <w:bookmarkStart w:id="339" w:name="Tc_jog32EyNe0SpHTNMNTP3-w_18_5"/>
      <w:bookmarkStart w:id="340" w:name="Tc_7H8jiVj4GUGrmiOCI6q-IA_18_2"/>
      <w:bookmarkStart w:id="341" w:name="Tc_2DMnkH7WOUSSlvLsXv7bKw_18_0"/>
      <w:bookmarkStart w:id="342" w:name="Tc_BTu4jcy_f0KoDaB0i7kR7A_17_0"/>
      <w:bookmarkStart w:id="343" w:name="Tc_8W8-OqekAUOjV2Lfwlsikg_16_5"/>
      <w:bookmarkStart w:id="344" w:name="Tc_-NSviOVdy02AxgJQROx62g_16_2"/>
      <w:bookmarkStart w:id="345" w:name="Tc_kAgBUNr0U0WiZ14BJs-rRA_16_0"/>
      <w:bookmarkStart w:id="346" w:name="Tc_0ntu0tzuYkOabkh1Xb_OaA_15_0"/>
      <w:bookmarkStart w:id="347" w:name="Tc_V2xtuSWxnUm-7HtxSEa6hg_13_5"/>
      <w:bookmarkStart w:id="348" w:name="Tc_GDAORxQTc0OOR5y7mi1lHg_13_2"/>
      <w:bookmarkStart w:id="349" w:name="Tc_eSP_kJfevkGFPmTJ5NwHXw_13_0"/>
      <w:bookmarkStart w:id="350" w:name="Tc_8A8WBNkq2EGV_1zbryGwZA_12_0"/>
      <w:bookmarkStart w:id="351" w:name="Tc_JcgSMoljFEy1mE-VNIk97A_11_0"/>
      <w:bookmarkStart w:id="352" w:name="Tc_IRLf9D5rg0-M8SE__SdvRQ_10_5"/>
      <w:bookmarkStart w:id="353" w:name="Tc_5dOmPOYJ5E2pZt8I69jR2A_10_2"/>
      <w:bookmarkStart w:id="354" w:name="Tc_IPP_Io71gUSP302wYRrDLg_10_0"/>
      <w:bookmarkStart w:id="355" w:name="Tc_0yFk86bGBEepopTOEE2iQA_9_0"/>
      <w:bookmarkStart w:id="356" w:name="Tc_ra9i01-cSkmVUxQPPm6zhA_7_5"/>
      <w:bookmarkStart w:id="357" w:name="Tc_gZttbmz49kWbBuXs8rlvAA_7_2"/>
      <w:bookmarkStart w:id="358" w:name="Tc_TxtkFYUfMUGuIUbFVUA4Xw_7_0"/>
      <w:bookmarkStart w:id="359" w:name="Tc_uvhIDO_SWUCorBkqgwZxUg_6_0"/>
      <w:bookmarkStart w:id="360" w:name="Tc_ciFnK0jID0-7N_sPDDBKOw_5_5"/>
      <w:bookmarkStart w:id="361" w:name="Tc_v1qVIdk2t0aT55Igo9AFaw_5_2"/>
      <w:bookmarkStart w:id="362" w:name="Tc_9LWhuBA05kqqzESX-LPlvQ_5_0"/>
      <w:bookmarkStart w:id="363" w:name="Tc_QU9h4tHz5Em5lVUz9Qq5xg_4_0"/>
      <w:bookmarkStart w:id="364" w:name="Tc_CAPPrcFVzEae2nIKrDN3_A_3_5"/>
      <w:bookmarkStart w:id="365" w:name="Tc_cxaw2RhXbUCIwXMQLH_UeA_3_2"/>
      <w:bookmarkStart w:id="366" w:name="Tc_HI0Ba6FM70eaAw-ucjU4zA_2_2"/>
      <w:bookmarkStart w:id="367" w:name="Tc_JMh_gdm-c0CoahW6N_EAmQ_1_2"/>
      <w:bookmarkStart w:id="368" w:name="_32035dbd_60c5_4ac6_b984_cb9162b2bfa2"/>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tbl>
      <w:tblPr>
        <w:tblW w:w="5493" w:type="dxa"/>
        <w:jc w:val="left"/>
        <w:tblInd w:w="0" w:type="dxa"/>
        <w:tblLayout w:type="fixed"/>
        <w:tblCellMar>
          <w:top w:w="0" w:type="dxa"/>
          <w:left w:w="0" w:type="dxa"/>
          <w:bottom w:w="0" w:type="dxa"/>
          <w:right w:w="0" w:type="dxa"/>
        </w:tblCellMar>
      </w:tblPr>
      <w:tblGrid>
        <w:gridCol w:w="3286"/>
        <w:gridCol w:w="286"/>
        <w:gridCol w:w="181"/>
        <w:gridCol w:w="541"/>
        <w:gridCol w:w="286"/>
        <w:gridCol w:w="181"/>
        <w:gridCol w:w="541"/>
        <w:gridCol w:w="19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86610" cy="175260"/>
                      <wp:effectExtent l="0" t="0" r="0" b="0"/>
                      <wp:wrapNone/>
                      <wp:docPr id="26" name="Frame25"/>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1610" cy="175260"/>
                      <wp:effectExtent l="0" t="0" r="0" b="0"/>
                      <wp:wrapNone/>
                      <wp:docPr id="27" name="Frame2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14935" cy="175260"/>
                      <wp:effectExtent l="0" t="0" r="0" b="0"/>
                      <wp:wrapNone/>
                      <wp:docPr id="28" name="Frame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43535" cy="175260"/>
                      <wp:effectExtent l="0" t="0" r="0" b="0"/>
                      <wp:wrapNone/>
                      <wp:docPr id="29" name="Frame2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1610" cy="175260"/>
                      <wp:effectExtent l="0" t="0" r="0" b="0"/>
                      <wp:wrapNone/>
                      <wp:docPr id="30" name="Frame2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4935" cy="175260"/>
                      <wp:effectExtent l="0" t="0" r="0" b="0"/>
                      <wp:wrapNone/>
                      <wp:docPr id="31" name="Frame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43535" cy="175260"/>
                      <wp:effectExtent l="0" t="0" r="0" b="0"/>
                      <wp:wrapNone/>
                      <wp:docPr id="32" name="Frame3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1285" cy="175260"/>
                      <wp:effectExtent l="0" t="0" r="0" b="0"/>
                      <wp:wrapNone/>
                      <wp:docPr id="33" name="Frame3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730"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Three months ended </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March 31, </w:t>
            </w:r>
          </w:p>
        </w:tc>
        <w:tc>
          <w:tcPr>
            <w:tcW w:w="191"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left"/>
              <w:rPr/>
            </w:pPr>
            <w:r>
              <w:rPr/>
              <w:t>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Shares</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beginning of period</w:t>
            </w:r>
          </w:p>
        </w:tc>
        <w:tc>
          <w:tcPr>
            <w:tcW w:w="286" w:type="dxa"/>
            <w:tcBorders/>
            <w:shd w:fill="CEDBE0" w:val="clear"/>
            <w:vAlign w:val="center"/>
          </w:tcPr>
          <w:p>
            <w:pPr>
              <w:pStyle w:val="TableContents"/>
              <w:bidi w:val="0"/>
              <w:spacing w:before="0" w:after="0"/>
              <w:ind w:left="0" w:right="0" w:hanging="0"/>
              <w:jc w:val="left"/>
              <w:rPr/>
            </w:pPr>
            <w:r>
              <w:rPr/>
              <w:t> </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110</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87</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Issuance of shares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end of period</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111</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88</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Additional paid-in capital</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15,604</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14,880</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Share-based compensation</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Issuance of shares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28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end of period</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15,611</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14,887</w:t>
            </w:r>
          </w:p>
        </w:tc>
        <w:tc>
          <w:tcPr>
            <w:tcW w:w="19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Accumulated deficit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(7,460)</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(4,545)</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Net income (loss)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71</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(79)</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end of period</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(7,389)</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(4,624)</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Accumulated other comprehensive loss</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(146)</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(138)</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Other comprehensive income (loss)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end of period</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(141)</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(141)</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Total controlling interest shareholders’ equity</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8,108</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10,284</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comprehensive income (loss)</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76</w:t>
            </w:r>
          </w:p>
        </w:tc>
        <w:tc>
          <w:tcPr>
            <w:tcW w:w="2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(82)</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Share-based compensation</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28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end of period</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8,192</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10,210</w:t>
            </w:r>
          </w:p>
        </w:tc>
        <w:tc>
          <w:tcPr>
            <w:tcW w:w="19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Noncontrolling interest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 xml:space="preserve">Balance, beginning of period </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28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end of period</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w:t>
            </w:r>
          </w:p>
        </w:tc>
        <w:tc>
          <w:tcPr>
            <w:tcW w:w="19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both"/>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both"/>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b/>
                <w:sz w:val="18"/>
              </w:rPr>
            </w:pPr>
            <w:r>
              <w:rPr>
                <w:rFonts w:ascii="Arial Narrow" w:hAnsi="Arial Narrow"/>
                <w:b/>
                <w:sz w:val="18"/>
              </w:rPr>
              <w:t>Total equity</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8,108</w:t>
            </w:r>
          </w:p>
        </w:tc>
        <w:tc>
          <w:tcPr>
            <w:tcW w:w="28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10,285</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comprehensive income (loss)</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76</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(82)</w:t>
            </w:r>
          </w:p>
        </w:tc>
        <w:tc>
          <w:tcPr>
            <w:tcW w:w="191" w:type="dxa"/>
            <w:tcBorders/>
            <w:vAlign w:val="center"/>
          </w:tcPr>
          <w:p>
            <w:pPr>
              <w:pStyle w:val="TableContents"/>
              <w:bidi w:val="0"/>
              <w:spacing w:before="0" w:after="0"/>
              <w:ind w:left="0" w:right="0" w:hanging="0"/>
              <w:jc w:val="left"/>
              <w:rPr/>
            </w:pPr>
            <w:r>
              <w:rPr/>
              <w:t>​</w:t>
            </w:r>
          </w:p>
        </w:tc>
      </w:tr>
      <w:tr>
        <w:trPr/>
        <w:tc>
          <w:tcPr>
            <w:tcW w:w="3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Share-based compensation</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28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Balance, end of period</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8,192</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10,211</w:t>
            </w:r>
          </w:p>
        </w:tc>
        <w:tc>
          <w:tcPr>
            <w:tcW w:w="19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- 4 -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369" w:name="_0b47c254_eb5d_43eb_829e_aff2c7e2593b"/>
      <w:bookmarkEnd w:id="369"/>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370" w:name="CASHFLOWS_27735"/>
      <w:bookmarkEnd w:id="370"/>
      <w:r>
        <w:rPr>
          <w:rFonts w:ascii="Arial Narrow" w:hAnsi="Arial Narrow"/>
          <w:b/>
          <w:caps/>
          <w:sz w:val="22"/>
        </w:rPr>
        <w:t>CONDENSED CONSOLIDATED STATEMENTS OF CASH FLOWS</w:t>
      </w:r>
    </w:p>
    <w:p>
      <w:pPr>
        <w:pStyle w:val="TextBody"/>
        <w:bidi w:val="0"/>
        <w:spacing w:before="0" w:after="0"/>
        <w:ind w:left="0" w:right="0" w:hanging="0"/>
        <w:jc w:val="center"/>
        <w:rPr>
          <w:rFonts w:ascii="Arial Narrow" w:hAnsi="Arial Narrow"/>
          <w:sz w:val="20"/>
        </w:rPr>
      </w:pPr>
      <w:r>
        <w:rPr>
          <w:rFonts w:ascii="Arial Narrow" w:hAnsi="Arial Narrow"/>
          <w:sz w:val="20"/>
        </w:rPr>
        <w:t>(in millions)</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1" w:name="Tc_957dh_DIDEWGyzQyDSDLWA_33_5"/>
      <w:bookmarkStart w:id="372" w:name="Tc_hjz7RFtx5E60ItGBrJlczA_33_2"/>
      <w:bookmarkStart w:id="373" w:name="Tc_sXZo-75ABEilnZDSIy8MHA_33_0"/>
      <w:bookmarkStart w:id="374" w:name="Tc_NVOr7u7UEU6pfQ9OJbjN9Q_32_0"/>
      <w:bookmarkStart w:id="375" w:name="Tc_DtR2MHbk1Ei5LxofrtV99g_31_0"/>
      <w:bookmarkStart w:id="376" w:name="Tc_T4ys4-kgjUq0BB-4rU6RbA_29_0"/>
      <w:bookmarkStart w:id="377" w:name="Tc_nYUCqJQIeEG0u8Hnod-XgQ_28_3"/>
      <w:bookmarkStart w:id="378" w:name="Tc_-GAYORGmHUegopnPcod3tg_28_0"/>
      <w:bookmarkStart w:id="379" w:name="Tc_Xk-NZe5REEyPgfEkvYcEdg_27_0"/>
      <w:bookmarkStart w:id="380" w:name="Tc_SD3CvgfwsUCt-4s2OhUU_w_26_0"/>
      <w:bookmarkStart w:id="381" w:name="Tc_sukWLnW7k0ql2un2EXczDw_24_0"/>
      <w:bookmarkStart w:id="382" w:name="Tc_8YHs4ppchkO_iCVXZYo_Mg_23_6"/>
      <w:bookmarkStart w:id="383" w:name="Tc_ZQcwD6LUW0-HOPVvf9vDoA_23_0"/>
      <w:bookmarkStart w:id="384" w:name="Tc_6EFEzXhB0UyFFggu2EgxsA_22_0"/>
      <w:bookmarkStart w:id="385" w:name="Tc_j-I9rHNb9kyxP5--gY7UCg_21_0"/>
      <w:bookmarkStart w:id="386" w:name="Tc_GuoLqJOAL0ilh9G4dea8tw_20_0"/>
      <w:bookmarkStart w:id="387" w:name="Tc_slFTSMamAUOUBfDaUa1rbQ_18_0"/>
      <w:bookmarkStart w:id="388" w:name="Tc_ywT-cgfes0evA7aupP2Viw_17_0"/>
      <w:bookmarkStart w:id="389" w:name="Tc_M-tArdQYNUOt9662VuVd7w_16_0"/>
      <w:bookmarkStart w:id="390" w:name="Tc_0zkgGZET4UeQI9kFVKmscQ_15_0"/>
      <w:bookmarkStart w:id="391" w:name="Tc_BpJd2ITv9kCWgR7zwyF4jg_14_0"/>
      <w:bookmarkStart w:id="392" w:name="Tc_q-4p5qAuuEe8jII5mL4Wrg_13_0"/>
      <w:bookmarkStart w:id="393" w:name="Tc_nJQZKBf-ZkK235am3fMM9w_12_6"/>
      <w:bookmarkStart w:id="394" w:name="Tc_YIdoj3ugyE6CUXsNWQs48Q_12_0"/>
      <w:bookmarkStart w:id="395" w:name="Tc_ukutSeWmAUaJBs-kmbeI3Q_11_0"/>
      <w:bookmarkStart w:id="396" w:name="Tc_8B5MKRlr8EiinCFcHqsBNw_10_0"/>
      <w:bookmarkStart w:id="397" w:name="Tc_lGbuPl175Uus-QtCkZk49w_9_0"/>
      <w:bookmarkStart w:id="398" w:name="Tc_n6-0YP9Gx0CgR0ORakdmCA_8_0"/>
      <w:bookmarkStart w:id="399" w:name="Tc_En82UZRtrEW_lZy_SkPhkQ_7_0"/>
      <w:bookmarkStart w:id="400" w:name="Tc_cCOlsh0Bg0CxbNszxZLPWA_6_0"/>
      <w:bookmarkStart w:id="401" w:name="Tc_qfO-LyTfKECuYtYW9uNfdA_5_5"/>
      <w:bookmarkStart w:id="402" w:name="Tc_vl_fGt2y3UGPCdh9shQEwQ_5_2"/>
      <w:bookmarkStart w:id="403" w:name="Tc_oPoC1t41BEeOvs-eo7wY4w_5_0"/>
      <w:bookmarkStart w:id="404" w:name="Tc_-mAZZHDB70uDwhQLd9dOeA_4_0"/>
      <w:bookmarkStart w:id="405" w:name="Tc_OUPFUP9fRk64cseSSNI9-g_3_5"/>
      <w:bookmarkStart w:id="406" w:name="Tc_ccoQ2h54cEyLlth95KS3OQ_3_2"/>
      <w:bookmarkStart w:id="407" w:name="Tc_NA9mZFWR3UqMkQQVIURWdQ_2_2"/>
      <w:bookmarkStart w:id="408" w:name="Tc_L6huFzbBpUKhuZqCqBYNLw_1_2"/>
      <w:bookmarkStart w:id="409" w:name="_1e915c69_9ce9_484c_bf2c_d8a5cc4cb93e"/>
      <w:bookmarkStart w:id="410" w:name="Tc_957dh_DIDEWGyzQyDSDLWA_33_5"/>
      <w:bookmarkStart w:id="411" w:name="Tc_hjz7RFtx5E60ItGBrJlczA_33_2"/>
      <w:bookmarkStart w:id="412" w:name="Tc_sXZo-75ABEilnZDSIy8MHA_33_0"/>
      <w:bookmarkStart w:id="413" w:name="Tc_NVOr7u7UEU6pfQ9OJbjN9Q_32_0"/>
      <w:bookmarkStart w:id="414" w:name="Tc_DtR2MHbk1Ei5LxofrtV99g_31_0"/>
      <w:bookmarkStart w:id="415" w:name="Tc_T4ys4-kgjUq0BB-4rU6RbA_29_0"/>
      <w:bookmarkStart w:id="416" w:name="Tc_nYUCqJQIeEG0u8Hnod-XgQ_28_3"/>
      <w:bookmarkStart w:id="417" w:name="Tc_-GAYORGmHUegopnPcod3tg_28_0"/>
      <w:bookmarkStart w:id="418" w:name="Tc_Xk-NZe5REEyPgfEkvYcEdg_27_0"/>
      <w:bookmarkStart w:id="419" w:name="Tc_SD3CvgfwsUCt-4s2OhUU_w_26_0"/>
      <w:bookmarkStart w:id="420" w:name="Tc_sukWLnW7k0ql2un2EXczDw_24_0"/>
      <w:bookmarkStart w:id="421" w:name="Tc_8YHs4ppchkO_iCVXZYo_Mg_23_6"/>
      <w:bookmarkStart w:id="422" w:name="Tc_ZQcwD6LUW0-HOPVvf9vDoA_23_0"/>
      <w:bookmarkStart w:id="423" w:name="Tc_6EFEzXhB0UyFFggu2EgxsA_22_0"/>
      <w:bookmarkStart w:id="424" w:name="Tc_j-I9rHNb9kyxP5--gY7UCg_21_0"/>
      <w:bookmarkStart w:id="425" w:name="Tc_GuoLqJOAL0ilh9G4dea8tw_20_0"/>
      <w:bookmarkStart w:id="426" w:name="Tc_slFTSMamAUOUBfDaUa1rbQ_18_0"/>
      <w:bookmarkStart w:id="427" w:name="Tc_ywT-cgfes0evA7aupP2Viw_17_0"/>
      <w:bookmarkStart w:id="428" w:name="Tc_M-tArdQYNUOt9662VuVd7w_16_0"/>
      <w:bookmarkStart w:id="429" w:name="Tc_0zkgGZET4UeQI9kFVKmscQ_15_0"/>
      <w:bookmarkStart w:id="430" w:name="Tc_BpJd2ITv9kCWgR7zwyF4jg_14_0"/>
      <w:bookmarkStart w:id="431" w:name="Tc_q-4p5qAuuEe8jII5mL4Wrg_13_0"/>
      <w:bookmarkStart w:id="432" w:name="Tc_nJQZKBf-ZkK235am3fMM9w_12_6"/>
      <w:bookmarkStart w:id="433" w:name="Tc_YIdoj3ugyE6CUXsNWQs48Q_12_0"/>
      <w:bookmarkStart w:id="434" w:name="Tc_ukutSeWmAUaJBs-kmbeI3Q_11_0"/>
      <w:bookmarkStart w:id="435" w:name="Tc_8B5MKRlr8EiinCFcHqsBNw_10_0"/>
      <w:bookmarkStart w:id="436" w:name="Tc_lGbuPl175Uus-QtCkZk49w_9_0"/>
      <w:bookmarkStart w:id="437" w:name="Tc_n6-0YP9Gx0CgR0ORakdmCA_8_0"/>
      <w:bookmarkStart w:id="438" w:name="Tc_En82UZRtrEW_lZy_SkPhkQ_7_0"/>
      <w:bookmarkStart w:id="439" w:name="Tc_cCOlsh0Bg0CxbNszxZLPWA_6_0"/>
      <w:bookmarkStart w:id="440" w:name="Tc_qfO-LyTfKECuYtYW9uNfdA_5_5"/>
      <w:bookmarkStart w:id="441" w:name="Tc_vl_fGt2y3UGPCdh9shQEwQ_5_2"/>
      <w:bookmarkStart w:id="442" w:name="Tc_oPoC1t41BEeOvs-eo7wY4w_5_0"/>
      <w:bookmarkStart w:id="443" w:name="Tc_-mAZZHDB70uDwhQLd9dOeA_4_0"/>
      <w:bookmarkStart w:id="444" w:name="Tc_OUPFUP9fRk64cseSSNI9-g_3_5"/>
      <w:bookmarkStart w:id="445" w:name="Tc_ccoQ2h54cEyLlth95KS3OQ_3_2"/>
      <w:bookmarkStart w:id="446" w:name="Tc_NA9mZFWR3UqMkQQVIURWdQ_2_2"/>
      <w:bookmarkStart w:id="447" w:name="Tc_L6huFzbBpUKhuZqCqBYNLw_1_2"/>
      <w:bookmarkStart w:id="448" w:name="_1e915c69_9ce9_484c_bf2c_d8a5cc4cb93e"/>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tbl>
      <w:tblPr>
        <w:tblW w:w="8498" w:type="dxa"/>
        <w:jc w:val="left"/>
        <w:tblInd w:w="0" w:type="dxa"/>
        <w:tblLayout w:type="fixed"/>
        <w:tblCellMar>
          <w:top w:w="0" w:type="dxa"/>
          <w:left w:w="0" w:type="dxa"/>
          <w:bottom w:w="0" w:type="dxa"/>
          <w:right w:w="0" w:type="dxa"/>
        </w:tblCellMar>
      </w:tblPr>
      <w:tblGrid>
        <w:gridCol w:w="6091"/>
        <w:gridCol w:w="346"/>
        <w:gridCol w:w="196"/>
        <w:gridCol w:w="496"/>
        <w:gridCol w:w="346"/>
        <w:gridCol w:w="196"/>
        <w:gridCol w:w="496"/>
        <w:gridCol w:w="331"/>
      </w:tblGrid>
      <w:tr>
        <w:trPr/>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867785" cy="175260"/>
                      <wp:effectExtent l="0" t="0" r="0" b="0"/>
                      <wp:wrapNone/>
                      <wp:docPr id="34" name="Frame33"/>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14960" cy="175260"/>
                      <wp:effectExtent l="0" t="0" r="0" b="0"/>
                      <wp:wrapNone/>
                      <wp:docPr id="37" name="Frame3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14960" cy="175260"/>
                      <wp:effectExtent l="0" t="0" r="0" b="0"/>
                      <wp:wrapNone/>
                      <wp:docPr id="40" name="Frame3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0185" cy="175260"/>
                      <wp:effectExtent l="0" t="0" r="0" b="0"/>
                      <wp:wrapNone/>
                      <wp:docPr id="41" name="Frame4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30"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Three months ended </w:t>
            </w:r>
          </w:p>
        </w:tc>
        <w:tc>
          <w:tcPr>
            <w:tcW w:w="331" w:type="dxa"/>
            <w:tcBorders/>
            <w:vAlign w:val="center"/>
          </w:tcPr>
          <w:p>
            <w:pPr>
              <w:pStyle w:val="TableContents"/>
              <w:bidi w:val="0"/>
              <w:spacing w:before="0" w:after="0"/>
              <w:ind w:left="0" w:right="0" w:hanging="0"/>
              <w:jc w:val="center"/>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March 31, </w:t>
            </w:r>
          </w:p>
        </w:tc>
        <w:tc>
          <w:tcPr>
            <w:tcW w:w="331" w:type="dxa"/>
            <w:tcBorders/>
            <w:vAlign w:val="center"/>
          </w:tcPr>
          <w:p>
            <w:pPr>
              <w:pStyle w:val="TableContents"/>
              <w:bidi w:val="0"/>
              <w:spacing w:before="0" w:after="0"/>
              <w:ind w:left="0" w:right="0" w:hanging="0"/>
              <w:jc w:val="center"/>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331" w:type="dxa"/>
            <w:tcBorders/>
            <w:vAlign w:val="center"/>
          </w:tcPr>
          <w:p>
            <w:pPr>
              <w:pStyle w:val="TableContents"/>
              <w:bidi w:val="0"/>
              <w:spacing w:before="0" w:after="0"/>
              <w:ind w:left="0" w:right="0" w:hanging="0"/>
              <w:jc w:val="center"/>
              <w:rPr/>
            </w:pPr>
            <w:r>
              <w:rPr/>
              <w:t>  ​ ​</w:t>
            </w:r>
          </w:p>
        </w:tc>
      </w:tr>
      <w:tr>
        <w:trPr/>
        <w:tc>
          <w:tcPr>
            <w:tcW w:w="609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Cash flows from operating activities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income (loss)</w:t>
            </w:r>
          </w:p>
        </w:tc>
        <w:tc>
          <w:tcPr>
            <w:tcW w:w="346" w:type="dxa"/>
            <w:tcBorders/>
            <w:shd w:fill="CEDBE0" w:val="clear"/>
            <w:vAlign w:val="center"/>
          </w:tcPr>
          <w:p>
            <w:pPr>
              <w:pStyle w:val="TableContents"/>
              <w:bidi w:val="0"/>
              <w:spacing w:before="0" w:after="0"/>
              <w:ind w:left="0" w:right="0" w:hanging="0"/>
              <w:jc w:val="left"/>
              <w:rPr/>
            </w:pPr>
            <w:r>
              <w:rPr/>
              <w:t> </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71</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(79)</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Adjustments to reconcile to 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Depreciation and amortization</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143</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176</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Gain on disposal of assets, net</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Amortization of debt-related balances,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13</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(Gain) loss on adjustment to bifurcated compound exchange feature</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153</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(36)</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Loss on retirement of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Deferred income tax expense (benefit)</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(73)</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Other,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Changes in contract liabilities, net</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(42)</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(38)</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Changes in deferred costs,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(12)</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Changes in other operating assets and liabilities, net</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(143)</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cash provided by operating activities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26</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Capital expenditures</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(28)</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(60)</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Proceeds from disposal of assets, net of costs to sell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Proceeds from disposal of investment in note receivable from unconsolidated affiliate</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13</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cash provided by (used in) investing activities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(58)</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 xml:space="preserve">Repayments of debt </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(556)</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(210)</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Other, net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cash used in financing activities</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(556)</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(218)</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decrease in unrestricted and restricted cash and cash equivalents</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(382)</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(250)</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Unrestricted and restricted cash and cash equivalents, beginning of period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997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941</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Unrestricted and restricted cash and cash equivalents, end of period</w:t>
            </w:r>
          </w:p>
        </w:tc>
        <w:tc>
          <w:tcPr>
            <w:tcW w:w="34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96"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615</w:t>
            </w:r>
          </w:p>
        </w:tc>
        <w:tc>
          <w:tcPr>
            <w:tcW w:w="34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96"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691</w:t>
            </w:r>
          </w:p>
        </w:tc>
        <w:tc>
          <w:tcPr>
            <w:tcW w:w="33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 w:after="283"/>
        <w:ind w:left="0" w:right="0" w:firstLine="720"/>
        <w:jc w:val="both"/>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- 5 -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pBdr>
          <w:bottom w:val="single" w:sz="18" w:space="1" w:color="ECA44A"/>
        </w:pBdr>
        <w:bidi w:val="0"/>
        <w:spacing w:before="0" w:after="60"/>
        <w:ind w:left="0" w:right="0" w:hanging="0"/>
        <w:jc w:val="left"/>
        <w:rPr>
          <w:rFonts w:ascii="Arial Narrow" w:hAnsi="Arial Narrow"/>
          <w:b/>
          <w:caps/>
          <w:color w:val="00556F"/>
          <w:sz w:val="22"/>
        </w:rPr>
      </w:pPr>
      <w:bookmarkStart w:id="449" w:name="FN_Business"/>
      <w:bookmarkStart w:id="450" w:name="NotesToConsolidatedFinancialStatements"/>
      <w:bookmarkEnd w:id="449"/>
      <w:bookmarkEnd w:id="450"/>
      <w:r>
        <w:rPr>
          <w:rFonts w:ascii="Arial Narrow" w:hAnsi="Arial Narrow"/>
          <w:b/>
          <w:caps/>
          <w:color w:val="00556F"/>
          <w:sz w:val="22"/>
        </w:rPr>
        <w:t>Note 1—Business</w:t>
      </w:r>
    </w:p>
    <w:p>
      <w:pPr>
        <w:pStyle w:val="TextBody"/>
        <w:bidi w:val="0"/>
        <w:spacing w:before="120" w:after="60"/>
        <w:ind w:left="0" w:right="0" w:hanging="0"/>
        <w:jc w:val="left"/>
        <w:rPr>
          <w:rFonts w:ascii="Arial Narrow" w:hAnsi="Arial Narrow"/>
          <w:b/>
          <w:i/>
          <w:color w:val="00556F"/>
          <w:sz w:val="20"/>
        </w:rPr>
      </w:pPr>
      <w:r>
        <w:rPr>
          <w:rFonts w:ascii="Arial Narrow" w:hAnsi="Arial Narrow"/>
          <w:b/>
          <w:i/>
          <w:color w:val="00556F"/>
          <w:sz w:val="20"/>
        </w:rPr>
        <w:t>Overview</w:t>
      </w:r>
    </w:p>
    <w:p>
      <w:pPr>
        <w:pStyle w:val="TextBody"/>
        <w:bidi w:val="0"/>
        <w:spacing w:before="60" w:after="120"/>
        <w:ind w:left="0" w:right="0" w:firstLine="720"/>
        <w:jc w:val="both"/>
        <w:rPr>
          <w:rFonts w:ascii="Arial Narrow" w:hAnsi="Arial Narrow"/>
          <w:sz w:val="20"/>
        </w:rPr>
      </w:pPr>
      <w:r>
        <w:rPr>
          <w:rFonts w:ascii="Arial Narrow" w:hAnsi="Arial Narrow"/>
          <w:sz w:val="20"/>
        </w:rPr>
        <w:t>Transocean Ltd. (together with its subsidiaries and predecessors, unless the context requires otherwise, “Transocean,” “we,” “us” or “our”) is a leading international provider of offshore contract drilling services for oil and gas wells.  As of March 31, 2026, we owned or had partial ownership interests in and operated a fleet of 27 mobile offshore drilling units, consisting of 20 ultra-deepwater drillships and seven harsh environment semisubmersibles.</w:t>
      </w:r>
    </w:p>
    <w:p>
      <w:pPr>
        <w:pStyle w:val="TextBody"/>
        <w:bidi w:val="0"/>
        <w:spacing w:before="180" w:after="60"/>
        <w:ind w:left="0" w:right="0" w:hanging="0"/>
        <w:jc w:val="left"/>
        <w:rPr>
          <w:rFonts w:ascii="Arial Narrow" w:hAnsi="Arial Narrow"/>
          <w:b/>
          <w:i/>
          <w:color w:val="00556F"/>
          <w:sz w:val="20"/>
        </w:rPr>
      </w:pPr>
      <w:r>
        <w:rPr>
          <w:rFonts w:ascii="Arial Narrow" w:hAnsi="Arial Narrow"/>
          <w:b/>
          <w:i/>
          <w:color w:val="00556F"/>
          <w:sz w:val="20"/>
        </w:rPr>
        <w:t>Agreement to acquire Valaris Limited</w:t>
      </w:r>
    </w:p>
    <w:p>
      <w:pPr>
        <w:pStyle w:val="TextBody"/>
        <w:bidi w:val="0"/>
        <w:spacing w:before="60" w:after="120"/>
        <w:ind w:left="0" w:right="0" w:firstLine="720"/>
        <w:jc w:val="both"/>
        <w:rPr>
          <w:rFonts w:ascii="Arial Narrow" w:hAnsi="Arial Narrow"/>
          <w:sz w:val="20"/>
        </w:rPr>
      </w:pPr>
      <w:r>
        <w:rPr>
          <w:rFonts w:ascii="Arial Narrow" w:hAnsi="Arial Narrow"/>
          <w:sz w:val="20"/>
        </w:rPr>
        <w:t>On February 9, 2026, we and Valaris Limited, an exempted company limited by shares incorporated under the laws of Bermuda, ("Valaris") entered into a Business Combination Agreement (the "Agreement"), providing for the combination of Transocean and Valaris (the "Business Combination").  Pursuant to the Agreement, and on the terms and subject to the conditions thereof, we will acquire all of the issued and outstanding common shares, par value $0.01 each, of Valaris (the “Valaris Shares”) in exchange for Transocean Ltd. shares, par value $0.10 each, at an exchange ratio of 15.235 Transocean Ltd. shares for each Valaris Share.  Pursuant to the Agreement, and on the terms and subject to the conditions thereof, at the time on which the order of the Supreme Court of Bermuda providing for its sanction of the Scheme of Arrangement is filed with the Registrar of Companies of Bermuda, the Business Combination will become effective and Valaris will become our wholly owned subsidiary.  The board of directors of Transocean and Valaris each unanimously approved and declared advisable the Agreement and the transactions contemplated thereby, including the Business Combination.  In the three months ended March 31, 2026, we incurred acquisition costs of $6 million, recorded in general and administrative costs and expenses.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451" w:name="FNSAP"/>
      <w:bookmarkEnd w:id="451"/>
      <w:r>
        <w:rPr>
          <w:rFonts w:ascii="Arial Narrow" w:hAnsi="Arial Narrow"/>
          <w:b/>
          <w:caps/>
          <w:color w:val="00556F"/>
          <w:sz w:val="22"/>
        </w:rPr>
        <w:t>Note 2—Significant Accounting Policies</w:t>
      </w:r>
    </w:p>
    <w:p>
      <w:pPr>
        <w:pStyle w:val="TextBody"/>
        <w:bidi w:val="0"/>
        <w:spacing w:before="60" w:after="120"/>
        <w:ind w:left="0" w:right="0" w:firstLine="720"/>
        <w:jc w:val="both"/>
        <w:rPr/>
      </w:pPr>
      <w:r>
        <w:rPr>
          <w:rFonts w:ascii="Arial Narrow" w:hAnsi="Arial Narrow"/>
          <w:b/>
          <w:sz w:val="20"/>
        </w:rPr>
        <w:t>Presentation</w:t>
      </w:r>
      <w:r>
        <w:rPr>
          <w:rFonts w:ascii="Arial Narrow" w:hAnsi="Arial Narrow"/>
          <w:sz w:val="20"/>
        </w:rPr>
        <w:t xml:space="preserve">—We prepared our accompanying unaudited condensed consolidated financial statements in accordance with accounting principles generally accepted in the United States (“U.S.”) for interim financial information and with the instructions to Form 10-Q and Article 10 of Regulation S-X promulgated by the U.S. Securities and Exchange Commission.  Pursuant to such rules and regulations, these financial statements do not include all disclosures required by accounting principles generally accepted in the U.S. for complete financial statements.  The condensed consolidated financial statements reflect all adjustments, which are, in the opinion of management, necessary for a fair presentation of the financial position, results of operations and cash flows for the interim periods.  Such adjustments are considered to be of a normal recurring nature unless otherwise noted.  Operating results for the three months ended March 31, 2026, are not necessarily indicative of the results that may be expected for the year ending December 31, 2026, or for any future period.  The accompanying condensed consolidated financial statements and notes thereto should be read in conjunction with the audited consolidated financial statements and notes thereto as of December 31, 2025 and 2024, and for each of the three years in the period ended December 31, 2025, included in our annual report on </w:t>
      </w:r>
      <w:hyperlink r:id="rId3">
        <w:r>
          <w:rPr>
            <w:rStyle w:val="InternetLink"/>
            <w:rFonts w:ascii="Arial Narrow" w:hAnsi="Arial Narrow"/>
            <w:b w:val="false"/>
            <w:i w:val="false"/>
            <w:caps w:val="false"/>
            <w:smallCaps w:val="false"/>
            <w:sz w:val="20"/>
          </w:rPr>
          <w:t>Form 10K filed on February 23, 2026</w:t>
        </w:r>
      </w:hyperlink>
      <w:r>
        <w:rPr>
          <w:rFonts w:ascii="Arial Narrow" w:hAnsi="Arial Narrow"/>
          <w:sz w:val="20"/>
        </w:rPr>
        <w:t>.</w:t>
      </w:r>
    </w:p>
    <w:p>
      <w:pPr>
        <w:pStyle w:val="TextBody"/>
        <w:bidi w:val="0"/>
        <w:spacing w:before="60" w:after="120"/>
        <w:ind w:left="0" w:right="0" w:firstLine="720"/>
        <w:jc w:val="both"/>
        <w:rPr>
          <w:rFonts w:ascii="Arial Narrow" w:hAnsi="Arial Narrow"/>
          <w:sz w:val="20"/>
        </w:rPr>
      </w:pPr>
      <w:r>
        <w:rPr>
          <w:rFonts w:ascii="Arial Narrow" w:hAnsi="Arial Narrow"/>
          <w:b/>
          <w:sz w:val="20"/>
        </w:rPr>
        <w:t>Accounting estimates</w:t>
      </w:r>
      <w:r>
        <w:rPr>
          <w:rFonts w:ascii="Arial Narrow" w:hAnsi="Arial Narrow"/>
          <w:sz w:val="20"/>
        </w:rPr>
        <w:t>—To prepare financial statements in accordance with accounting principles generally accepted in the U.S., we must make judgments by applying estimates and assumptions that affect the reported amounts of assets, liabilities, revenues and expenses and the disclosures of contingent assets and liabilities.  On an ongoing basis, we evaluate our estimates and assumptions, including those related to our income taxes, property and equipment, equity investments, contingencies, allowance for excess materials and supplies, assets held for sale, postemployment benefit plans and share-based compensation.  We base our estimates and assumptions on historical experience and other factors that we believe are reasonable.  Actual results could differ from such estimates.</w:t>
      </w:r>
    </w:p>
    <w:p>
      <w:pPr>
        <w:pStyle w:val="TextBody"/>
        <w:bidi w:val="0"/>
        <w:spacing w:before="60" w:after="120"/>
        <w:ind w:left="0" w:right="0" w:firstLine="720"/>
        <w:jc w:val="both"/>
        <w:rPr>
          <w:rFonts w:ascii="Arial Narrow" w:hAnsi="Arial Narrow"/>
          <w:sz w:val="20"/>
        </w:rPr>
      </w:pPr>
      <w:r>
        <w:rPr>
          <w:rFonts w:ascii="Arial Narrow" w:hAnsi="Arial Narrow"/>
          <w:b/>
          <w:sz w:val="20"/>
        </w:rPr>
        <w:t>Fair value measurements</w:t>
      </w:r>
      <w:r>
        <w:rPr>
          <w:rFonts w:ascii="Arial Narrow" w:hAnsi="Arial Narrow"/>
          <w:sz w:val="20"/>
        </w:rPr>
        <w:t>—We estimate fair value at an exchange price that would be received to sell an asset or paid to transfer a liability in the principal or most advantageous market for the asset or liability in an orderly transaction between market participants.  Our valuation techniques require inputs that we categorize using a three-level hierarchy, from highest to lowest level of observable inputs, as follows: (1) significant observable inputs, including unadjusted quoted prices for identical assets or liabilities in active markets (“Level 1”), (2) significant other observable inputs, including direct or indirect market data for similar assets or liabilities in active markets or identical assets or liabilities in less active markets (“Level 2”) and (3) significant unobservable inputs, including those that require considerable judgment for which there is little or no market data (“Level 3”).  When a valuation requires multiple input levels, we categorize the entire fair value measurement according to the lowest level of input that is significant to the measurement even though we may have also utilized significant inputs that are more readily observable.</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r>
        <w:rPr>
          <w:rFonts w:ascii="Arial Narrow" w:hAnsi="Arial Narrow"/>
          <w:b/>
          <w:caps/>
          <w:color w:val="00556F"/>
          <w:sz w:val="22"/>
        </w:rPr>
        <w:t>Note 3—Accounting Standards Updates</w:t>
      </w:r>
    </w:p>
    <w:p>
      <w:pPr>
        <w:pStyle w:val="TextBody"/>
        <w:bidi w:val="0"/>
        <w:spacing w:before="120" w:after="60"/>
        <w:ind w:left="0" w:right="0" w:hanging="0"/>
        <w:jc w:val="left"/>
        <w:rPr>
          <w:rFonts w:ascii="Arial Narrow" w:hAnsi="Arial Narrow"/>
          <w:b/>
          <w:i/>
          <w:color w:val="00556F"/>
          <w:sz w:val="20"/>
        </w:rPr>
      </w:pPr>
      <w:r>
        <w:rPr>
          <w:rFonts w:ascii="Arial Narrow" w:hAnsi="Arial Narrow"/>
          <w:b/>
          <w:i/>
          <w:color w:val="00556F"/>
          <w:sz w:val="20"/>
        </w:rPr>
        <w:t>Recently issued accounting standards updates not yet adopted</w:t>
      </w:r>
    </w:p>
    <w:p>
      <w:pPr>
        <w:pStyle w:val="TextBody"/>
        <w:bidi w:val="0"/>
        <w:spacing w:before="60" w:after="0"/>
        <w:ind w:left="0" w:right="0" w:firstLine="720"/>
        <w:jc w:val="both"/>
        <w:rPr>
          <w:rFonts w:ascii="Arial Narrow" w:hAnsi="Arial Narrow"/>
          <w:sz w:val="20"/>
        </w:rPr>
      </w:pPr>
      <w:r>
        <w:rPr>
          <w:rFonts w:ascii="Arial Narrow" w:hAnsi="Arial Narrow"/>
          <w:b/>
          <w:sz w:val="20"/>
        </w:rPr>
        <w:t>Disaggregated income statement expenses</w:t>
      </w:r>
      <w:r>
        <w:rPr>
          <w:rFonts w:ascii="Arial Narrow" w:hAnsi="Arial Narrow"/>
          <w:sz w:val="20"/>
        </w:rPr>
        <w:t xml:space="preserve">—Effective for the year ending December 31, 2027, we will adopt the accounting standards update that requires, in the notes to consolidated financial statements, disaggregated disclosures of certain categories of expenses that are included in expense line items on the face of the consolidated statements of operations.  The disclosures will be required on an annual and interim basis.  We will provide the new disclosures, as required, for annual periods beginning with our annual report on Form 10-K for the year ending December 31, 2027, and subsequently, for interim periods beginning with our quarterly report on Form 10-Q for the </w:t>
      </w:r>
    </w:p>
    <w:p>
      <w:pPr>
        <w:pStyle w:val="TextBody"/>
        <w:bidi w:val="0"/>
        <w:spacing w:before="0" w:after="0"/>
        <w:ind w:left="0" w:right="0" w:hanging="0"/>
        <w:jc w:val="center"/>
        <w:rPr>
          <w:rFonts w:ascii="Arial Narrow" w:hAnsi="Arial Narrow"/>
          <w:sz w:val="20"/>
        </w:rPr>
      </w:pPr>
      <w:r>
        <w:rPr>
          <w:rFonts w:ascii="Arial Narrow" w:hAnsi="Arial Narrow"/>
          <w:sz w:val="20"/>
        </w:rPr>
        <w:t>- 6 -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120"/>
        <w:ind w:left="0" w:right="0" w:hanging="0"/>
        <w:jc w:val="both"/>
        <w:rPr>
          <w:rFonts w:ascii="Arial Narrow" w:hAnsi="Arial Narrow"/>
          <w:sz w:val="20"/>
        </w:rPr>
      </w:pPr>
      <w:r>
        <w:rPr>
          <w:rFonts w:ascii="Arial Narrow" w:hAnsi="Arial Narrow"/>
          <w:sz w:val="20"/>
        </w:rPr>
        <w:t>quarterly period ending March 31, 2028.  We continue to evaluate the requirements.  Although our adoption will require us to augment certain disclosures in the notes to consolidated financial statements, we do not expect such adoption to have a material effect on our consolidated statements of financial position, operations or cash flows.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452" w:name="Tc_lYNzTiOINkeHnq9-hxLdjA_6_5"/>
      <w:bookmarkStart w:id="453" w:name="Tc_nwEbuHrWo0C0UbuaJNVAkA_6_2"/>
      <w:bookmarkStart w:id="454" w:name="Tc_PPnI-hlEYUy57dcznn2z9A_6_0"/>
      <w:bookmarkStart w:id="455" w:name="Tc_ZyWsGgsp4UCO4vYYXFdKww_5_0"/>
      <w:bookmarkStart w:id="456" w:name="Tc_aLYvF25ra0CLshv5jANuEw_4_0"/>
      <w:bookmarkStart w:id="457" w:name="Tc_o4X_5nAws0WiiDrzHdNrwA_3_5"/>
      <w:bookmarkStart w:id="458" w:name="Tc_tmvGVQrprE-1jdhugGoDUg_3_2"/>
      <w:bookmarkStart w:id="459" w:name="Tc_wxlOunr5VUe0FtC64H8TkA_3_0"/>
      <w:bookmarkStart w:id="460" w:name="Tc_gYOtlNibL0qoXRRGPay7Sg_2_5"/>
      <w:bookmarkStart w:id="461" w:name="Tc_G__2nVC_hUm33BBrvLNV7Q_2_2"/>
      <w:bookmarkStart w:id="462" w:name="Tc_GAMVFUzMH0-YGHpY1Si4lA_1_2"/>
      <w:bookmarkStart w:id="463" w:name="_7db94f16_68df_4d76_b9da_4b996bac3281"/>
      <w:bookmarkStart w:id="464" w:name="Tc_iZp5SlYK5kq-5oNjr552Nw_5_5"/>
      <w:bookmarkStart w:id="465" w:name="Tc_d3Bn5B3zU0-5nnhNpqbydA_5_2"/>
      <w:bookmarkStart w:id="466" w:name="Tc_A2HVYuPaPE-ISh_10NNwgA_5_0"/>
      <w:bookmarkStart w:id="467" w:name="Tc_qqCqg0vX5UCc41JXiwnrOQ_4_0"/>
      <w:bookmarkStart w:id="468" w:name="Tc_pW6TCyKxoUaU7NjMoC4tVw_3_5"/>
      <w:bookmarkStart w:id="469" w:name="Tc_qjJC5iBZtkmDPc51AAgXiw_3_2"/>
      <w:bookmarkStart w:id="470" w:name="Tc_oQM3XhbjLUmOjD05m8qglw_3_0"/>
      <w:bookmarkStart w:id="471" w:name="Tc_Fv3mVasmp0-Pw28Tm420pQ_2_5"/>
      <w:bookmarkStart w:id="472" w:name="Tc_mhEn4a5f4UW1g3xIEhRxsQ_2_2"/>
      <w:bookmarkStart w:id="473" w:name="Tc_yKSCsvz9hEeAlu1V3fRdAA_1_5"/>
      <w:bookmarkStart w:id="474" w:name="Tc_3BOZsuUi2EGz-IxKOVj01w_1_2"/>
      <w:bookmarkStart w:id="475" w:name="_9317a6dc_02a6_461c_bdb9_337edc9f38d6"/>
      <w:bookmarkStart w:id="476" w:name="Tc_a56GTKu8SUaywXomNusr_g_10_17"/>
      <w:bookmarkStart w:id="477" w:name="Tc_81MzsO84M0KpGMP77586XQ_10_14"/>
      <w:bookmarkStart w:id="478" w:name="Tc_fngq3FbafUmZqYFa6putHQ_10_11"/>
      <w:bookmarkStart w:id="479" w:name="Tc_woAuPXGb50SQaq8JyGTWpw_10_8"/>
      <w:bookmarkStart w:id="480" w:name="Tc_hy9J7_q3VU69wlNYXmf_vw_10_5"/>
      <w:bookmarkStart w:id="481" w:name="Tc_YYNjg6sa4UahmSZgeWoQNg_10_2"/>
      <w:bookmarkStart w:id="482" w:name="Tc_4jT4eFW560yz3x1XrUPHtg_10_0"/>
      <w:bookmarkStart w:id="483" w:name="Tc_TiEg1QewcUqpGcv210F7WA_9_0"/>
      <w:bookmarkStart w:id="484" w:name="Tc_yoXSS3TSC0-pNzBnDqrdog_8_12"/>
      <w:bookmarkStart w:id="485" w:name="Tc_6BL7-EDgq0e3GtlERvnSXg_8_3"/>
      <w:bookmarkStart w:id="486" w:name="Tc_AC2NMJaa5USgBE80KPxp3Q_8_0"/>
      <w:bookmarkStart w:id="487" w:name="Tc_d34hUxXuFUuT6htXzbj7Ow_7_15"/>
      <w:bookmarkStart w:id="488" w:name="Tc_3Foqx2r1xE-66JDYB2FWMg_7_6"/>
      <w:bookmarkStart w:id="489" w:name="Tc__llE1EiabUaIrvkZ8d4mmQ_7_0"/>
      <w:bookmarkStart w:id="490" w:name="Tc_MnI2uXE0PEi4ikn6hbCLcQ_6_17"/>
      <w:bookmarkStart w:id="491" w:name="Tc_KquGwwXZ80mUEs7WwFOosA_6_15"/>
      <w:bookmarkStart w:id="492" w:name="Tc_0ZSnNY9h10KqSTdKTuqfnQ_6_14"/>
      <w:bookmarkStart w:id="493" w:name="Tc__KUMqhxYBUC5q-qedwNpkQ_6_11"/>
      <w:bookmarkStart w:id="494" w:name="Tc_1WACQj9NIU2H2S71Jrmx9Q_6_8"/>
      <w:bookmarkStart w:id="495" w:name="Tc_ZawULZFtxEKXI73IYaaqbQ_6_6"/>
      <w:bookmarkStart w:id="496" w:name="Tc_VoflYsrePkeU9tj3Lw3iYQ_6_5"/>
      <w:bookmarkStart w:id="497" w:name="Tc_vEu_EvTHy0iQMIsaueE5sw_6_2"/>
      <w:bookmarkStart w:id="498" w:name="Tc_2b0gDlN9rkec6Prbmc3oFg_6_0"/>
      <w:bookmarkStart w:id="499" w:name="Tc_d4E6qHuXBU-nbBBZImz1mQ_5_17"/>
      <w:bookmarkStart w:id="500" w:name="Tc_3OCosXf-uUK4sRaFH9EyAg_5_14"/>
      <w:bookmarkStart w:id="501" w:name="Tc_He9ue5uR4ESuMkC3ca83cA_5_11"/>
      <w:bookmarkStart w:id="502" w:name="Tc_ORivxhGDUkCwRdox4GdZBw_5_8"/>
      <w:bookmarkStart w:id="503" w:name="Tc_kSeTVRhGVUmnhDKP06IlBw_5_5"/>
      <w:bookmarkStart w:id="504" w:name="Tc_lj1D9c-BLkiCL-4kmIESQQ_5_2"/>
      <w:bookmarkStart w:id="505" w:name="Tc_xsZOHGqMPEiKL5E5qxxIGg_4_14"/>
      <w:bookmarkStart w:id="506" w:name="Tc_GiTsaDV1xkiw8Z-qiXOoIw_4_11"/>
      <w:bookmarkStart w:id="507" w:name="Tc_EDmOz1kVrE6H2bz-mI9hfQ_4_5"/>
      <w:bookmarkStart w:id="508" w:name="Tc_VouQTHoV0EmTePnivcDCAw_4_2"/>
      <w:bookmarkStart w:id="509" w:name="Tc_jn8gXJk1vU-8L-EDaLaHTA_3_14"/>
      <w:bookmarkStart w:id="510" w:name="Tc_QqVMeQYNCkiWHiIHMVE4KA_3_11"/>
      <w:bookmarkStart w:id="511" w:name="Tc_npbn7ecDe0-55RmOmFldaw_3_5"/>
      <w:bookmarkStart w:id="512" w:name="Tc_vqJP7C-zHkSAbpBEeH2Vtg_3_2"/>
      <w:bookmarkStart w:id="513" w:name="Tc_GssDtJ1e2kCe7opy9Ic3cw_2_11"/>
      <w:bookmarkStart w:id="514" w:name="Tc_bIOyuo9KLUG2kA2bfsKvFQ_2_2"/>
      <w:bookmarkStart w:id="515" w:name="Tc_pPXs25XMJ0il1iK4smLR1g_1_2"/>
      <w:bookmarkStart w:id="516" w:name="_12f873a1_f193_47ea_84c1_1fcf610b0f3a"/>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Pr>
          <w:rFonts w:ascii="Arial Narrow" w:hAnsi="Arial Narrow"/>
          <w:b/>
          <w:caps/>
          <w:color w:val="00556F"/>
          <w:sz w:val="22"/>
        </w:rPr>
        <w:t>Note 4—Revenues</w:t>
      </w:r>
    </w:p>
    <w:p>
      <w:pPr>
        <w:pStyle w:val="TextBody"/>
        <w:bidi w:val="0"/>
        <w:spacing w:before="60" w:after="120"/>
        <w:ind w:left="0" w:right="0" w:firstLine="720"/>
        <w:jc w:val="both"/>
        <w:rPr>
          <w:rFonts w:ascii="Arial Narrow" w:hAnsi="Arial Narrow"/>
          <w:sz w:val="20"/>
        </w:rPr>
      </w:pPr>
      <w:r>
        <w:rPr>
          <w:rFonts w:ascii="Arial Narrow" w:hAnsi="Arial Narrow"/>
          <w:b/>
          <w:sz w:val="20"/>
        </w:rPr>
        <w:t>Overview</w:t>
      </w:r>
      <w:r>
        <w:rPr>
          <w:rFonts w:ascii="Arial Narrow" w:hAnsi="Arial Narrow"/>
          <w:sz w:val="20"/>
        </w:rPr>
        <w:t>—For most of our contracts with customers, our drilling services represent a single performance obligation that is satisfied over time, the duration of which varies by contract.  As of March 31, 2026, the drilling contract with the longest expected remaining duration, excluding unexercised options, extends through November 2030.</w:t>
      </w:r>
    </w:p>
    <w:p>
      <w:pPr>
        <w:pStyle w:val="TextBody"/>
        <w:bidi w:val="0"/>
        <w:spacing w:before="120" w:after="0"/>
        <w:ind w:left="0" w:right="0" w:firstLine="720"/>
        <w:jc w:val="both"/>
        <w:rPr>
          <w:rFonts w:ascii="Arial Narrow" w:hAnsi="Arial Narrow"/>
          <w:sz w:val="20"/>
        </w:rPr>
      </w:pPr>
      <w:r>
        <w:rPr>
          <w:rFonts w:ascii="Arial Narrow" w:hAnsi="Arial Narrow"/>
          <w:b/>
          <w:sz w:val="20"/>
        </w:rPr>
        <w:t>Disaggregation</w:t>
      </w:r>
      <w:r>
        <w:rPr>
          <w:rFonts w:ascii="Arial Narrow" w:hAnsi="Arial Narrow"/>
          <w:sz w:val="20"/>
        </w:rPr>
        <w:t>—Our contract drilling revenues, disaggregated by asset group and by country in which they were earned, were as follows (in millions):</w:t>
      </w:r>
    </w:p>
    <w:p>
      <w:pPr>
        <w:pStyle w:val="TextBody"/>
        <w:bidi w:val="0"/>
        <w:spacing w:before="0" w:after="0"/>
        <w:ind w:left="0" w:right="0" w:hanging="0"/>
        <w:jc w:val="left"/>
        <w:rPr/>
      </w:pPr>
      <w:r>
        <w:rPr/>
        <w:t>​</w:t>
      </w:r>
    </w:p>
    <w:tbl>
      <w:tblPr>
        <w:tblW w:w="7369" w:type="dxa"/>
        <w:jc w:val="left"/>
        <w:tblInd w:w="0" w:type="dxa"/>
        <w:tblLayout w:type="fixed"/>
        <w:tblCellMar>
          <w:top w:w="0" w:type="dxa"/>
          <w:left w:w="0" w:type="dxa"/>
          <w:bottom w:w="0" w:type="dxa"/>
          <w:right w:w="0" w:type="dxa"/>
        </w:tblCellMar>
      </w:tblPr>
      <w:tblGrid>
        <w:gridCol w:w="2041"/>
        <w:gridCol w:w="226"/>
        <w:gridCol w:w="211"/>
        <w:gridCol w:w="405"/>
        <w:gridCol w:w="226"/>
        <w:gridCol w:w="247"/>
        <w:gridCol w:w="474"/>
        <w:gridCol w:w="226"/>
        <w:gridCol w:w="181"/>
        <w:gridCol w:w="451"/>
        <w:gridCol w:w="109"/>
        <w:gridCol w:w="211"/>
        <w:gridCol w:w="405"/>
        <w:gridCol w:w="226"/>
        <w:gridCol w:w="247"/>
        <w:gridCol w:w="474"/>
        <w:gridCol w:w="226"/>
        <w:gridCol w:w="181"/>
        <w:gridCol w:w="331"/>
        <w:gridCol w:w="27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96035" cy="175260"/>
                      <wp:effectExtent l="0" t="0" r="0" b="0"/>
                      <wp:wrapNone/>
                      <wp:docPr id="42" name="Frame4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3510" cy="175260"/>
                      <wp:effectExtent l="0" t="0" r="0" b="0"/>
                      <wp:wrapNone/>
                      <wp:docPr id="43"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57175" cy="175260"/>
                      <wp:effectExtent l="0" t="0" r="0" b="0"/>
                      <wp:wrapNone/>
                      <wp:docPr id="45" name="Frame4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3510" cy="175260"/>
                      <wp:effectExtent l="0" t="0" r="0" b="0"/>
                      <wp:wrapNone/>
                      <wp:docPr id="46" name="Frame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6845" cy="175260"/>
                      <wp:effectExtent l="0" t="0" r="0" b="0"/>
                      <wp:wrapNone/>
                      <wp:docPr id="47" name="Frame4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00990" cy="175260"/>
                      <wp:effectExtent l="0" t="0" r="0" b="0"/>
                      <wp:wrapNone/>
                      <wp:docPr id="48" name="Frame47"/>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3510" cy="175260"/>
                      <wp:effectExtent l="0" t="0" r="0" b="0"/>
                      <wp:wrapNone/>
                      <wp:docPr id="49" name="Frame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14935" cy="175260"/>
                      <wp:effectExtent l="0" t="0" r="0" b="0"/>
                      <wp:wrapNone/>
                      <wp:docPr id="50" name="Frame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86385" cy="175260"/>
                      <wp:effectExtent l="0" t="0" r="0" b="0"/>
                      <wp:wrapNone/>
                      <wp:docPr id="51" name="Frame5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57175" cy="175260"/>
                      <wp:effectExtent l="0" t="0" r="0" b="0"/>
                      <wp:wrapNone/>
                      <wp:docPr id="54" name="Frame5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3510" cy="175260"/>
                      <wp:effectExtent l="0" t="0" r="0" b="0"/>
                      <wp:wrapNone/>
                      <wp:docPr id="55" name="Frame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6845" cy="175260"/>
                      <wp:effectExtent l="0" t="0" r="0" b="0"/>
                      <wp:wrapNone/>
                      <wp:docPr id="56" name="Frame55"/>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00990" cy="175260"/>
                      <wp:effectExtent l="0" t="0" r="0" b="0"/>
                      <wp:wrapNone/>
                      <wp:docPr id="57" name="Frame56"/>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8" name="Frame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14935" cy="175260"/>
                      <wp:effectExtent l="0" t="0" r="0" b="0"/>
                      <wp:wrapNone/>
                      <wp:docPr id="59" name="Frame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0185" cy="175260"/>
                      <wp:effectExtent l="0" t="0" r="0" b="0"/>
                      <wp:wrapNone/>
                      <wp:docPr id="60" name="Frame5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72085" cy="175260"/>
                      <wp:effectExtent l="0" t="0" r="0" b="0"/>
                      <wp:wrapNone/>
                      <wp:docPr id="61" name="Frame6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831"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Three months ended March 31, </w:t>
            </w:r>
          </w:p>
        </w:tc>
        <w:tc>
          <w:tcPr>
            <w:tcW w:w="271" w:type="dxa"/>
            <w:tcBorders/>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242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2026</w:t>
            </w:r>
          </w:p>
        </w:tc>
        <w:tc>
          <w:tcPr>
            <w:tcW w:w="109" w:type="dxa"/>
            <w:tcBorders/>
            <w:vAlign w:val="center"/>
          </w:tcPr>
          <w:p>
            <w:pPr>
              <w:pStyle w:val="TableContents"/>
              <w:bidi w:val="0"/>
              <w:spacing w:before="0" w:after="0"/>
              <w:ind w:left="0" w:right="0" w:hanging="0"/>
              <w:jc w:val="center"/>
              <w:rPr/>
            </w:pPr>
            <w:r>
              <w:rPr/>
              <w:t>​</w:t>
            </w:r>
          </w:p>
        </w:tc>
        <w:tc>
          <w:tcPr>
            <w:tcW w:w="230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2025</w:t>
            </w:r>
          </w:p>
        </w:tc>
        <w:tc>
          <w:tcPr>
            <w:tcW w:w="271" w:type="dxa"/>
            <w:tcBorders/>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616"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Ultra-</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Harsh</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16"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Ultra-</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Harsh</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616"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deepwater</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environment</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16"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deepwater</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environment</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 xml:space="preserve">Total </w:t>
            </w:r>
          </w:p>
        </w:tc>
        <w:tc>
          <w:tcPr>
            <w:tcW w:w="109" w:type="dxa"/>
            <w:tcBorders/>
            <w:vAlign w:val="center"/>
          </w:tcPr>
          <w:p>
            <w:pPr>
              <w:pStyle w:val="TableContents"/>
              <w:bidi w:val="0"/>
              <w:spacing w:before="0" w:after="0"/>
              <w:ind w:left="0" w:right="0" w:hanging="0"/>
              <w:jc w:val="center"/>
              <w:rPr/>
            </w:pPr>
            <w:r>
              <w:rPr/>
              <w:t>​</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 xml:space="preserve">Total </w:t>
            </w:r>
          </w:p>
        </w:tc>
        <w:tc>
          <w:tcPr>
            <w:tcW w:w="271" w:type="dxa"/>
            <w:tcBorders/>
            <w:vAlign w:val="center"/>
          </w:tcPr>
          <w:p>
            <w:pPr>
              <w:pStyle w:val="TableContents"/>
              <w:bidi w:val="0"/>
              <w:spacing w:before="0" w:after="0"/>
              <w:ind w:left="0" w:right="0" w:hanging="0"/>
              <w:jc w:val="center"/>
              <w:rPr/>
            </w:pPr>
            <w:r>
              <w:rPr/>
              <w:t>  ​</w:t>
            </w:r>
          </w:p>
        </w:tc>
      </w:tr>
      <w:tr>
        <w:trPr/>
        <w:tc>
          <w:tcPr>
            <w:tcW w:w="204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U.S.</w:t>
            </w:r>
          </w:p>
        </w:tc>
        <w:tc>
          <w:tcPr>
            <w:tcW w:w="226" w:type="dxa"/>
            <w:tcBorders/>
            <w:shd w:fill="CEDBE0" w:val="clear"/>
            <w:vAlign w:val="center"/>
          </w:tcPr>
          <w:p>
            <w:pPr>
              <w:pStyle w:val="TableContents"/>
              <w:bidi w:val="0"/>
              <w:spacing w:before="0" w:after="0"/>
              <w:ind w:left="0" w:right="0" w:hanging="0"/>
              <w:jc w:val="left"/>
              <w:rPr/>
            </w:pPr>
            <w:r>
              <w:rPr/>
              <w:t> </w:t>
            </w:r>
          </w:p>
        </w:tc>
        <w:tc>
          <w:tcPr>
            <w:tcW w:w="21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05"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433</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433</w:t>
            </w:r>
          </w:p>
        </w:tc>
        <w:tc>
          <w:tcPr>
            <w:tcW w:w="109" w:type="dxa"/>
            <w:tcBorders/>
            <w:shd w:fill="CEDBE0" w:val="clear"/>
            <w:vAlign w:val="center"/>
          </w:tcPr>
          <w:p>
            <w:pPr>
              <w:pStyle w:val="TableContents"/>
              <w:bidi w:val="0"/>
              <w:spacing w:before="0" w:after="0"/>
              <w:ind w:left="0" w:right="0" w:hanging="0"/>
              <w:jc w:val="left"/>
              <w:rPr/>
            </w:pPr>
            <w:r>
              <w:rPr/>
              <w:t>​</w:t>
            </w:r>
          </w:p>
        </w:tc>
        <w:tc>
          <w:tcPr>
            <w:tcW w:w="21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05"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394</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33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394</w:t>
            </w:r>
          </w:p>
        </w:tc>
        <w:tc>
          <w:tcPr>
            <w:tcW w:w="271" w:type="dxa"/>
            <w:tcBorders/>
            <w:shd w:fill="CEDBE0" w:val="clear"/>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Brazil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232</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192</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192</w:t>
            </w:r>
          </w:p>
        </w:tc>
        <w:tc>
          <w:tcPr>
            <w:tcW w:w="271" w:type="dxa"/>
            <w:tcBorders/>
            <w:vAlign w:val="center"/>
          </w:tcPr>
          <w:p>
            <w:pPr>
              <w:pStyle w:val="TableContents"/>
              <w:bidi w:val="0"/>
              <w:spacing w:before="0" w:after="0"/>
              <w:ind w:left="0" w:right="0" w:hanging="0"/>
              <w:jc w:val="left"/>
              <w:rPr/>
            </w:pPr>
            <w:r>
              <w:rPr/>
              <w:t>​</w:t>
            </w:r>
          </w:p>
        </w:tc>
      </w:tr>
      <w:tr>
        <w:trPr/>
        <w:tc>
          <w:tcPr>
            <w:tcW w:w="204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Norway</w:t>
            </w:r>
          </w:p>
        </w:tc>
        <w:tc>
          <w:tcPr>
            <w:tcW w:w="226" w:type="dxa"/>
            <w:tcBorders/>
            <w:shd w:fill="CEDBE0" w:val="clear"/>
            <w:vAlign w:val="center"/>
          </w:tcPr>
          <w:p>
            <w:pPr>
              <w:pStyle w:val="TableContents"/>
              <w:bidi w:val="0"/>
              <w:spacing w:before="0" w:after="0"/>
              <w:ind w:left="0" w:right="0" w:hanging="0"/>
              <w:jc w:val="left"/>
              <w:rPr/>
            </w:pPr>
            <w:r>
              <w:rPr/>
              <w:t>​</w:t>
            </w:r>
          </w:p>
        </w:tc>
        <w:tc>
          <w:tcPr>
            <w:tcW w:w="211" w:type="dxa"/>
            <w:tcBorders/>
            <w:shd w:fill="CEDBE0" w:val="clear"/>
            <w:vAlign w:val="center"/>
          </w:tcPr>
          <w:p>
            <w:pPr>
              <w:pStyle w:val="TableContents"/>
              <w:bidi w:val="0"/>
              <w:spacing w:before="0" w:after="0"/>
              <w:ind w:left="0" w:right="0" w:hanging="0"/>
              <w:jc w:val="left"/>
              <w:rPr/>
            </w:pPr>
            <w:r>
              <w:rPr/>
              <w:t>​</w:t>
            </w:r>
          </w:p>
        </w:tc>
        <w:tc>
          <w:tcPr>
            <w:tcW w:w="405"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pPr>
            <w:r>
              <w:rPr/>
              <w:t>​</w:t>
            </w:r>
          </w:p>
        </w:tc>
        <w:tc>
          <w:tcPr>
            <w:tcW w:w="47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179</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45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179</w:t>
            </w:r>
          </w:p>
        </w:tc>
        <w:tc>
          <w:tcPr>
            <w:tcW w:w="109" w:type="dxa"/>
            <w:tcBorders/>
            <w:shd w:fill="CEDBE0" w:val="clear"/>
            <w:vAlign w:val="center"/>
          </w:tcPr>
          <w:p>
            <w:pPr>
              <w:pStyle w:val="TableContents"/>
              <w:bidi w:val="0"/>
              <w:spacing w:before="0" w:after="0"/>
              <w:ind w:left="0" w:right="0" w:hanging="0"/>
              <w:jc w:val="left"/>
              <w:rPr/>
            </w:pPr>
            <w:r>
              <w:rPr/>
              <w:t>​</w:t>
            </w:r>
          </w:p>
        </w:tc>
        <w:tc>
          <w:tcPr>
            <w:tcW w:w="211" w:type="dxa"/>
            <w:tcBorders/>
            <w:shd w:fill="CEDBE0" w:val="clear"/>
            <w:vAlign w:val="center"/>
          </w:tcPr>
          <w:p>
            <w:pPr>
              <w:pStyle w:val="TableContents"/>
              <w:bidi w:val="0"/>
              <w:spacing w:before="0" w:after="0"/>
              <w:ind w:left="0" w:right="0" w:hanging="0"/>
              <w:jc w:val="left"/>
              <w:rPr/>
            </w:pPr>
            <w:r>
              <w:rPr/>
              <w:t>​</w:t>
            </w:r>
          </w:p>
        </w:tc>
        <w:tc>
          <w:tcPr>
            <w:tcW w:w="405"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pPr>
            <w:r>
              <w:rPr/>
              <w:t>​</w:t>
            </w:r>
          </w:p>
        </w:tc>
        <w:tc>
          <w:tcPr>
            <w:tcW w:w="47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159</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33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159</w:t>
            </w:r>
          </w:p>
        </w:tc>
        <w:tc>
          <w:tcPr>
            <w:tcW w:w="271" w:type="dxa"/>
            <w:tcBorders/>
            <w:shd w:fill="CEDBE0" w:val="clear"/>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Other countries (a)</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83</w:t>
            </w:r>
          </w:p>
        </w:tc>
        <w:tc>
          <w:tcPr>
            <w:tcW w:w="2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154</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72</w:t>
            </w:r>
          </w:p>
        </w:tc>
        <w:tc>
          <w:tcPr>
            <w:tcW w:w="2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161</w:t>
            </w:r>
          </w:p>
        </w:tc>
        <w:tc>
          <w:tcPr>
            <w:tcW w:w="271" w:type="dxa"/>
            <w:tcBorders/>
            <w:vAlign w:val="center"/>
          </w:tcPr>
          <w:p>
            <w:pPr>
              <w:pStyle w:val="TableContents"/>
              <w:bidi w:val="0"/>
              <w:spacing w:before="0" w:after="0"/>
              <w:ind w:left="0" w:right="0" w:hanging="0"/>
              <w:jc w:val="left"/>
              <w:rPr/>
            </w:pPr>
            <w:r>
              <w:rPr/>
              <w:t>​</w:t>
            </w:r>
          </w:p>
        </w:tc>
      </w:tr>
      <w:tr>
        <w:trPr/>
        <w:tc>
          <w:tcPr>
            <w:tcW w:w="204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contract drilling revenues</w:t>
            </w:r>
          </w:p>
        </w:tc>
        <w:tc>
          <w:tcPr>
            <w:tcW w:w="226" w:type="dxa"/>
            <w:tcBorders/>
            <w:shd w:fill="CEDBE0" w:val="clear"/>
            <w:vAlign w:val="center"/>
          </w:tcPr>
          <w:p>
            <w:pPr>
              <w:pStyle w:val="TableContents"/>
              <w:bidi w:val="0"/>
              <w:spacing w:before="0" w:after="0"/>
              <w:ind w:left="0" w:right="0" w:hanging="0"/>
              <w:jc w:val="left"/>
              <w:rPr/>
            </w:pPr>
            <w:r>
              <w:rPr/>
              <w:t> </w:t>
            </w:r>
          </w:p>
        </w:tc>
        <w:tc>
          <w:tcPr>
            <w:tcW w:w="21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05"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748</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333</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1,081</w:t>
            </w:r>
          </w:p>
        </w:tc>
        <w:tc>
          <w:tcPr>
            <w:tcW w:w="109" w:type="dxa"/>
            <w:tcBorders/>
            <w:shd w:fill="CEDBE0"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05"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658</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248</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3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906</w:t>
            </w:r>
          </w:p>
        </w:tc>
        <w:tc>
          <w:tcPr>
            <w:tcW w:w="271" w:type="dxa"/>
            <w:tcBorders/>
            <w:shd w:fill="CEDBE0" w:val="clear"/>
            <w:vAlign w:val="center"/>
          </w:tcPr>
          <w:p>
            <w:pPr>
              <w:pStyle w:val="TableContents"/>
              <w:bidi w:val="0"/>
              <w:spacing w:before="0" w:after="0"/>
              <w:ind w:left="0" w:right="0" w:hanging="0"/>
              <w:jc w:val="left"/>
              <w:rPr/>
            </w:pPr>
            <w:r>
              <w:rPr/>
              <w:t> </w:t>
            </w:r>
          </w:p>
        </w:tc>
      </w:tr>
    </w:tbl>
    <w:tbl>
      <w:tblPr>
        <w:tblW w:w="9985" w:type="dxa"/>
        <w:jc w:val="left"/>
        <w:tblInd w:w="0" w:type="dxa"/>
        <w:tblLayout w:type="fixed"/>
        <w:tblCellMar>
          <w:top w:w="28" w:type="dxa"/>
          <w:left w:w="28" w:type="dxa"/>
          <w:bottom w:w="28" w:type="dxa"/>
          <w:right w:w="28" w:type="dxa"/>
        </w:tblCellMar>
      </w:tblPr>
      <w:tblGrid>
        <w:gridCol w:w="124"/>
        <w:gridCol w:w="271"/>
        <w:gridCol w:w="943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Arial Narrow" w:hAnsi="Arial Narrow"/>
                <w:sz w:val="16"/>
              </w:rPr>
            </w:pPr>
            <w:r>
              <w:rPr>
                <w:rFonts w:ascii="Arial Narrow" w:hAnsi="Arial Narrow"/>
                <w:sz w:val="16"/>
              </w:rPr>
              <w:t>(a)</w:t>
            </w:r>
          </w:p>
        </w:tc>
        <w:tc>
          <w:tcPr>
            <w:tcW w:w="9436" w:type="dxa"/>
            <w:tcBorders/>
            <w:tcMar>
              <w:top w:w="0" w:type="dxa"/>
              <w:left w:w="0" w:type="dxa"/>
              <w:bottom w:w="0" w:type="dxa"/>
              <w:right w:w="0" w:type="dxa"/>
            </w:tcMar>
            <w:vAlign w:val="center"/>
          </w:tcPr>
          <w:p>
            <w:pPr>
              <w:pStyle w:val="TableContents"/>
              <w:bidi w:val="0"/>
              <w:spacing w:before="0" w:after="283"/>
              <w:jc w:val="left"/>
              <w:rPr>
                <w:rFonts w:ascii="Arial Narrow" w:hAnsi="Arial Narrow"/>
                <w:b w:val="false"/>
                <w:i w:val="false"/>
                <w:caps w:val="false"/>
                <w:smallCaps w:val="false"/>
                <w:sz w:val="16"/>
              </w:rPr>
            </w:pPr>
            <w:r>
              <w:rPr>
                <w:rFonts w:ascii="Arial Narrow" w:hAnsi="Arial Narrow"/>
                <w:b w:val="false"/>
                <w:i w:val="false"/>
                <w:caps w:val="false"/>
                <w:smallCaps w:val="false"/>
                <w:sz w:val="16"/>
              </w:rPr>
              <w:t>The aggregate contract drilling revenues earned in other countries that individually represented less than 10 percent of total contract drilling revenues.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60"/>
        <w:ind w:left="0" w:right="0" w:firstLine="720"/>
        <w:jc w:val="both"/>
        <w:rPr>
          <w:rFonts w:ascii="Arial Narrow" w:hAnsi="Arial Narrow"/>
          <w:sz w:val="20"/>
        </w:rPr>
      </w:pPr>
      <w:r>
        <w:rPr>
          <w:rFonts w:ascii="Arial Narrow" w:hAnsi="Arial Narrow"/>
          <w:b/>
          <w:sz w:val="20"/>
        </w:rPr>
        <w:t>Contract liabilities</w:t>
      </w:r>
      <w:r>
        <w:rPr>
          <w:rFonts w:ascii="Arial Narrow" w:hAnsi="Arial Narrow"/>
          <w:sz w:val="20"/>
        </w:rPr>
        <w:t>—Contract liabilities for our contracts with customers were as follows (in millions):</w:t>
      </w:r>
    </w:p>
    <w:p>
      <w:pPr>
        <w:pStyle w:val="TextBody"/>
        <w:bidi w:val="0"/>
        <w:spacing w:before="0" w:after="0"/>
        <w:ind w:left="0" w:right="0" w:hanging="0"/>
        <w:jc w:val="left"/>
        <w:rPr/>
      </w:pPr>
      <w:r>
        <w:rPr/>
        <w:t>​</w:t>
      </w:r>
    </w:p>
    <w:tbl>
      <w:tblPr>
        <w:tblW w:w="6117" w:type="dxa"/>
        <w:jc w:val="left"/>
        <w:tblInd w:w="0" w:type="dxa"/>
        <w:tblLayout w:type="fixed"/>
        <w:tblCellMar>
          <w:top w:w="0" w:type="dxa"/>
          <w:left w:w="0" w:type="dxa"/>
          <w:bottom w:w="0" w:type="dxa"/>
          <w:right w:w="0" w:type="dxa"/>
        </w:tblCellMar>
      </w:tblPr>
      <w:tblGrid>
        <w:gridCol w:w="4171"/>
        <w:gridCol w:w="146"/>
        <w:gridCol w:w="228"/>
        <w:gridCol w:w="417"/>
        <w:gridCol w:w="109"/>
        <w:gridCol w:w="302"/>
        <w:gridCol w:w="553"/>
        <w:gridCol w:w="191"/>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648585" cy="175895"/>
                      <wp:effectExtent l="0" t="0" r="0" b="0"/>
                      <wp:wrapNone/>
                      <wp:docPr id="62" name="Frame61"/>
                      <a:graphic xmlns:a="http://schemas.openxmlformats.org/drawingml/2006/main">
                        <a:graphicData uri="http://schemas.microsoft.com/office/word/2010/wordprocessingShape">
                          <wps:wsp>
                            <wps:cNvSpPr txBox="1"/>
                            <wps:spPr>
                              <a:xfrm>
                                <a:off x="0" y="0"/>
                                <a:ext cx="2648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2710" cy="175895"/>
                      <wp:effectExtent l="0" t="0" r="0" b="0"/>
                      <wp:wrapNone/>
                      <wp:docPr id="63" name="Frame62"/>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4780" cy="175895"/>
                      <wp:effectExtent l="0" t="0" r="0" b="0"/>
                      <wp:wrapNone/>
                      <wp:docPr id="64" name="Frame63"/>
                      <a:graphic xmlns:a="http://schemas.openxmlformats.org/drawingml/2006/main">
                        <a:graphicData uri="http://schemas.microsoft.com/office/word/2010/wordprocessingShape">
                          <wps:wsp>
                            <wps:cNvSpPr txBox="1"/>
                            <wps:spPr>
                              <a:xfrm>
                                <a:off x="0" y="0"/>
                                <a:ext cx="1447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64795" cy="175895"/>
                      <wp:effectExtent l="0" t="0" r="0" b="0"/>
                      <wp:wrapNone/>
                      <wp:docPr id="65" name="Frame64"/>
                      <a:graphic xmlns:a="http://schemas.openxmlformats.org/drawingml/2006/main">
                        <a:graphicData uri="http://schemas.microsoft.com/office/word/2010/wordprocessingShape">
                          <wps:wsp>
                            <wps:cNvSpPr txBox="1"/>
                            <wps:spPr>
                              <a:xfrm>
                                <a:off x="0" y="0"/>
                                <a:ext cx="2647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895"/>
                      <wp:effectExtent l="0" t="0" r="0" b="0"/>
                      <wp:wrapNone/>
                      <wp:docPr id="66" name="Frame6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91770" cy="175895"/>
                      <wp:effectExtent l="0" t="0" r="0" b="0"/>
                      <wp:wrapNone/>
                      <wp:docPr id="67" name="Frame66"/>
                      <a:graphic xmlns:a="http://schemas.openxmlformats.org/drawingml/2006/main">
                        <a:graphicData uri="http://schemas.microsoft.com/office/word/2010/wordprocessingShape">
                          <wps:wsp>
                            <wps:cNvSpPr txBox="1"/>
                            <wps:spPr>
                              <a:xfrm>
                                <a:off x="0" y="0"/>
                                <a:ext cx="1917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51155" cy="175895"/>
                      <wp:effectExtent l="0" t="0" r="0" b="0"/>
                      <wp:wrapNone/>
                      <wp:docPr id="68" name="Frame67"/>
                      <a:graphic xmlns:a="http://schemas.openxmlformats.org/drawingml/2006/main">
                        <a:graphicData uri="http://schemas.microsoft.com/office/word/2010/wordprocessingShape">
                          <wps:wsp>
                            <wps:cNvSpPr txBox="1"/>
                            <wps:spPr>
                              <a:xfrm>
                                <a:off x="0" y="0"/>
                                <a:ext cx="3511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1285" cy="175895"/>
                      <wp:effectExtent l="0" t="0" r="0" b="0"/>
                      <wp:wrapNone/>
                      <wp:docPr id="69" name="Frame6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center"/>
              <w:rPr/>
            </w:pPr>
            <w:r>
              <w:rPr/>
              <w:t>​</w:t>
            </w:r>
          </w:p>
        </w:tc>
        <w:tc>
          <w:tcPr>
            <w:tcW w:w="645"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March 31, </w:t>
            </w:r>
          </w:p>
        </w:tc>
        <w:tc>
          <w:tcPr>
            <w:tcW w:w="109" w:type="dxa"/>
            <w:tcBorders/>
            <w:vAlign w:val="center"/>
          </w:tcPr>
          <w:p>
            <w:pPr>
              <w:pStyle w:val="TableContents"/>
              <w:bidi w:val="0"/>
              <w:spacing w:before="1" w:after="1"/>
              <w:ind w:left="0" w:right="0" w:hanging="0"/>
              <w:jc w:val="left"/>
              <w:rPr/>
            </w:pPr>
            <w:r>
              <w:rPr/>
              <w:t>​</w:t>
            </w:r>
          </w:p>
        </w:tc>
        <w:tc>
          <w:tcPr>
            <w:tcW w:w="855"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December 31, </w:t>
            </w:r>
          </w:p>
        </w:tc>
        <w:tc>
          <w:tcPr>
            <w:tcW w:w="191" w:type="dxa"/>
            <w:tcBorders/>
            <w:vAlign w:val="center"/>
          </w:tcPr>
          <w:p>
            <w:pPr>
              <w:pStyle w:val="TableContents"/>
              <w:bidi w:val="0"/>
              <w:spacing w:before="1" w:after="1"/>
              <w:ind w:left="0" w:right="0" w:hanging="0"/>
              <w:jc w:val="center"/>
              <w:rPr/>
            </w:pPr>
            <w:r>
              <w:rPr/>
              <w:t>​</w:t>
            </w:r>
          </w:p>
        </w:tc>
      </w:tr>
      <w:tr>
        <w:trPr/>
        <w:tc>
          <w:tcPr>
            <w:tcW w:w="417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center"/>
              <w:rPr/>
            </w:pPr>
            <w:r>
              <w:rPr/>
              <w:t>​</w:t>
            </w:r>
          </w:p>
        </w:tc>
        <w:tc>
          <w:tcPr>
            <w:tcW w:w="6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09" w:type="dxa"/>
            <w:tcBorders/>
            <w:vAlign w:val="center"/>
          </w:tcPr>
          <w:p>
            <w:pPr>
              <w:pStyle w:val="TableContents"/>
              <w:bidi w:val="0"/>
              <w:spacing w:before="1" w:after="1"/>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2025</w:t>
            </w:r>
          </w:p>
        </w:tc>
        <w:tc>
          <w:tcPr>
            <w:tcW w:w="191" w:type="dxa"/>
            <w:tcBorders/>
            <w:vAlign w:val="center"/>
          </w:tcPr>
          <w:p>
            <w:pPr>
              <w:pStyle w:val="TableContents"/>
              <w:bidi w:val="0"/>
              <w:spacing w:before="1" w:after="1"/>
              <w:ind w:left="0" w:right="0" w:hanging="0"/>
              <w:jc w:val="center"/>
              <w:rPr/>
            </w:pPr>
            <w:r>
              <w:rPr/>
              <w:t> </w:t>
            </w:r>
          </w:p>
        </w:tc>
      </w:tr>
      <w:tr>
        <w:trPr/>
        <w:tc>
          <w:tcPr>
            <w:tcW w:w="417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Deferred contract revenues, recorded in other current liabilities</w:t>
            </w:r>
          </w:p>
        </w:tc>
        <w:tc>
          <w:tcPr>
            <w:tcW w:w="146" w:type="dxa"/>
            <w:tcBorders/>
            <w:shd w:fill="CEDBE0" w:val="clear"/>
            <w:vAlign w:val="center"/>
          </w:tcPr>
          <w:p>
            <w:pPr>
              <w:pStyle w:val="TableContents"/>
              <w:bidi w:val="0"/>
              <w:spacing w:before="1" w:after="1"/>
              <w:ind w:left="0" w:right="0" w:hanging="0"/>
              <w:jc w:val="left"/>
              <w:rPr/>
            </w:pPr>
            <w:r>
              <w:rPr/>
              <w:t> </w:t>
            </w:r>
          </w:p>
        </w:tc>
        <w:tc>
          <w:tcPr>
            <w:tcW w:w="228"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17"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156</w:t>
            </w:r>
          </w:p>
        </w:tc>
        <w:tc>
          <w:tcPr>
            <w:tcW w:w="109" w:type="dxa"/>
            <w:tcBorders/>
            <w:shd w:fill="CEDBE0" w:val="clear"/>
            <w:vAlign w:val="center"/>
          </w:tcPr>
          <w:p>
            <w:pPr>
              <w:pStyle w:val="TableContents"/>
              <w:bidi w:val="0"/>
              <w:spacing w:before="1" w:after="1"/>
              <w:ind w:left="0" w:right="0" w:hanging="0"/>
              <w:jc w:val="left"/>
              <w:rPr/>
            </w:pPr>
            <w:r>
              <w:rPr/>
              <w:t>​</w:t>
            </w:r>
          </w:p>
        </w:tc>
        <w:tc>
          <w:tcPr>
            <w:tcW w:w="30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181</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17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Deferred contract revenues, recorded in other long-term liabilities</w:t>
            </w:r>
          </w:p>
        </w:tc>
        <w:tc>
          <w:tcPr>
            <w:tcW w:w="146" w:type="dxa"/>
            <w:tcBorders/>
            <w:vAlign w:val="center"/>
          </w:tcPr>
          <w:p>
            <w:pPr>
              <w:pStyle w:val="TableContents"/>
              <w:bidi w:val="0"/>
              <w:spacing w:before="1"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75</w:t>
            </w:r>
          </w:p>
        </w:tc>
        <w:tc>
          <w:tcPr>
            <w:tcW w:w="109" w:type="dxa"/>
            <w:tcBorders/>
            <w:vAlign w:val="center"/>
          </w:tcPr>
          <w:p>
            <w:pPr>
              <w:pStyle w:val="TableContents"/>
              <w:bidi w:val="0"/>
              <w:spacing w:before="1"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553"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92</w:t>
            </w:r>
          </w:p>
        </w:tc>
        <w:tc>
          <w:tcPr>
            <w:tcW w:w="191" w:type="dxa"/>
            <w:tcBorders/>
            <w:vAlign w:val="center"/>
          </w:tcPr>
          <w:p>
            <w:pPr>
              <w:pStyle w:val="TableContents"/>
              <w:bidi w:val="0"/>
              <w:spacing w:before="1" w:after="1"/>
              <w:ind w:left="0" w:right="0" w:hanging="0"/>
              <w:jc w:val="left"/>
              <w:rPr/>
            </w:pPr>
            <w:r>
              <w:rPr/>
              <w:t>​</w:t>
            </w:r>
          </w:p>
        </w:tc>
      </w:tr>
      <w:tr>
        <w:trPr/>
        <w:tc>
          <w:tcPr>
            <w:tcW w:w="417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contract liabilities</w:t>
            </w:r>
          </w:p>
        </w:tc>
        <w:tc>
          <w:tcPr>
            <w:tcW w:w="146" w:type="dxa"/>
            <w:tcBorders/>
            <w:shd w:fill="CEDBE0" w:val="clear"/>
            <w:vAlign w:val="center"/>
          </w:tcPr>
          <w:p>
            <w:pPr>
              <w:pStyle w:val="TableContents"/>
              <w:bidi w:val="0"/>
              <w:spacing w:before="1" w:after="1"/>
              <w:ind w:left="0" w:right="0" w:hanging="0"/>
              <w:jc w:val="left"/>
              <w:rPr/>
            </w:pPr>
            <w:r>
              <w:rPr/>
              <w:t> </w:t>
            </w:r>
          </w:p>
        </w:tc>
        <w:tc>
          <w:tcPr>
            <w:tcW w:w="228"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17"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231</w:t>
            </w:r>
          </w:p>
        </w:tc>
        <w:tc>
          <w:tcPr>
            <w:tcW w:w="109" w:type="dxa"/>
            <w:tcBorders/>
            <w:shd w:fill="CEDBE0" w:val="clear"/>
            <w:vAlign w:val="center"/>
          </w:tcPr>
          <w:p>
            <w:pPr>
              <w:pStyle w:val="TableContents"/>
              <w:bidi w:val="0"/>
              <w:spacing w:before="1" w:after="1"/>
              <w:ind w:left="0" w:right="0" w:hanging="0"/>
              <w:jc w:val="left"/>
              <w:rPr/>
            </w:pPr>
            <w:r>
              <w:rPr/>
              <w:t>​</w:t>
            </w:r>
          </w:p>
        </w:tc>
        <w:tc>
          <w:tcPr>
            <w:tcW w:w="302"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3"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273</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80" w:after="0"/>
        <w:ind w:left="0" w:right="0" w:firstLine="720"/>
        <w:jc w:val="both"/>
        <w:rPr>
          <w:rFonts w:ascii="Arial Narrow" w:hAnsi="Arial Narrow"/>
          <w:sz w:val="20"/>
        </w:rPr>
      </w:pPr>
      <w:r>
        <w:rPr>
          <w:rFonts w:ascii="Arial Narrow" w:hAnsi="Arial Narrow"/>
          <w:sz w:val="20"/>
        </w:rPr>
        <w:t>Significant changes in contract liabilities were as follows (in millions):</w:t>
      </w:r>
    </w:p>
    <w:tbl>
      <w:tblPr>
        <w:tblW w:w="6203" w:type="dxa"/>
        <w:jc w:val="left"/>
        <w:tblInd w:w="0" w:type="dxa"/>
        <w:tblLayout w:type="fixed"/>
        <w:tblCellMar>
          <w:top w:w="0" w:type="dxa"/>
          <w:left w:w="0" w:type="dxa"/>
          <w:bottom w:w="0" w:type="dxa"/>
          <w:right w:w="0" w:type="dxa"/>
        </w:tblCellMar>
      </w:tblPr>
      <w:tblGrid>
        <w:gridCol w:w="4126"/>
        <w:gridCol w:w="109"/>
        <w:gridCol w:w="282"/>
        <w:gridCol w:w="540"/>
        <w:gridCol w:w="170"/>
        <w:gridCol w:w="282"/>
        <w:gridCol w:w="540"/>
        <w:gridCol w:w="154"/>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620010" cy="175895"/>
                      <wp:effectExtent l="0" t="0" r="0" b="0"/>
                      <wp:wrapNone/>
                      <wp:docPr id="70" name="Frame69"/>
                      <a:graphic xmlns:a="http://schemas.openxmlformats.org/drawingml/2006/main">
                        <a:graphicData uri="http://schemas.microsoft.com/office/word/2010/wordprocessingShape">
                          <wps:wsp>
                            <wps:cNvSpPr txBox="1"/>
                            <wps:spPr>
                              <a:xfrm>
                                <a:off x="0" y="0"/>
                                <a:ext cx="2620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895"/>
                      <wp:effectExtent l="0" t="0" r="0" b="0"/>
                      <wp:wrapNone/>
                      <wp:docPr id="71" name="Frame7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9070" cy="175895"/>
                      <wp:effectExtent l="0" t="0" r="0" b="0"/>
                      <wp:wrapNone/>
                      <wp:docPr id="72" name="Frame71"/>
                      <a:graphic xmlns:a="http://schemas.openxmlformats.org/drawingml/2006/main">
                        <a:graphicData uri="http://schemas.microsoft.com/office/word/2010/wordprocessingShape">
                          <wps:wsp>
                            <wps:cNvSpPr txBox="1"/>
                            <wps:spPr>
                              <a:xfrm>
                                <a:off x="0" y="0"/>
                                <a:ext cx="179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42900" cy="175895"/>
                      <wp:effectExtent l="0" t="0" r="0" b="0"/>
                      <wp:wrapNone/>
                      <wp:docPr id="73" name="Frame72"/>
                      <a:graphic xmlns:a="http://schemas.openxmlformats.org/drawingml/2006/main">
                        <a:graphicData uri="http://schemas.microsoft.com/office/word/2010/wordprocessingShape">
                          <wps:wsp>
                            <wps:cNvSpPr txBox="1"/>
                            <wps:spPr>
                              <a:xfrm>
                                <a:off x="0" y="0"/>
                                <a:ext cx="3429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7950" cy="175895"/>
                      <wp:effectExtent l="0" t="0" r="0" b="0"/>
                      <wp:wrapNone/>
                      <wp:docPr id="74" name="Frame73"/>
                      <a:graphic xmlns:a="http://schemas.openxmlformats.org/drawingml/2006/main">
                        <a:graphicData uri="http://schemas.microsoft.com/office/word/2010/wordprocessingShape">
                          <wps:wsp>
                            <wps:cNvSpPr txBox="1"/>
                            <wps:spPr>
                              <a:xfrm>
                                <a:off x="0" y="0"/>
                                <a:ext cx="1079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79070" cy="175895"/>
                      <wp:effectExtent l="0" t="0" r="0" b="0"/>
                      <wp:wrapNone/>
                      <wp:docPr id="75" name="Frame74"/>
                      <a:graphic xmlns:a="http://schemas.openxmlformats.org/drawingml/2006/main">
                        <a:graphicData uri="http://schemas.microsoft.com/office/word/2010/wordprocessingShape">
                          <wps:wsp>
                            <wps:cNvSpPr txBox="1"/>
                            <wps:spPr>
                              <a:xfrm>
                                <a:off x="0" y="0"/>
                                <a:ext cx="179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42900" cy="175895"/>
                      <wp:effectExtent l="0" t="0" r="0" b="0"/>
                      <wp:wrapNone/>
                      <wp:docPr id="76" name="Frame75"/>
                      <a:graphic xmlns:a="http://schemas.openxmlformats.org/drawingml/2006/main">
                        <a:graphicData uri="http://schemas.microsoft.com/office/word/2010/wordprocessingShape">
                          <wps:wsp>
                            <wps:cNvSpPr txBox="1"/>
                            <wps:spPr>
                              <a:xfrm>
                                <a:off x="0" y="0"/>
                                <a:ext cx="3429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7790" cy="175895"/>
                      <wp:effectExtent l="0" t="0" r="0" b="0"/>
                      <wp:wrapNone/>
                      <wp:docPr id="77" name="Frame76"/>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814"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Three months ended March 31, </w:t>
            </w:r>
          </w:p>
        </w:tc>
        <w:tc>
          <w:tcPr>
            <w:tcW w:w="154" w:type="dxa"/>
            <w:tcBorders/>
            <w:vAlign w:val="center"/>
          </w:tcPr>
          <w:p>
            <w:pPr>
              <w:pStyle w:val="TableContents"/>
              <w:bidi w:val="0"/>
              <w:spacing w:before="1" w:after="1"/>
              <w:ind w:left="0" w:right="0" w:hanging="0"/>
              <w:jc w:val="left"/>
              <w:rPr/>
            </w:pPr>
            <w:r>
              <w:rPr/>
              <w:t>​</w:t>
            </w:r>
          </w:p>
        </w:tc>
      </w:tr>
      <w:tr>
        <w:trPr/>
        <w:tc>
          <w:tcPr>
            <w:tcW w:w="412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2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70" w:type="dxa"/>
            <w:tcBorders/>
            <w:vAlign w:val="center"/>
          </w:tcPr>
          <w:p>
            <w:pPr>
              <w:pStyle w:val="TableContents"/>
              <w:bidi w:val="0"/>
              <w:spacing w:before="1" w:after="1"/>
              <w:ind w:left="0" w:right="0" w:hanging="0"/>
              <w:jc w:val="center"/>
              <w:rPr/>
            </w:pPr>
            <w:r>
              <w:rPr/>
              <w:t>​</w:t>
            </w:r>
          </w:p>
        </w:tc>
        <w:tc>
          <w:tcPr>
            <w:tcW w:w="82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2025</w:t>
            </w:r>
          </w:p>
        </w:tc>
        <w:tc>
          <w:tcPr>
            <w:tcW w:w="154" w:type="dxa"/>
            <w:tcBorders/>
            <w:vAlign w:val="center"/>
          </w:tcPr>
          <w:p>
            <w:pPr>
              <w:pStyle w:val="TableContents"/>
              <w:bidi w:val="0"/>
              <w:spacing w:before="1" w:after="1"/>
              <w:ind w:left="0" w:right="0" w:hanging="0"/>
              <w:jc w:val="center"/>
              <w:rPr/>
            </w:pPr>
            <w:r>
              <w:rPr/>
              <w:t>​</w:t>
            </w:r>
          </w:p>
        </w:tc>
      </w:tr>
      <w:tr>
        <w:trPr/>
        <w:tc>
          <w:tcPr>
            <w:tcW w:w="412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contract liabilities, beginning of period</w:t>
            </w:r>
          </w:p>
        </w:tc>
        <w:tc>
          <w:tcPr>
            <w:tcW w:w="109" w:type="dxa"/>
            <w:tcBorders/>
            <w:shd w:fill="CEDBE0" w:val="clear"/>
            <w:vAlign w:val="center"/>
          </w:tcPr>
          <w:p>
            <w:pPr>
              <w:pStyle w:val="TableContents"/>
              <w:bidi w:val="0"/>
              <w:spacing w:before="1" w:after="1"/>
              <w:ind w:left="0" w:right="0" w:hanging="0"/>
              <w:jc w:val="left"/>
              <w:rPr/>
            </w:pPr>
            <w:r>
              <w:rPr/>
              <w:t>​</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273</w:t>
            </w:r>
          </w:p>
        </w:tc>
        <w:tc>
          <w:tcPr>
            <w:tcW w:w="170" w:type="dxa"/>
            <w:tcBorders/>
            <w:shd w:fill="CEDBE0" w:val="clear"/>
            <w:vAlign w:val="center"/>
          </w:tcPr>
          <w:p>
            <w:pPr>
              <w:pStyle w:val="TableContents"/>
              <w:bidi w:val="0"/>
              <w:spacing w:before="1" w:after="1"/>
              <w:ind w:left="0" w:right="0" w:hanging="0"/>
              <w:jc w:val="left"/>
              <w:rPr/>
            </w:pPr>
            <w:r>
              <w:rPr/>
              <w:t>​</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443</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412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Decrease due to recognition of revenues for goods and services</w:t>
            </w:r>
          </w:p>
        </w:tc>
        <w:tc>
          <w:tcPr>
            <w:tcW w:w="109" w:type="dxa"/>
            <w:tcBorders/>
            <w:vAlign w:val="center"/>
          </w:tcPr>
          <w:p>
            <w:pPr>
              <w:pStyle w:val="TableContents"/>
              <w:bidi w:val="0"/>
              <w:spacing w:before="1" w:after="1"/>
              <w:ind w:left="0" w:right="0" w:hanging="0"/>
              <w:jc w:val="left"/>
              <w:rPr/>
            </w:pPr>
            <w:r>
              <w:rPr/>
              <w:t>​</w:t>
            </w:r>
          </w:p>
        </w:tc>
        <w:tc>
          <w:tcPr>
            <w:tcW w:w="282" w:type="dxa"/>
            <w:tcBorders/>
            <w:vAlign w:val="center"/>
          </w:tcPr>
          <w:p>
            <w:pPr>
              <w:pStyle w:val="TableContents"/>
              <w:bidi w:val="0"/>
              <w:spacing w:before="1" w:after="1"/>
              <w:ind w:left="0" w:right="0" w:hanging="0"/>
              <w:jc w:val="left"/>
              <w:rPr/>
            </w:pPr>
            <w:r>
              <w:rPr/>
              <w:t>​</w:t>
            </w:r>
          </w:p>
        </w:tc>
        <w:tc>
          <w:tcPr>
            <w:tcW w:w="54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(65)</w:t>
            </w:r>
          </w:p>
        </w:tc>
        <w:tc>
          <w:tcPr>
            <w:tcW w:w="170" w:type="dxa"/>
            <w:tcBorders/>
            <w:vAlign w:val="center"/>
          </w:tcPr>
          <w:p>
            <w:pPr>
              <w:pStyle w:val="TableContents"/>
              <w:bidi w:val="0"/>
              <w:spacing w:before="1" w:after="1"/>
              <w:ind w:left="0" w:right="0" w:hanging="0"/>
              <w:jc w:val="left"/>
              <w:rPr/>
            </w:pPr>
            <w:r>
              <w:rPr/>
              <w:t>​</w:t>
            </w:r>
          </w:p>
        </w:tc>
        <w:tc>
          <w:tcPr>
            <w:tcW w:w="282" w:type="dxa"/>
            <w:tcBorders/>
            <w:vAlign w:val="center"/>
          </w:tcPr>
          <w:p>
            <w:pPr>
              <w:pStyle w:val="TableContents"/>
              <w:bidi w:val="0"/>
              <w:spacing w:before="1" w:after="1"/>
              <w:ind w:left="0" w:right="0" w:hanging="0"/>
              <w:jc w:val="left"/>
              <w:rPr/>
            </w:pPr>
            <w:r>
              <w:rPr/>
              <w:t>​</w:t>
            </w:r>
          </w:p>
        </w:tc>
        <w:tc>
          <w:tcPr>
            <w:tcW w:w="54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(62)</w:t>
            </w:r>
          </w:p>
        </w:tc>
        <w:tc>
          <w:tcPr>
            <w:tcW w:w="154" w:type="dxa"/>
            <w:tcBorders/>
            <w:vAlign w:val="center"/>
          </w:tcPr>
          <w:p>
            <w:pPr>
              <w:pStyle w:val="TableContents"/>
              <w:bidi w:val="0"/>
              <w:spacing w:before="1" w:after="1"/>
              <w:ind w:left="0" w:right="0" w:hanging="0"/>
              <w:jc w:val="left"/>
              <w:rPr/>
            </w:pPr>
            <w:r>
              <w:rPr/>
              <w:t>​</w:t>
            </w:r>
          </w:p>
        </w:tc>
      </w:tr>
      <w:tr>
        <w:trPr/>
        <w:tc>
          <w:tcPr>
            <w:tcW w:w="412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Increase due to goods and services transferred over time</w:t>
            </w:r>
          </w:p>
        </w:tc>
        <w:tc>
          <w:tcPr>
            <w:tcW w:w="109" w:type="dxa"/>
            <w:tcBorders/>
            <w:shd w:fill="CEDBE0" w:val="clear"/>
            <w:vAlign w:val="center"/>
          </w:tcPr>
          <w:p>
            <w:pPr>
              <w:pStyle w:val="TableContents"/>
              <w:bidi w:val="0"/>
              <w:spacing w:before="1" w:after="1"/>
              <w:ind w:left="0" w:right="0" w:hanging="0"/>
              <w:jc w:val="left"/>
              <w:rPr/>
            </w:pPr>
            <w:r>
              <w:rPr/>
              <w:t>​</w:t>
            </w:r>
          </w:p>
        </w:tc>
        <w:tc>
          <w:tcPr>
            <w:tcW w:w="282"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540"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23</w:t>
            </w:r>
          </w:p>
        </w:tc>
        <w:tc>
          <w:tcPr>
            <w:tcW w:w="170" w:type="dxa"/>
            <w:tcBorders/>
            <w:shd w:fill="CEDBE0" w:val="clear"/>
            <w:vAlign w:val="center"/>
          </w:tcPr>
          <w:p>
            <w:pPr>
              <w:pStyle w:val="TableContents"/>
              <w:bidi w:val="0"/>
              <w:spacing w:before="1" w:after="1"/>
              <w:ind w:left="0" w:right="0" w:hanging="0"/>
              <w:jc w:val="left"/>
              <w:rPr/>
            </w:pPr>
            <w:r>
              <w:rPr/>
              <w:t>​</w:t>
            </w:r>
          </w:p>
        </w:tc>
        <w:tc>
          <w:tcPr>
            <w:tcW w:w="282"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540"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412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contract liabilities, end of period</w:t>
            </w:r>
          </w:p>
        </w:tc>
        <w:tc>
          <w:tcPr>
            <w:tcW w:w="109" w:type="dxa"/>
            <w:tcBorders/>
            <w:vAlign w:val="center"/>
          </w:tcPr>
          <w:p>
            <w:pPr>
              <w:pStyle w:val="TableContents"/>
              <w:bidi w:val="0"/>
              <w:spacing w:before="1" w:after="1"/>
              <w:ind w:left="0" w:right="0" w:hanging="0"/>
              <w:jc w:val="left"/>
              <w:rPr/>
            </w:pPr>
            <w:r>
              <w:rPr/>
              <w:t>​</w:t>
            </w:r>
          </w:p>
        </w:tc>
        <w:tc>
          <w:tcPr>
            <w:tcW w:w="282"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0"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231</w:t>
            </w:r>
          </w:p>
        </w:tc>
        <w:tc>
          <w:tcPr>
            <w:tcW w:w="170" w:type="dxa"/>
            <w:tcBorders/>
            <w:vAlign w:val="center"/>
          </w:tcPr>
          <w:p>
            <w:pPr>
              <w:pStyle w:val="TableContents"/>
              <w:bidi w:val="0"/>
              <w:spacing w:before="1" w:after="1"/>
              <w:ind w:left="0" w:right="0" w:hanging="0"/>
              <w:jc w:val="left"/>
              <w:rPr/>
            </w:pPr>
            <w:r>
              <w:rPr/>
              <w:t>​</w:t>
            </w:r>
          </w:p>
        </w:tc>
        <w:tc>
          <w:tcPr>
            <w:tcW w:w="282"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0"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405</w:t>
            </w:r>
          </w:p>
        </w:tc>
        <w:tc>
          <w:tcPr>
            <w:tcW w:w="154"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80" w:after="120"/>
        <w:ind w:left="0" w:right="0" w:firstLine="720"/>
        <w:jc w:val="both"/>
        <w:rPr>
          <w:rFonts w:ascii="Arial Narrow" w:hAnsi="Arial Narrow"/>
          <w:sz w:val="20"/>
        </w:rPr>
      </w:pPr>
      <w:r>
        <w:rPr>
          <w:rFonts w:ascii="Arial Narrow" w:hAnsi="Arial Narrow"/>
          <w:b/>
          <w:sz w:val="20"/>
        </w:rPr>
        <w:t>Pre-operating costs</w:t>
      </w:r>
      <w:r>
        <w:rPr>
          <w:rFonts w:ascii="Arial Narrow" w:hAnsi="Arial Narrow"/>
          <w:sz w:val="20"/>
        </w:rPr>
        <w:t>—In the three months ended March 31, 2026 and 2025, we recognized pre-operating costs of $38 million and $37 million, respectively, recorded in operating and maintenance costs.  At March 31, 2026 and December 31, 2025, the carrying amount of our unrecognized pre-operating costs to obtain contracts was $101 million and $136 million, respectively, recorded in other assets.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517" w:name="FN_LongLivedAssests"/>
      <w:bookmarkEnd w:id="517"/>
      <w:r>
        <w:rPr>
          <w:rFonts w:ascii="Arial Narrow" w:hAnsi="Arial Narrow"/>
          <w:b/>
          <w:caps/>
          <w:color w:val="00556F"/>
          <w:sz w:val="22"/>
        </w:rPr>
        <w:t>Note 5—Long-Lived Assets</w:t>
      </w:r>
    </w:p>
    <w:p>
      <w:pPr>
        <w:pStyle w:val="TextBody"/>
        <w:bidi w:val="0"/>
        <w:spacing w:before="60" w:after="120"/>
        <w:ind w:left="0" w:right="0" w:firstLine="720"/>
        <w:jc w:val="both"/>
        <w:rPr>
          <w:rFonts w:ascii="Arial Narrow" w:hAnsi="Arial Narrow"/>
          <w:sz w:val="20"/>
        </w:rPr>
      </w:pPr>
      <w:r>
        <w:rPr>
          <w:rFonts w:ascii="Arial Narrow" w:hAnsi="Arial Narrow"/>
          <w:b/>
          <w:sz w:val="20"/>
        </w:rPr>
        <w:t>Assets held for sale</w:t>
      </w:r>
      <w:r>
        <w:rPr>
          <w:rFonts w:ascii="Arial Narrow" w:hAnsi="Arial Narrow"/>
          <w:sz w:val="20"/>
        </w:rPr>
        <w:t xml:space="preserve">—At March 31, 2026, the aggregate carrying amount of our assets held for sale, including </w:t>
      </w:r>
      <w:r>
        <w:rPr>
          <w:rFonts w:ascii="Arial Narrow" w:hAnsi="Arial Narrow"/>
          <w:sz w:val="20"/>
          <w:shd w:fill="FFFFFF" w:val="clear"/>
        </w:rPr>
        <w:t>the harsh environment semisubmersible</w:t>
      </w:r>
      <w:r>
        <w:rPr>
          <w:rFonts w:ascii="Arial Narrow" w:hAnsi="Arial Narrow"/>
          <w:sz w:val="20"/>
        </w:rPr>
        <w:t xml:space="preserve"> </w:t>
      </w:r>
      <w:r>
        <w:rPr>
          <w:rFonts w:ascii="Arial Narrow" w:hAnsi="Arial Narrow"/>
          <w:i/>
          <w:sz w:val="20"/>
          <w:shd w:fill="FFFFFF" w:val="clear"/>
        </w:rPr>
        <w:t>Henry Goodrich,</w:t>
      </w:r>
      <w:r>
        <w:rPr>
          <w:rFonts w:ascii="Arial Narrow" w:hAnsi="Arial Narrow"/>
          <w:sz w:val="20"/>
        </w:rPr>
        <w:t xml:space="preserve"> together with related assets, was $1 million.  At December 31, 2025, the aggregate carrying amount of our assets held for sale, including the ultra-deepwater drillships </w:t>
      </w:r>
      <w:r>
        <w:rPr>
          <w:rFonts w:ascii="Arial Narrow" w:hAnsi="Arial Narrow"/>
          <w:i/>
          <w:sz w:val="20"/>
        </w:rPr>
        <w:t>Deepwater Champion</w:t>
      </w:r>
      <w:r>
        <w:rPr>
          <w:rFonts w:ascii="Arial Narrow" w:hAnsi="Arial Narrow"/>
          <w:sz w:val="20"/>
        </w:rPr>
        <w:t xml:space="preserve">, </w:t>
      </w:r>
      <w:r>
        <w:rPr>
          <w:rFonts w:ascii="Arial Narrow" w:hAnsi="Arial Narrow"/>
          <w:i/>
          <w:sz w:val="20"/>
          <w:shd w:fill="FFFFFF" w:val="clear"/>
        </w:rPr>
        <w:t>Discoverer India</w:t>
      </w:r>
      <w:r>
        <w:rPr>
          <w:rFonts w:ascii="Arial Narrow" w:hAnsi="Arial Narrow"/>
          <w:sz w:val="20"/>
        </w:rPr>
        <w:t xml:space="preserve"> </w:t>
      </w:r>
      <w:r>
        <w:rPr>
          <w:rFonts w:ascii="Arial Narrow" w:hAnsi="Arial Narrow"/>
          <w:sz w:val="20"/>
          <w:shd w:fill="FFFFFF" w:val="clear"/>
        </w:rPr>
        <w:t xml:space="preserve">and the harsh environment semisubmersible </w:t>
      </w:r>
      <w:r>
        <w:rPr>
          <w:rFonts w:ascii="Arial Narrow" w:hAnsi="Arial Narrow"/>
          <w:i/>
          <w:sz w:val="20"/>
          <w:shd w:fill="FFFFFF" w:val="clear"/>
        </w:rPr>
        <w:t>Henry Goodrich</w:t>
      </w:r>
      <w:r>
        <w:rPr>
          <w:rFonts w:ascii="Arial Narrow" w:hAnsi="Arial Narrow"/>
          <w:sz w:val="20"/>
        </w:rPr>
        <w:t>, together with related assets, was $24 million.</w:t>
      </w:r>
    </w:p>
    <w:p>
      <w:pPr>
        <w:pStyle w:val="TextBody"/>
        <w:bidi w:val="0"/>
        <w:spacing w:before="60" w:after="120"/>
        <w:ind w:left="0" w:right="0" w:firstLine="720"/>
        <w:jc w:val="both"/>
        <w:rPr>
          <w:rFonts w:ascii="Arial Narrow" w:hAnsi="Arial Narrow"/>
          <w:sz w:val="20"/>
        </w:rPr>
      </w:pPr>
      <w:r>
        <w:rPr>
          <w:rFonts w:ascii="Arial Narrow" w:hAnsi="Arial Narrow"/>
          <w:b/>
          <w:sz w:val="20"/>
        </w:rPr>
        <w:t>Disposals</w:t>
      </w:r>
      <w:r>
        <w:rPr>
          <w:rFonts w:ascii="Arial Narrow" w:hAnsi="Arial Narrow"/>
          <w:sz w:val="20"/>
        </w:rPr>
        <w:t xml:space="preserve">—In the three months ended March 31, 2026, we completed the sale of </w:t>
      </w:r>
      <w:r>
        <w:rPr>
          <w:rFonts w:ascii="Arial Narrow" w:hAnsi="Arial Narrow"/>
          <w:i/>
          <w:sz w:val="20"/>
        </w:rPr>
        <w:t xml:space="preserve">Deepwater Champion </w:t>
      </w:r>
      <w:r>
        <w:rPr>
          <w:rFonts w:ascii="Arial Narrow" w:hAnsi="Arial Narrow"/>
          <w:sz w:val="20"/>
        </w:rPr>
        <w:t xml:space="preserve">and </w:t>
      </w:r>
      <w:r>
        <w:rPr>
          <w:rFonts w:ascii="Arial Narrow" w:hAnsi="Arial Narrow"/>
          <w:i/>
          <w:sz w:val="20"/>
          <w:shd w:fill="FFFFFF" w:val="clear"/>
        </w:rPr>
        <w:t>Discoverer India</w:t>
      </w:r>
      <w:r>
        <w:rPr>
          <w:rFonts w:ascii="Arial Narrow" w:hAnsi="Arial Narrow"/>
          <w:sz w:val="20"/>
        </w:rPr>
        <w:t>, together with related assets, for aggregate net cash proceeds of $27 million, including $3 million received as a deposit in the year ended December 31, 2025.  In the three months ended March 31, 2026, we recognized an aggregate net gain of $4 million associated with the disposal of the rigs and related assets.</w:t>
      </w:r>
    </w:p>
    <w:p>
      <w:pPr>
        <w:pStyle w:val="TextBody"/>
        <w:bidi w:val="0"/>
        <w:spacing w:before="0" w:after="0"/>
        <w:ind w:left="0" w:right="0" w:hanging="0"/>
        <w:jc w:val="center"/>
        <w:rPr>
          <w:rFonts w:ascii="Arial Narrow" w:hAnsi="Arial Narrow"/>
          <w:sz w:val="20"/>
        </w:rPr>
      </w:pPr>
      <w:r>
        <w:rPr>
          <w:rFonts w:ascii="Arial Narrow" w:hAnsi="Arial Narrow"/>
          <w:sz w:val="20"/>
        </w:rPr>
        <w:t>- 7 -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pBdr>
          <w:bottom w:val="single" w:sz="18" w:space="1" w:color="ECA44A"/>
        </w:pBdr>
        <w:bidi w:val="0"/>
        <w:spacing w:before="0" w:after="60"/>
        <w:ind w:left="0" w:right="0" w:hanging="0"/>
        <w:jc w:val="left"/>
        <w:rPr>
          <w:rFonts w:ascii="Arial Narrow" w:hAnsi="Arial Narrow"/>
          <w:b/>
          <w:caps/>
          <w:color w:val="00556F"/>
          <w:sz w:val="22"/>
        </w:rPr>
      </w:pPr>
      <w:bookmarkStart w:id="518" w:name="Tc_APqmPF69hkKAv5U7sUNE-A_12_2"/>
      <w:bookmarkStart w:id="519" w:name="Tc_2Kjl_6w-qkmTvtDeq5wSKw_12_0"/>
      <w:bookmarkStart w:id="520" w:name="Tc_ZDXXoIGsAUSeoMUU3_jcfQ_11_0"/>
      <w:bookmarkStart w:id="521" w:name="Tc_5tMRUkr_7EypGpcH7aOoAQ_10_0"/>
      <w:bookmarkStart w:id="522" w:name="Tc_1vaUwfTBx0630GStS8A3Ug_9_0"/>
      <w:bookmarkStart w:id="523" w:name="Tc_h4uWdDnBFkW8X4qsBD_LOQ_8_0"/>
      <w:bookmarkStart w:id="524" w:name="Tc_9ATGBdd3ekmY6FUnbyrAxQ_7_3"/>
      <w:bookmarkStart w:id="525" w:name="Tc_Gghi13QEQ0GOPnt0s9x1tA_7_0"/>
      <w:bookmarkStart w:id="526" w:name="Tc_x_FxU5HYOEmhO_p9jMCjJg_6_0"/>
      <w:bookmarkStart w:id="527" w:name="Tc_rR6Xa7H0NEy4uMqqoMunIw_5_0"/>
      <w:bookmarkStart w:id="528" w:name="Tc_TQSgxgL5oUSd8HR5k8tnNw_4_0"/>
      <w:bookmarkStart w:id="529" w:name="Tc_QlIVHH5J_EO1cNV9lYA7ZQ_3_2"/>
      <w:bookmarkStart w:id="530" w:name="Tc_PUSYRVEMvkC66mPiB8N4Mw_3_0"/>
      <w:bookmarkStart w:id="531" w:name="Tc_1bHXxJrmek6HOlWSTPvyhw_2_0"/>
      <w:bookmarkStart w:id="532" w:name="Tc_G2w_Wu0oT0yVXNLeMihlWg_1_2"/>
      <w:bookmarkStart w:id="533" w:name="Tc_1exqudSTBkO1hAtmHLowVw_26_12"/>
      <w:bookmarkStart w:id="534" w:name="Tc_VtbUC5It40K6GxyqFGGn7w_26_9"/>
      <w:bookmarkStart w:id="535" w:name="Tc_dMzz6JPWd0Ca95HOqacPQA_26_5"/>
      <w:bookmarkStart w:id="536" w:name="Tc_kWu9mhk-SUmz3t8GlAVyxw_26_2"/>
      <w:bookmarkStart w:id="537" w:name="Tc_gG9a_qaYr06nbOhBbI1vVQ_26_0"/>
      <w:bookmarkStart w:id="538" w:name="Tc_K1YX3S_JW0OstQRQvSvBBA_25_0"/>
      <w:bookmarkStart w:id="539" w:name="Tc_0GmtiU6YQ0OVAN-oG5pNdQ_24_0"/>
      <w:bookmarkStart w:id="540" w:name="Tc_PQeyKOCS502h9HnP2MKyRw_23_0"/>
      <w:bookmarkStart w:id="541" w:name="Tc_wUjmAiUL302ZVLDRDndN0w_22_10"/>
      <w:bookmarkStart w:id="542" w:name="Tc_gwVkQXkDyU2-c-iCNMACNA_22_3"/>
      <w:bookmarkStart w:id="543" w:name="Tc_21w3f9y0IkS1IYctQP7eeg_22_0"/>
      <w:bookmarkStart w:id="544" w:name="Tc_vl6Lh7XckE6JjvpYWKsUQg_21_0"/>
      <w:bookmarkStart w:id="545" w:name="Tc_btyRCYSuV0KdGhOKkVyjLQ_20_0"/>
      <w:bookmarkStart w:id="546" w:name="Tc_o9Rldp96ZEaGrKJjPsOiPw_18_0"/>
      <w:bookmarkStart w:id="547" w:name="Tc_Lbo12XYKbkSi_KDH8OG-Xw_17_0"/>
      <w:bookmarkStart w:id="548" w:name="Tc_VgmbcuCru0iA2jpcCd17cA_16_0"/>
      <w:bookmarkStart w:id="549" w:name="Tc_ANijnkdO3UCRaQ57xlORRA_15_0"/>
      <w:bookmarkStart w:id="550" w:name="Tc_jQl_qZSc6kywXYL05bNDJA_14_0"/>
      <w:bookmarkStart w:id="551" w:name="Tc_9w9XJQVeHU-TbnouBg-3pQ_13_0"/>
      <w:bookmarkStart w:id="552" w:name="Tc_ZWJmesFKUE2r5WgJnBXhSQ_12_0"/>
      <w:bookmarkStart w:id="553" w:name="Tc_2SoBwmQqCE-yWiOgBdNJ1w_11_0"/>
      <w:bookmarkStart w:id="554" w:name="Tc_BTTaIrlbE0Wfu_Vj7mFBcg_10_0"/>
      <w:bookmarkStart w:id="555" w:name="Tc_UAOhEGwwGkW1GzgYAXk0wQ_9_0"/>
      <w:bookmarkStart w:id="556" w:name="Tc_xMUUL4T2OkqZ58_MoKZgGA_8_0"/>
      <w:bookmarkStart w:id="557" w:name="Tc_lCvgDdrmZUCqzGgZK2zNWQ_7_10"/>
      <w:bookmarkStart w:id="558" w:name="Tc_O_demMpZ30-6Mu6mjxC-NA_7_3"/>
      <w:bookmarkStart w:id="559" w:name="Tc_B-jQ2EYoYEiIWefr-VcQVw_7_0"/>
      <w:bookmarkStart w:id="560" w:name="Tc_sgWwBRaoXkqtH_FtHyO0NQ_6_0"/>
      <w:bookmarkStart w:id="561" w:name="Tc_Sd7d3z_8_kq_5QBp_HOJsQ_5_0"/>
      <w:bookmarkStart w:id="562" w:name="Tc_ONoeA4fDoE6NJ5i-DD2Jyg_4_12"/>
      <w:bookmarkStart w:id="563" w:name="Tc_VviQ6tJKEk6cTItYNNoQow_4_9"/>
      <w:bookmarkStart w:id="564" w:name="Tc_sl8MXcDHiEGHbjrXlAKcJw_4_5"/>
      <w:bookmarkStart w:id="565" w:name="Tc_mq4PScnZ20WjCdy2sJ-eZQ_4_2"/>
      <w:bookmarkStart w:id="566" w:name="Tc_ecOEI88gpESo7O6IyTG1gA_4_0"/>
      <w:bookmarkStart w:id="567" w:name="Tc_tKEsFB8SVkOhbwBSl8CHMg_3_12"/>
      <w:bookmarkStart w:id="568" w:name="Tc_IrZGKIv6Rk-xULjXD2AH0A_3_9"/>
      <w:bookmarkStart w:id="569" w:name="Tc_sHgdoQcQ9E6n0qGk5wFCiw_3_5"/>
      <w:bookmarkStart w:id="570" w:name="Tc_KNfJ1xbpV0O9zbKQAm1-Rg_3_2"/>
      <w:bookmarkStart w:id="571" w:name="Tc_7a8d_QAv50G-xrvFPCqyZA_2_12"/>
      <w:bookmarkStart w:id="572" w:name="Tc_WTs-t4MNiUa_I-4Z0wILOw_2_9"/>
      <w:bookmarkStart w:id="573" w:name="Tc__qYYakxxv0eGkF3kAOgBuQ_2_5"/>
      <w:bookmarkStart w:id="574" w:name="Tc_QwtBAhd-9Uy9ejjhN8425w_2_2"/>
      <w:bookmarkStart w:id="575" w:name="Tc_WlB2BAA3rUSCNimDqxTPPg_1_9"/>
      <w:bookmarkStart w:id="576" w:name="Tc_8KNoVr9RsUeIHcpHUc_PuQ_1_2"/>
      <w:bookmarkStart w:id="577" w:name="FN_Debt"/>
      <w:bookmarkStart w:id="578" w:name="FNDebt"/>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rPr>
          <w:rFonts w:ascii="Arial Narrow" w:hAnsi="Arial Narrow"/>
          <w:b/>
          <w:caps/>
          <w:color w:val="00556F"/>
          <w:sz w:val="22"/>
        </w:rPr>
        <w:t>Note 6—Debt</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Overview</w:t>
      </w:r>
    </w:p>
    <w:p>
      <w:pPr>
        <w:pStyle w:val="TextBody"/>
        <w:bidi w:val="0"/>
        <w:spacing w:before="60" w:after="60"/>
        <w:ind w:left="0" w:right="0" w:firstLine="720"/>
        <w:jc w:val="both"/>
        <w:rPr>
          <w:rFonts w:ascii="Arial Narrow" w:hAnsi="Arial Narrow"/>
          <w:sz w:val="20"/>
        </w:rPr>
      </w:pPr>
      <w:r>
        <w:rPr>
          <w:rFonts w:ascii="Arial Narrow" w:hAnsi="Arial Narrow"/>
          <w:b/>
          <w:sz w:val="20"/>
        </w:rPr>
        <w:t>Outstanding debt</w:t>
      </w:r>
      <w:r>
        <w:rPr>
          <w:rFonts w:ascii="Arial Narrow" w:hAnsi="Arial Narrow"/>
          <w:sz w:val="20"/>
        </w:rPr>
        <w:t>—The aggregate principal amounts and aggregate carrying amounts, including a bifurcated compound exchange feature and unamortized debt-related balances, such as discounts, premiums and issue costs, were as follows (in millions):</w:t>
      </w:r>
    </w:p>
    <w:p>
      <w:pPr>
        <w:pStyle w:val="TextBody"/>
        <w:bidi w:val="0"/>
        <w:spacing w:before="0" w:after="0"/>
        <w:ind w:left="0" w:right="0" w:hanging="0"/>
        <w:jc w:val="left"/>
        <w:rPr/>
      </w:pPr>
      <w:r>
        <w:rPr/>
        <w:t>​</w:t>
      </w:r>
    </w:p>
    <w:tbl>
      <w:tblPr>
        <w:tblW w:w="9336" w:type="dxa"/>
        <w:jc w:val="left"/>
        <w:tblInd w:w="0" w:type="dxa"/>
        <w:tblLayout w:type="fixed"/>
        <w:tblCellMar>
          <w:top w:w="0" w:type="dxa"/>
          <w:left w:w="0" w:type="dxa"/>
          <w:bottom w:w="0" w:type="dxa"/>
          <w:right w:w="0" w:type="dxa"/>
        </w:tblCellMar>
      </w:tblPr>
      <w:tblGrid>
        <w:gridCol w:w="4561"/>
        <w:gridCol w:w="109"/>
        <w:gridCol w:w="206"/>
        <w:gridCol w:w="514"/>
        <w:gridCol w:w="346"/>
        <w:gridCol w:w="266"/>
        <w:gridCol w:w="665"/>
        <w:gridCol w:w="226"/>
        <w:gridCol w:w="146"/>
        <w:gridCol w:w="206"/>
        <w:gridCol w:w="514"/>
        <w:gridCol w:w="346"/>
        <w:gridCol w:w="275"/>
        <w:gridCol w:w="685"/>
        <w:gridCol w:w="27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896235" cy="175895"/>
                      <wp:effectExtent l="0" t="0" r="0" b="0"/>
                      <wp:wrapNone/>
                      <wp:docPr id="78" name="Frame77"/>
                      <a:graphic xmlns:a="http://schemas.openxmlformats.org/drawingml/2006/main">
                        <a:graphicData uri="http://schemas.microsoft.com/office/word/2010/wordprocessingShape">
                          <wps:wsp>
                            <wps:cNvSpPr txBox="1"/>
                            <wps:spPr>
                              <a:xfrm>
                                <a:off x="0" y="0"/>
                                <a:ext cx="2896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895"/>
                      <wp:effectExtent l="0" t="0" r="0" b="0"/>
                      <wp:wrapNone/>
                      <wp:docPr id="79" name="Frame7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0810" cy="175895"/>
                      <wp:effectExtent l="0" t="0" r="0" b="0"/>
                      <wp:wrapNone/>
                      <wp:docPr id="80" name="Frame79"/>
                      <a:graphic xmlns:a="http://schemas.openxmlformats.org/drawingml/2006/main">
                        <a:graphicData uri="http://schemas.microsoft.com/office/word/2010/wordprocessingShape">
                          <wps:wsp>
                            <wps:cNvSpPr txBox="1"/>
                            <wps:spPr>
                              <a:xfrm>
                                <a:off x="0" y="0"/>
                                <a:ext cx="130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26390" cy="175895"/>
                      <wp:effectExtent l="0" t="0" r="0" b="0"/>
                      <wp:wrapNone/>
                      <wp:docPr id="81" name="Frame80"/>
                      <a:graphic xmlns:a="http://schemas.openxmlformats.org/drawingml/2006/main">
                        <a:graphicData uri="http://schemas.microsoft.com/office/word/2010/wordprocessingShape">
                          <wps:wsp>
                            <wps:cNvSpPr txBox="1"/>
                            <wps:spPr>
                              <a:xfrm>
                                <a:off x="0" y="0"/>
                                <a:ext cx="3263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895"/>
                      <wp:effectExtent l="0" t="0" r="0" b="0"/>
                      <wp:wrapNone/>
                      <wp:docPr id="82" name="Frame8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8910" cy="175895"/>
                      <wp:effectExtent l="0" t="0" r="0" b="0"/>
                      <wp:wrapNone/>
                      <wp:docPr id="83" name="Frame82"/>
                      <a:graphic xmlns:a="http://schemas.openxmlformats.org/drawingml/2006/main">
                        <a:graphicData uri="http://schemas.microsoft.com/office/word/2010/wordprocessingShape">
                          <wps:wsp>
                            <wps:cNvSpPr txBox="1"/>
                            <wps:spPr>
                              <a:xfrm>
                                <a:off x="0" y="0"/>
                                <a:ext cx="168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2275" cy="175895"/>
                      <wp:effectExtent l="0" t="0" r="0" b="0"/>
                      <wp:wrapNone/>
                      <wp:docPr id="84" name="Frame83"/>
                      <a:graphic xmlns:a="http://schemas.openxmlformats.org/drawingml/2006/main">
                        <a:graphicData uri="http://schemas.microsoft.com/office/word/2010/wordprocessingShape">
                          <wps:wsp>
                            <wps:cNvSpPr txBox="1"/>
                            <wps:spPr>
                              <a:xfrm>
                                <a:off x="0" y="0"/>
                                <a:ext cx="4222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3510" cy="175895"/>
                      <wp:effectExtent l="0" t="0" r="0" b="0"/>
                      <wp:wrapNone/>
                      <wp:docPr id="85" name="Frame84"/>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2710" cy="175895"/>
                      <wp:effectExtent l="0" t="0" r="0" b="0"/>
                      <wp:wrapNone/>
                      <wp:docPr id="86" name="Frame85"/>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0810" cy="175895"/>
                      <wp:effectExtent l="0" t="0" r="0" b="0"/>
                      <wp:wrapNone/>
                      <wp:docPr id="87" name="Frame86"/>
                      <a:graphic xmlns:a="http://schemas.openxmlformats.org/drawingml/2006/main">
                        <a:graphicData uri="http://schemas.microsoft.com/office/word/2010/wordprocessingShape">
                          <wps:wsp>
                            <wps:cNvSpPr txBox="1"/>
                            <wps:spPr>
                              <a:xfrm>
                                <a:off x="0" y="0"/>
                                <a:ext cx="130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26390" cy="175895"/>
                      <wp:effectExtent l="0" t="0" r="0" b="0"/>
                      <wp:wrapNone/>
                      <wp:docPr id="88" name="Frame87"/>
                      <a:graphic xmlns:a="http://schemas.openxmlformats.org/drawingml/2006/main">
                        <a:graphicData uri="http://schemas.microsoft.com/office/word/2010/wordprocessingShape">
                          <wps:wsp>
                            <wps:cNvSpPr txBox="1"/>
                            <wps:spPr>
                              <a:xfrm>
                                <a:off x="0" y="0"/>
                                <a:ext cx="3263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895"/>
                      <wp:effectExtent l="0" t="0" r="0" b="0"/>
                      <wp:wrapNone/>
                      <wp:docPr id="89" name="Frame8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74625" cy="175895"/>
                      <wp:effectExtent l="0" t="0" r="0" b="0"/>
                      <wp:wrapNone/>
                      <wp:docPr id="90" name="Frame89"/>
                      <a:graphic xmlns:a="http://schemas.openxmlformats.org/drawingml/2006/main">
                        <a:graphicData uri="http://schemas.microsoft.com/office/word/2010/wordprocessingShape">
                          <wps:wsp>
                            <wps:cNvSpPr txBox="1"/>
                            <wps:spPr>
                              <a:xfrm>
                                <a:off x="0" y="0"/>
                                <a:ext cx="1746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34975" cy="175895"/>
                      <wp:effectExtent l="0" t="0" r="0" b="0"/>
                      <wp:wrapNone/>
                      <wp:docPr id="91" name="Frame90"/>
                      <a:graphic xmlns:a="http://schemas.openxmlformats.org/drawingml/2006/main">
                        <a:graphicData uri="http://schemas.microsoft.com/office/word/2010/wordprocessingShape">
                          <wps:wsp>
                            <wps:cNvSpPr txBox="1"/>
                            <wps:spPr>
                              <a:xfrm>
                                <a:off x="0" y="0"/>
                                <a:ext cx="4349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2085" cy="175895"/>
                      <wp:effectExtent l="0" t="0" r="0" b="0"/>
                      <wp:wrapNone/>
                      <wp:docPr id="92" name="Frame91"/>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997"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Principal amount</w:t>
            </w:r>
          </w:p>
        </w:tc>
        <w:tc>
          <w:tcPr>
            <w:tcW w:w="226"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center"/>
              <w:rPr/>
            </w:pPr>
            <w:r>
              <w:rPr/>
              <w:t>​</w:t>
            </w:r>
          </w:p>
        </w:tc>
        <w:tc>
          <w:tcPr>
            <w:tcW w:w="2026"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Carrying amount</w:t>
            </w:r>
          </w:p>
        </w:tc>
        <w:tc>
          <w:tcPr>
            <w:tcW w:w="271" w:type="dxa"/>
            <w:tcBorders/>
            <w:vAlign w:val="center"/>
          </w:tcPr>
          <w:p>
            <w:pPr>
              <w:pStyle w:val="TableContents"/>
              <w:bidi w:val="0"/>
              <w:spacing w:before="1" w:after="1"/>
              <w:ind w:left="0" w:right="0" w:hanging="0"/>
              <w:jc w:val="center"/>
              <w:rPr/>
            </w:pPr>
            <w:r>
              <w:rPr/>
              <w:t> </w:t>
            </w:r>
          </w:p>
        </w:tc>
      </w:tr>
      <w:tr>
        <w:trPr/>
        <w:tc>
          <w:tcPr>
            <w:tcW w:w="45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720" w:type="dxa"/>
            <w:gridSpan w:val="2"/>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March 31, </w:t>
            </w:r>
          </w:p>
        </w:tc>
        <w:tc>
          <w:tcPr>
            <w:tcW w:w="346" w:type="dxa"/>
            <w:tcBorders/>
            <w:vAlign w:val="center"/>
          </w:tcPr>
          <w:p>
            <w:pPr>
              <w:pStyle w:val="TableContents"/>
              <w:bidi w:val="0"/>
              <w:spacing w:before="1" w:after="1"/>
              <w:ind w:left="0" w:right="0" w:hanging="0"/>
              <w:jc w:val="center"/>
              <w:rPr/>
            </w:pPr>
            <w:r>
              <w:rPr/>
              <w:t>​</w:t>
            </w:r>
          </w:p>
        </w:tc>
        <w:tc>
          <w:tcPr>
            <w:tcW w:w="931" w:type="dxa"/>
            <w:gridSpan w:val="2"/>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December 31,</w:t>
            </w:r>
          </w:p>
        </w:tc>
        <w:tc>
          <w:tcPr>
            <w:tcW w:w="226" w:type="dxa"/>
            <w:tcBorders/>
            <w:vAlign w:val="center"/>
          </w:tcPr>
          <w:p>
            <w:pPr>
              <w:pStyle w:val="TableContents"/>
              <w:bidi w:val="0"/>
              <w:spacing w:before="1" w:after="1"/>
              <w:ind w:left="0" w:right="0" w:hanging="0"/>
              <w:jc w:val="center"/>
              <w:rPr/>
            </w:pPr>
            <w:r>
              <w:rPr/>
              <w:t> </w:t>
            </w:r>
          </w:p>
        </w:tc>
        <w:tc>
          <w:tcPr>
            <w:tcW w:w="146" w:type="dxa"/>
            <w:tcBorders/>
            <w:vAlign w:val="center"/>
          </w:tcPr>
          <w:p>
            <w:pPr>
              <w:pStyle w:val="TableContents"/>
              <w:bidi w:val="0"/>
              <w:spacing w:before="1" w:after="1"/>
              <w:ind w:left="0" w:right="0" w:hanging="0"/>
              <w:jc w:val="center"/>
              <w:rPr/>
            </w:pPr>
            <w:r>
              <w:rPr/>
              <w:t>​</w:t>
            </w:r>
          </w:p>
        </w:tc>
        <w:tc>
          <w:tcPr>
            <w:tcW w:w="720" w:type="dxa"/>
            <w:gridSpan w:val="2"/>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March 31, </w:t>
            </w:r>
          </w:p>
        </w:tc>
        <w:tc>
          <w:tcPr>
            <w:tcW w:w="346" w:type="dxa"/>
            <w:tcBorders/>
            <w:vAlign w:val="center"/>
          </w:tcPr>
          <w:p>
            <w:pPr>
              <w:pStyle w:val="TableContents"/>
              <w:bidi w:val="0"/>
              <w:spacing w:before="1" w:after="1"/>
              <w:ind w:left="0" w:right="0" w:hanging="0"/>
              <w:jc w:val="center"/>
              <w:rPr/>
            </w:pPr>
            <w:r>
              <w:rPr/>
              <w:t>​</w:t>
            </w:r>
          </w:p>
        </w:tc>
        <w:tc>
          <w:tcPr>
            <w:tcW w:w="960" w:type="dxa"/>
            <w:gridSpan w:val="2"/>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December 31, </w:t>
            </w:r>
          </w:p>
        </w:tc>
        <w:tc>
          <w:tcPr>
            <w:tcW w:w="271" w:type="dxa"/>
            <w:tcBorders/>
            <w:vAlign w:val="center"/>
          </w:tcPr>
          <w:p>
            <w:pPr>
              <w:pStyle w:val="TableContents"/>
              <w:bidi w:val="0"/>
              <w:spacing w:before="1" w:after="1"/>
              <w:ind w:left="0" w:right="0" w:hanging="0"/>
              <w:jc w:val="center"/>
              <w:rPr/>
            </w:pPr>
            <w:r>
              <w:rPr/>
              <w:t> </w:t>
            </w:r>
          </w:p>
        </w:tc>
      </w:tr>
      <w:tr>
        <w:trPr/>
        <w:tc>
          <w:tcPr>
            <w:tcW w:w="45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7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2026</w:t>
            </w:r>
          </w:p>
        </w:tc>
        <w:tc>
          <w:tcPr>
            <w:tcW w:w="346" w:type="dxa"/>
            <w:tcBorders/>
            <w:vAlign w:val="center"/>
          </w:tcPr>
          <w:p>
            <w:pPr>
              <w:pStyle w:val="TableContents"/>
              <w:bidi w:val="0"/>
              <w:spacing w:before="1"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2025</w:t>
            </w:r>
          </w:p>
        </w:tc>
        <w:tc>
          <w:tcPr>
            <w:tcW w:w="226" w:type="dxa"/>
            <w:tcBorders/>
            <w:vAlign w:val="center"/>
          </w:tcPr>
          <w:p>
            <w:pPr>
              <w:pStyle w:val="TableContents"/>
              <w:bidi w:val="0"/>
              <w:spacing w:before="1" w:after="1"/>
              <w:ind w:left="0" w:right="0" w:hanging="0"/>
              <w:jc w:val="center"/>
              <w:rPr/>
            </w:pPr>
            <w:r>
              <w:rPr/>
              <w:t>  ​</w:t>
            </w:r>
          </w:p>
        </w:tc>
        <w:tc>
          <w:tcPr>
            <w:tcW w:w="146" w:type="dxa"/>
            <w:tcBorders/>
            <w:vAlign w:val="center"/>
          </w:tcPr>
          <w:p>
            <w:pPr>
              <w:pStyle w:val="TableContents"/>
              <w:bidi w:val="0"/>
              <w:spacing w:before="1" w:after="1"/>
              <w:ind w:left="0" w:right="0" w:hanging="0"/>
              <w:jc w:val="center"/>
              <w:rPr/>
            </w:pPr>
            <w:r>
              <w:rPr/>
              <w:t> </w:t>
            </w:r>
          </w:p>
        </w:tc>
        <w:tc>
          <w:tcPr>
            <w:tcW w:w="7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2026</w:t>
            </w:r>
          </w:p>
        </w:tc>
        <w:tc>
          <w:tcPr>
            <w:tcW w:w="346" w:type="dxa"/>
            <w:tcBorders/>
            <w:vAlign w:val="center"/>
          </w:tcPr>
          <w:p>
            <w:pPr>
              <w:pStyle w:val="TableContents"/>
              <w:bidi w:val="0"/>
              <w:spacing w:before="1" w:after="1"/>
              <w:ind w:left="0" w:right="0" w:hanging="0"/>
              <w:jc w:val="center"/>
              <w:rPr/>
            </w:pPr>
            <w:r>
              <w:rPr/>
              <w:t>  ​ ​ ​</w:t>
            </w:r>
          </w:p>
        </w:tc>
        <w:tc>
          <w:tcPr>
            <w:tcW w:w="9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2025</w:t>
            </w:r>
          </w:p>
        </w:tc>
        <w:tc>
          <w:tcPr>
            <w:tcW w:w="271" w:type="dxa"/>
            <w:tcBorders/>
            <w:vAlign w:val="center"/>
          </w:tcPr>
          <w:p>
            <w:pPr>
              <w:pStyle w:val="TableContents"/>
              <w:bidi w:val="0"/>
              <w:spacing w:before="1" w:after="1"/>
              <w:ind w:left="0" w:right="0" w:hanging="0"/>
              <w:jc w:val="center"/>
              <w:rPr/>
            </w:pPr>
            <w:r>
              <w:rPr/>
              <w:t>  ​</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7.45% Notes due April 2027</w:t>
            </w:r>
          </w:p>
        </w:tc>
        <w:tc>
          <w:tcPr>
            <w:tcW w:w="109" w:type="dxa"/>
            <w:tcBorders/>
            <w:shd w:fill="CEDBE0" w:val="clear"/>
            <w:vAlign w:val="center"/>
          </w:tcPr>
          <w:p>
            <w:pPr>
              <w:pStyle w:val="TableContents"/>
              <w:bidi w:val="0"/>
              <w:spacing w:before="1" w:after="1"/>
              <w:ind w:left="0" w:right="0" w:hanging="0"/>
              <w:jc w:val="both"/>
              <w:rPr/>
            </w:pPr>
            <w:r>
              <w:rPr/>
              <w:t>​</w:t>
            </w:r>
          </w:p>
        </w:tc>
        <w:tc>
          <w:tcPr>
            <w:tcW w:w="20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8.00% Debentures due April 2027</w:t>
            </w:r>
          </w:p>
        </w:tc>
        <w:tc>
          <w:tcPr>
            <w:tcW w:w="109" w:type="dxa"/>
            <w:tcBorders/>
            <w:vAlign w:val="center"/>
          </w:tcPr>
          <w:p>
            <w:pPr>
              <w:pStyle w:val="TableContents"/>
              <w:bidi w:val="0"/>
              <w:spacing w:before="1" w:after="1"/>
              <w:ind w:left="0" w:right="0" w:hanging="0"/>
              <w:jc w:val="both"/>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4.50% Shipyard Loans due September 2027</w:t>
            </w:r>
          </w:p>
        </w:tc>
        <w:tc>
          <w:tcPr>
            <w:tcW w:w="109" w:type="dxa"/>
            <w:tcBorders/>
            <w:shd w:fill="CEDBE0" w:val="clear"/>
            <w:vAlign w:val="center"/>
          </w:tcPr>
          <w:p>
            <w:pPr>
              <w:pStyle w:val="TableContents"/>
              <w:bidi w:val="0"/>
              <w:spacing w:before="1" w:after="1"/>
              <w:ind w:left="0" w:right="0" w:hanging="0"/>
              <w:jc w:val="both"/>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179</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209</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173</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202</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8.375% Senior Secured Notes due February 2028</w:t>
            </w:r>
          </w:p>
        </w:tc>
        <w:tc>
          <w:tcPr>
            <w:tcW w:w="109" w:type="dxa"/>
            <w:tcBorders/>
            <w:vAlign w:val="center"/>
          </w:tcPr>
          <w:p>
            <w:pPr>
              <w:pStyle w:val="TableContents"/>
              <w:bidi w:val="0"/>
              <w:spacing w:before="1" w:after="1"/>
              <w:ind w:left="0" w:right="0" w:hanging="0"/>
              <w:jc w:val="both"/>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425</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421</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7.00% Notes due June 2028</w:t>
            </w:r>
          </w:p>
        </w:tc>
        <w:tc>
          <w:tcPr>
            <w:tcW w:w="109" w:type="dxa"/>
            <w:tcBorders/>
            <w:shd w:fill="CEDBE0" w:val="clear"/>
            <w:vAlign w:val="center"/>
          </w:tcPr>
          <w:p>
            <w:pPr>
              <w:pStyle w:val="TableContents"/>
              <w:bidi w:val="0"/>
              <w:spacing w:before="1" w:after="1"/>
              <w:ind w:left="0" w:right="0" w:hanging="0"/>
              <w:jc w:val="both"/>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209</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209</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210</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210</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8.00% Senior Secured Notes due September 2028</w:t>
            </w:r>
          </w:p>
        </w:tc>
        <w:tc>
          <w:tcPr>
            <w:tcW w:w="109" w:type="dxa"/>
            <w:tcBorders/>
            <w:vAlign w:val="center"/>
          </w:tcPr>
          <w:p>
            <w:pPr>
              <w:pStyle w:val="TableContents"/>
              <w:bidi w:val="0"/>
              <w:spacing w:before="1" w:after="1"/>
              <w:ind w:left="0" w:right="0" w:hanging="0"/>
              <w:jc w:val="both"/>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200</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235</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198</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233</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8.25% Senior Notes due May 2029</w:t>
            </w:r>
          </w:p>
        </w:tc>
        <w:tc>
          <w:tcPr>
            <w:tcW w:w="109" w:type="dxa"/>
            <w:tcBorders/>
            <w:shd w:fill="CEDBE0" w:val="clear"/>
            <w:vAlign w:val="center"/>
          </w:tcPr>
          <w:p>
            <w:pPr>
              <w:pStyle w:val="TableContents"/>
              <w:bidi w:val="0"/>
              <w:spacing w:before="1" w:after="1"/>
              <w:ind w:left="0" w:right="0" w:hanging="0"/>
              <w:jc w:val="both"/>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900</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900</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890</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889</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4.625% Senior Guaranteed Exchangeable Bonds due September 2029</w:t>
            </w:r>
          </w:p>
        </w:tc>
        <w:tc>
          <w:tcPr>
            <w:tcW w:w="109" w:type="dxa"/>
            <w:tcBorders/>
            <w:vAlign w:val="center"/>
          </w:tcPr>
          <w:p>
            <w:pPr>
              <w:pStyle w:val="TableContents"/>
              <w:bidi w:val="0"/>
              <w:spacing w:before="1" w:after="1"/>
              <w:ind w:left="0" w:right="0" w:hanging="0"/>
              <w:jc w:val="both"/>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259</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259</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450</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292</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8.75% Senior Secured Notes due February 2030</w:t>
            </w:r>
          </w:p>
        </w:tc>
        <w:tc>
          <w:tcPr>
            <w:tcW w:w="109" w:type="dxa"/>
            <w:tcBorders/>
            <w:shd w:fill="CEDBE0" w:val="clear"/>
            <w:vAlign w:val="center"/>
          </w:tcPr>
          <w:p>
            <w:pPr>
              <w:pStyle w:val="TableContents"/>
              <w:bidi w:val="0"/>
              <w:spacing w:before="1" w:after="1"/>
              <w:ind w:left="0" w:right="0" w:hanging="0"/>
              <w:jc w:val="both"/>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822</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881</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810</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868</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7.50% Notes due April 2031</w:t>
            </w:r>
          </w:p>
        </w:tc>
        <w:tc>
          <w:tcPr>
            <w:tcW w:w="109" w:type="dxa"/>
            <w:tcBorders/>
            <w:vAlign w:val="center"/>
          </w:tcPr>
          <w:p>
            <w:pPr>
              <w:pStyle w:val="TableContents"/>
              <w:bidi w:val="0"/>
              <w:spacing w:before="1" w:after="1"/>
              <w:ind w:left="0" w:right="0" w:hanging="0"/>
              <w:jc w:val="both"/>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396</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396</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395</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395</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8.50% Senior Notes due May 2031</w:t>
            </w:r>
          </w:p>
        </w:tc>
        <w:tc>
          <w:tcPr>
            <w:tcW w:w="109" w:type="dxa"/>
            <w:tcBorders/>
            <w:shd w:fill="CEDBE0" w:val="clear"/>
            <w:vAlign w:val="center"/>
          </w:tcPr>
          <w:p>
            <w:pPr>
              <w:pStyle w:val="TableContents"/>
              <w:bidi w:val="0"/>
              <w:spacing w:before="1" w:after="1"/>
              <w:ind w:left="0" w:right="0" w:hanging="0"/>
              <w:jc w:val="both"/>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900</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900</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888</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888</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7.875% Senior Guaranteed Notes due October 2032</w:t>
            </w:r>
          </w:p>
        </w:tc>
        <w:tc>
          <w:tcPr>
            <w:tcW w:w="109" w:type="dxa"/>
            <w:tcBorders/>
            <w:vAlign w:val="center"/>
          </w:tcPr>
          <w:p>
            <w:pPr>
              <w:pStyle w:val="TableContents"/>
              <w:bidi w:val="0"/>
              <w:spacing w:before="1" w:after="1"/>
              <w:ind w:left="0" w:right="0" w:hanging="0"/>
              <w:jc w:val="both"/>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500</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500</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493</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493</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6.80% Senior Notes due March 2038</w:t>
            </w:r>
          </w:p>
        </w:tc>
        <w:tc>
          <w:tcPr>
            <w:tcW w:w="109" w:type="dxa"/>
            <w:tcBorders/>
            <w:shd w:fill="CEDBE0" w:val="clear"/>
            <w:vAlign w:val="center"/>
          </w:tcPr>
          <w:p>
            <w:pPr>
              <w:pStyle w:val="TableContents"/>
              <w:bidi w:val="0"/>
              <w:spacing w:before="1" w:after="1"/>
              <w:ind w:left="0" w:right="0" w:hanging="0"/>
              <w:jc w:val="both"/>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610</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610</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606</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605</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7.35% Senior Notes due December 2041</w:t>
            </w:r>
          </w:p>
        </w:tc>
        <w:tc>
          <w:tcPr>
            <w:tcW w:w="109" w:type="dxa"/>
            <w:tcBorders/>
            <w:vAlign w:val="center"/>
          </w:tcPr>
          <w:p>
            <w:pPr>
              <w:pStyle w:val="TableContents"/>
              <w:bidi w:val="0"/>
              <w:spacing w:before="1" w:after="1"/>
              <w:ind w:left="0" w:right="0" w:hanging="0"/>
              <w:jc w:val="both"/>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87</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87</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debt</w:t>
            </w:r>
          </w:p>
        </w:tc>
        <w:tc>
          <w:tcPr>
            <w:tcW w:w="109" w:type="dxa"/>
            <w:tcBorders/>
            <w:shd w:fill="CEDBE0" w:val="clear"/>
            <w:vAlign w:val="center"/>
          </w:tcPr>
          <w:p>
            <w:pPr>
              <w:pStyle w:val="TableContents"/>
              <w:bidi w:val="0"/>
              <w:spacing w:before="1" w:after="1"/>
              <w:ind w:left="0" w:right="0" w:hanging="0"/>
              <w:jc w:val="both"/>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5,137</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5,686</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5,274</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5,657</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Less debt due within one year</w:t>
            </w:r>
          </w:p>
        </w:tc>
        <w:tc>
          <w:tcPr>
            <w:tcW w:w="109" w:type="dxa"/>
            <w:tcBorders/>
            <w:vAlign w:val="center"/>
          </w:tcPr>
          <w:p>
            <w:pPr>
              <w:pStyle w:val="TableContents"/>
              <w:bidi w:val="0"/>
              <w:spacing w:before="1" w:after="1"/>
              <w:ind w:left="0" w:right="0" w:hanging="0"/>
              <w:jc w:val="lef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4.50% Shipyard Loans due September 2027</w:t>
            </w:r>
          </w:p>
        </w:tc>
        <w:tc>
          <w:tcPr>
            <w:tcW w:w="109" w:type="dxa"/>
            <w:tcBorders/>
            <w:shd w:fill="CEDBE0" w:val="clear"/>
            <w:vAlign w:val="center"/>
          </w:tcPr>
          <w:p>
            <w:pPr>
              <w:pStyle w:val="TableContents"/>
              <w:bidi w:val="0"/>
              <w:spacing w:before="1" w:after="1"/>
              <w:ind w:left="0" w:right="0" w:hanging="0"/>
              <w:jc w:val="lef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151</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136</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146</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129</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8.375% Senior Secured Notes due February 2028</w:t>
            </w:r>
          </w:p>
        </w:tc>
        <w:tc>
          <w:tcPr>
            <w:tcW w:w="109" w:type="dxa"/>
            <w:tcBorders/>
            <w:vAlign w:val="center"/>
          </w:tcPr>
          <w:p>
            <w:pPr>
              <w:pStyle w:val="TableContents"/>
              <w:bidi w:val="0"/>
              <w:spacing w:before="1" w:after="1"/>
              <w:ind w:left="0" w:right="0" w:hanging="0"/>
              <w:jc w:val="lef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135</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vAlign w:val="center"/>
          </w:tcPr>
          <w:p>
            <w:pPr>
              <w:pStyle w:val="TableContents"/>
              <w:bidi w:val="0"/>
              <w:spacing w:before="1" w:after="1"/>
              <w:ind w:left="0" w:right="0" w:hanging="0"/>
              <w:jc w:val="right"/>
              <w:rPr/>
            </w:pPr>
            <w:r>
              <w:rPr/>
              <w:t>​</w:t>
            </w:r>
          </w:p>
        </w:tc>
        <w:tc>
          <w:tcPr>
            <w:tcW w:w="514"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133</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8.00% Senior Secured Notes due September 2028</w:t>
            </w:r>
          </w:p>
        </w:tc>
        <w:tc>
          <w:tcPr>
            <w:tcW w:w="109" w:type="dxa"/>
            <w:tcBorders/>
            <w:shd w:fill="CEDBE0" w:val="clear"/>
            <w:vAlign w:val="center"/>
          </w:tcPr>
          <w:p>
            <w:pPr>
              <w:pStyle w:val="TableContents"/>
              <w:bidi w:val="0"/>
              <w:spacing w:before="1" w:after="1"/>
              <w:ind w:left="0" w:right="0" w:hanging="0"/>
              <w:jc w:val="lef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70</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70</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shd w:fill="CEDBE0" w:val="clear"/>
            <w:vAlign w:val="center"/>
          </w:tcPr>
          <w:p>
            <w:pPr>
              <w:pStyle w:val="TableContents"/>
              <w:bidi w:val="0"/>
              <w:spacing w:before="1" w:after="1"/>
              <w:ind w:left="0" w:right="0" w:hanging="0"/>
              <w:jc w:val="right"/>
              <w:rPr/>
            </w:pPr>
            <w:r>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69</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69</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8.75% Senior Secured Notes due February 2030</w:t>
            </w:r>
          </w:p>
        </w:tc>
        <w:tc>
          <w:tcPr>
            <w:tcW w:w="109" w:type="dxa"/>
            <w:tcBorders/>
            <w:vAlign w:val="center"/>
          </w:tcPr>
          <w:p>
            <w:pPr>
              <w:pStyle w:val="TableContents"/>
              <w:bidi w:val="0"/>
              <w:spacing w:before="1"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514"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117</w:t>
            </w:r>
          </w:p>
        </w:tc>
        <w:tc>
          <w:tcPr>
            <w:tcW w:w="346" w:type="dxa"/>
            <w:tcBorders/>
            <w:vAlign w:val="center"/>
          </w:tcPr>
          <w:p>
            <w:pPr>
              <w:pStyle w:val="TableContents"/>
              <w:bidi w:val="0"/>
              <w:spacing w:before="1" w:after="1"/>
              <w:ind w:left="0" w:right="0" w:hanging="0"/>
              <w:jc w:val="right"/>
              <w:rPr/>
            </w:pPr>
            <w:r>
              <w:rPr/>
              <w:t>​</w:t>
            </w:r>
          </w:p>
        </w:tc>
        <w:tc>
          <w:tcPr>
            <w:tcW w:w="2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665"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117</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514"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114</w:t>
            </w:r>
          </w:p>
        </w:tc>
        <w:tc>
          <w:tcPr>
            <w:tcW w:w="346" w:type="dxa"/>
            <w:tcBorders/>
            <w:vAlign w:val="center"/>
          </w:tcPr>
          <w:p>
            <w:pPr>
              <w:pStyle w:val="TableContents"/>
              <w:bidi w:val="0"/>
              <w:spacing w:before="1" w:after="1"/>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685"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114</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debt due within one year</w:t>
            </w:r>
          </w:p>
        </w:tc>
        <w:tc>
          <w:tcPr>
            <w:tcW w:w="109" w:type="dxa"/>
            <w:tcBorders/>
            <w:shd w:fill="CEDBE0" w:val="clear"/>
            <w:vAlign w:val="center"/>
          </w:tcPr>
          <w:p>
            <w:pPr>
              <w:pStyle w:val="TableContents"/>
              <w:bidi w:val="0"/>
              <w:spacing w:before="1" w:after="1"/>
              <w:ind w:left="0" w:right="0" w:hanging="0"/>
              <w:jc w:val="left"/>
              <w:rPr/>
            </w:pPr>
            <w:r>
              <w:rPr/>
              <w:t>​</w:t>
            </w:r>
          </w:p>
        </w:tc>
        <w:tc>
          <w:tcPr>
            <w:tcW w:w="20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514"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338</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665"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458</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20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514"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329</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685"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445</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long-term debt</w:t>
            </w:r>
          </w:p>
        </w:tc>
        <w:tc>
          <w:tcPr>
            <w:tcW w:w="109" w:type="dxa"/>
            <w:tcBorders/>
            <w:vAlign w:val="center"/>
          </w:tcPr>
          <w:p>
            <w:pPr>
              <w:pStyle w:val="TableContents"/>
              <w:bidi w:val="0"/>
              <w:spacing w:before="1" w:after="1"/>
              <w:ind w:left="0" w:right="0" w:hanging="0"/>
              <w:jc w:val="left"/>
              <w:rPr/>
            </w:pPr>
            <w:r>
              <w:rPr/>
              <w:t>​</w:t>
            </w:r>
          </w:p>
        </w:tc>
        <w:tc>
          <w:tcPr>
            <w:tcW w:w="206"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14"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4,799</w:t>
            </w:r>
          </w:p>
        </w:tc>
        <w:tc>
          <w:tcPr>
            <w:tcW w:w="346" w:type="dxa"/>
            <w:tcBorders/>
            <w:vAlign w:val="center"/>
          </w:tcPr>
          <w:p>
            <w:pPr>
              <w:pStyle w:val="TableContents"/>
              <w:bidi w:val="0"/>
              <w:spacing w:before="1" w:after="1"/>
              <w:ind w:left="0" w:right="0" w:hanging="0"/>
              <w:jc w:val="right"/>
              <w:rPr/>
            </w:pPr>
            <w:r>
              <w:rPr/>
              <w:t>​</w:t>
            </w:r>
          </w:p>
        </w:tc>
        <w:tc>
          <w:tcPr>
            <w:tcW w:w="266"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65"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5,228</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206"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14"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4,945</w:t>
            </w:r>
          </w:p>
        </w:tc>
        <w:tc>
          <w:tcPr>
            <w:tcW w:w="346" w:type="dxa"/>
            <w:tcBorders/>
            <w:vAlign w:val="center"/>
          </w:tcPr>
          <w:p>
            <w:pPr>
              <w:pStyle w:val="TableContents"/>
              <w:bidi w:val="0"/>
              <w:spacing w:before="1" w:after="1"/>
              <w:ind w:left="0" w:right="0" w:hanging="0"/>
              <w:jc w:val="right"/>
              <w:rPr/>
            </w:pPr>
            <w:r>
              <w:rPr/>
              <w:t>​</w:t>
            </w:r>
          </w:p>
        </w:tc>
        <w:tc>
          <w:tcPr>
            <w:tcW w:w="275"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85"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5,212</w:t>
            </w:r>
          </w:p>
        </w:tc>
        <w:tc>
          <w:tcPr>
            <w:tcW w:w="271" w:type="dxa"/>
            <w:tcBorders/>
            <w:vAlign w:val="center"/>
          </w:tcPr>
          <w:p>
            <w:pPr>
              <w:pStyle w:val="TableContents"/>
              <w:bidi w:val="0"/>
              <w:spacing w:before="1" w:after="1"/>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180" w:after="0"/>
        <w:ind w:left="0" w:right="0" w:firstLine="720"/>
        <w:jc w:val="both"/>
        <w:rPr>
          <w:rFonts w:ascii="Arial Narrow" w:hAnsi="Arial Narrow"/>
          <w:sz w:val="20"/>
        </w:rPr>
      </w:pPr>
      <w:r>
        <w:rPr>
          <w:rFonts w:ascii="Arial Narrow" w:hAnsi="Arial Narrow"/>
          <w:b/>
          <w:sz w:val="20"/>
        </w:rPr>
        <w:t>Scheduled installments and maturities</w:t>
      </w:r>
      <w:r>
        <w:rPr>
          <w:rFonts w:ascii="Arial Narrow" w:hAnsi="Arial Narrow"/>
          <w:sz w:val="20"/>
        </w:rPr>
        <w:t>—At March 31, 2026, scheduled repayments were as follows (in millions):</w:t>
      </w:r>
    </w:p>
    <w:p>
      <w:pPr>
        <w:pStyle w:val="TextBody"/>
        <w:bidi w:val="0"/>
        <w:spacing w:before="0" w:after="0"/>
        <w:ind w:left="0" w:right="0" w:hanging="0"/>
        <w:jc w:val="left"/>
        <w:rPr/>
      </w:pPr>
      <w:r>
        <w:rPr/>
        <w:t>​</w:t>
      </w:r>
    </w:p>
    <w:tbl>
      <w:tblPr>
        <w:tblW w:w="5235" w:type="dxa"/>
        <w:jc w:val="left"/>
        <w:tblInd w:w="0" w:type="dxa"/>
        <w:tblLayout w:type="fixed"/>
        <w:tblCellMar>
          <w:top w:w="0" w:type="dxa"/>
          <w:left w:w="0" w:type="dxa"/>
          <w:bottom w:w="0" w:type="dxa"/>
          <w:right w:w="0" w:type="dxa"/>
        </w:tblCellMar>
      </w:tblPr>
      <w:tblGrid>
        <w:gridCol w:w="4066"/>
        <w:gridCol w:w="346"/>
        <w:gridCol w:w="181"/>
        <w:gridCol w:w="451"/>
        <w:gridCol w:w="191"/>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581910" cy="175895"/>
                      <wp:effectExtent l="0" t="0" r="0" b="0"/>
                      <wp:wrapNone/>
                      <wp:docPr id="93" name="Frame92"/>
                      <a:graphic xmlns:a="http://schemas.openxmlformats.org/drawingml/2006/main">
                        <a:graphicData uri="http://schemas.microsoft.com/office/word/2010/wordprocessingShape">
                          <wps:wsp>
                            <wps:cNvSpPr txBox="1"/>
                            <wps:spPr>
                              <a:xfrm>
                                <a:off x="0" y="0"/>
                                <a:ext cx="2581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895"/>
                      <wp:effectExtent l="0" t="0" r="0" b="0"/>
                      <wp:wrapNone/>
                      <wp:docPr id="94" name="Frame9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14935" cy="175895"/>
                      <wp:effectExtent l="0" t="0" r="0" b="0"/>
                      <wp:wrapNone/>
                      <wp:docPr id="95" name="Frame94"/>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86385" cy="175895"/>
                      <wp:effectExtent l="0" t="0" r="0" b="0"/>
                      <wp:wrapNone/>
                      <wp:docPr id="96" name="Frame95"/>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1285" cy="175895"/>
                      <wp:effectExtent l="0" t="0" r="0" b="0"/>
                      <wp:wrapNone/>
                      <wp:docPr id="97" name="Frame96"/>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Total</w:t>
            </w:r>
          </w:p>
        </w:tc>
        <w:tc>
          <w:tcPr>
            <w:tcW w:w="191" w:type="dxa"/>
            <w:tcBorders/>
            <w:vAlign w:val="center"/>
          </w:tcPr>
          <w:p>
            <w:pPr>
              <w:pStyle w:val="TableContents"/>
              <w:bidi w:val="0"/>
              <w:spacing w:before="1" w:after="1"/>
              <w:ind w:left="0" w:right="0" w:hanging="0"/>
              <w:jc w:val="center"/>
              <w:rPr/>
            </w:pPr>
            <w:r>
              <w:rPr/>
              <w:t> </w:t>
            </w:r>
          </w:p>
        </w:tc>
      </w:tr>
      <w:tr>
        <w:trPr/>
        <w:tc>
          <w:tcPr>
            <w:tcW w:w="406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Twelve months ending March 31,</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2027</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338</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2028</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220</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2029</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457</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2030</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1,629</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2031</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pPr>
            <w:r>
              <w:rPr/>
              <w:t>—</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Thereafter</w:t>
            </w:r>
          </w:p>
        </w:tc>
        <w:tc>
          <w:tcPr>
            <w:tcW w:w="34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2,493</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principal amount of debt</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5,137</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unamortized debt-related balances, net</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(142)</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Bifurcated compound exchange feature, at estimated fair value</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279</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carrying amount of debt</w:t>
            </w:r>
          </w:p>
        </w:tc>
        <w:tc>
          <w:tcPr>
            <w:tcW w:w="346" w:type="dxa"/>
            <w:tcBorders/>
            <w:vAlign w:val="center"/>
          </w:tcPr>
          <w:p>
            <w:pPr>
              <w:pStyle w:val="TableContents"/>
              <w:bidi w:val="0"/>
              <w:spacing w:before="1"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5,274</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20" w:after="60"/>
        <w:ind w:left="0" w:right="0" w:hanging="0"/>
        <w:jc w:val="left"/>
        <w:rPr>
          <w:rFonts w:ascii="Arial Narrow" w:hAnsi="Arial Narrow"/>
          <w:b/>
          <w:i/>
          <w:color w:val="00556F"/>
          <w:sz w:val="20"/>
        </w:rPr>
      </w:pPr>
      <w:r>
        <w:rPr>
          <w:rFonts w:ascii="Arial Narrow" w:hAnsi="Arial Narrow"/>
          <w:b/>
          <w:i/>
          <w:color w:val="00556F"/>
          <w:sz w:val="20"/>
        </w:rPr>
        <w:t>Credit agreement</w:t>
      </w:r>
    </w:p>
    <w:p>
      <w:pPr>
        <w:pStyle w:val="TextBody"/>
        <w:bidi w:val="0"/>
        <w:spacing w:before="60" w:after="120"/>
        <w:ind w:left="0" w:right="0" w:firstLine="720"/>
        <w:jc w:val="both"/>
        <w:rPr>
          <w:rFonts w:ascii="Arial Narrow" w:hAnsi="Arial Narrow"/>
          <w:sz w:val="20"/>
        </w:rPr>
      </w:pPr>
      <w:r>
        <w:rPr>
          <w:rFonts w:ascii="Arial Narrow" w:hAnsi="Arial Narrow"/>
          <w:b/>
          <w:sz w:val="20"/>
        </w:rPr>
        <w:t>Secured Credit Facility</w:t>
      </w:r>
      <w:r>
        <w:rPr>
          <w:rFonts w:ascii="Arial Narrow" w:hAnsi="Arial Narrow"/>
          <w:sz w:val="20"/>
        </w:rPr>
        <w:t xml:space="preserve">—We have a secured revolving credit facility established under a bank credit agreement (as amended from time to time, the “Secured Credit Facility”), which has a borrowing capacity of $510 million through its maturity on June 22, 2028.  Throughout the term of the Secured Credit Facility, we pay a facility fee on the amount of the underlying commitment, which ranges from 0.375 percent to 1.00 percent based on the credit rating of the Secured Credit Facility.  We may borrow under the Secured Credit Facility at a forward-looking term rate based on the secured overnight financing rate (“Term SOFR”) plus a margin and a </w:t>
      </w:r>
      <w:r>
        <w:rPr>
          <w:rFonts w:ascii="Arial Narrow" w:hAnsi="Arial Narrow"/>
          <w:b w:val="false"/>
          <w:i w:val="false"/>
          <w:caps w:val="false"/>
          <w:smallCaps w:val="false"/>
          <w:sz w:val="20"/>
        </w:rPr>
        <w:t>Term SOFR</w:t>
      </w:r>
      <w:r>
        <w:rPr>
          <w:rFonts w:ascii="Arial Narrow" w:hAnsi="Arial Narrow"/>
          <w:sz w:val="20"/>
        </w:rPr>
        <w:t xml:space="preserve"> spread adjustment of 0.10 percent.  The Secured Credit Facility is subject to permitted extensions and certain early maturity triggers, including if on any date the aggregate amount of scheduled principal repayments of indebtedness, with certain exceptions, due within 91 days thereof is equal to or in excess of $325 million and available cash is less than $250 million.  The Secured Credit Facility permits us to increase the aggregate amount of commitments by up to $250 million.  The Secured Credit Facility is guaranteed by Transocean Ltd. and certain wholly owned subsidiaries.  At March 31, 2026, based on the credit rating of the Secured Credit Facility as of that date, the Secured Credit Facility Margin was 2.875 percent and the facility fee was 0.625 percent.  At March 31, 2026, we had no borrowings outstanding, $48 million of letters of credit issued, and we had $462 million of available borrowing capacity under the Secured Credit Facility.</w:t>
      </w:r>
    </w:p>
    <w:p>
      <w:pPr>
        <w:pStyle w:val="TextBody"/>
        <w:bidi w:val="0"/>
        <w:spacing w:before="0" w:after="0"/>
        <w:ind w:left="0" w:right="0" w:hanging="0"/>
        <w:jc w:val="center"/>
        <w:rPr>
          <w:rFonts w:ascii="Arial Narrow" w:hAnsi="Arial Narrow"/>
          <w:sz w:val="20"/>
        </w:rPr>
      </w:pPr>
      <w:r>
        <w:rPr>
          <w:rFonts w:ascii="Arial Narrow" w:hAnsi="Arial Narrow"/>
          <w:sz w:val="20"/>
        </w:rPr>
        <w:t>- 8 -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60"/>
        <w:ind w:left="0" w:right="0" w:hanging="0"/>
        <w:jc w:val="left"/>
        <w:rPr>
          <w:rFonts w:ascii="Arial Narrow" w:hAnsi="Arial Narrow"/>
          <w:b/>
          <w:i/>
          <w:color w:val="00556F"/>
          <w:sz w:val="20"/>
        </w:rPr>
      </w:pPr>
      <w:bookmarkStart w:id="579" w:name="Tc_O2ZogRKJvUmiz5H-eoWwLg_7_5"/>
      <w:bookmarkStart w:id="580" w:name="Tc_elwybJ9vjEinfF5Z9B2DNg_7_2"/>
      <w:bookmarkStart w:id="581" w:name="Tc_KaguhEvUQEGC-hMBZBPMCQ_7_0"/>
      <w:bookmarkStart w:id="582" w:name="Tc_GLndf8i7DUyahpmTFlyDQg_6_0"/>
      <w:bookmarkStart w:id="583" w:name="Tc_84vIqeaf30qg9JCWmnU3ew_5_0"/>
      <w:bookmarkStart w:id="584" w:name="Tc_a3H2FRuBGU-lbpNfyk2bdw_4_5"/>
      <w:bookmarkStart w:id="585" w:name="Tc_1BWHalpnEkWTZVNONheFRA_4_2"/>
      <w:bookmarkStart w:id="586" w:name="Tc_J9Df5iwt2EuNwr5eT8gUwA_4_0"/>
      <w:bookmarkStart w:id="587" w:name="Tc_4BawiWkqRE6GvX9wNwpslQ_3_5"/>
      <w:bookmarkStart w:id="588" w:name="Tc_6GaP9-bDzkWkrTKVnfcPlA_3_2"/>
      <w:bookmarkStart w:id="589" w:name="Tc_zQAs1i14A0q0AjfXu-n5Nw_2_2"/>
      <w:bookmarkStart w:id="590" w:name="Tc_Nfz0lho-iEebSe3nGm-Vlg_1_2"/>
      <w:bookmarkEnd w:id="579"/>
      <w:bookmarkEnd w:id="580"/>
      <w:bookmarkEnd w:id="581"/>
      <w:bookmarkEnd w:id="582"/>
      <w:bookmarkEnd w:id="583"/>
      <w:bookmarkEnd w:id="584"/>
      <w:bookmarkEnd w:id="585"/>
      <w:bookmarkEnd w:id="586"/>
      <w:bookmarkEnd w:id="587"/>
      <w:bookmarkEnd w:id="588"/>
      <w:bookmarkEnd w:id="589"/>
      <w:bookmarkEnd w:id="590"/>
      <w:r>
        <w:rPr>
          <w:rFonts w:ascii="Arial Narrow" w:hAnsi="Arial Narrow"/>
          <w:b/>
          <w:i/>
          <w:color w:val="00556F"/>
          <w:sz w:val="20"/>
        </w:rPr>
        <w:t>Exchangeable bonds</w:t>
      </w:r>
    </w:p>
    <w:p>
      <w:pPr>
        <w:pStyle w:val="TextBody"/>
        <w:bidi w:val="0"/>
        <w:spacing w:before="60" w:after="60"/>
        <w:ind w:left="0" w:right="0" w:firstLine="720"/>
        <w:jc w:val="both"/>
        <w:rPr>
          <w:rFonts w:ascii="Arial Narrow" w:hAnsi="Arial Narrow"/>
          <w:sz w:val="20"/>
        </w:rPr>
      </w:pPr>
      <w:r>
        <w:rPr>
          <w:rFonts w:ascii="Arial Narrow" w:hAnsi="Arial Narrow"/>
          <w:b/>
          <w:sz w:val="20"/>
        </w:rPr>
        <w:t>Interest expense</w:t>
      </w:r>
      <w:r>
        <w:rPr>
          <w:rFonts w:ascii="Arial Narrow" w:hAnsi="Arial Narrow"/>
          <w:sz w:val="20"/>
        </w:rPr>
        <w:t>—We recognized interest expense for our exchangeable bonds as follows (in millions):</w:t>
      </w:r>
    </w:p>
    <w:p>
      <w:pPr>
        <w:pStyle w:val="TextBody"/>
        <w:bidi w:val="0"/>
        <w:spacing w:before="0" w:after="0"/>
        <w:ind w:left="0" w:right="0" w:hanging="0"/>
        <w:jc w:val="left"/>
        <w:rPr/>
      </w:pPr>
      <w:r>
        <w:rPr/>
        <w:t>​</w:t>
      </w:r>
    </w:p>
    <w:tbl>
      <w:tblPr>
        <w:tblW w:w="6007" w:type="dxa"/>
        <w:jc w:val="left"/>
        <w:tblInd w:w="0" w:type="dxa"/>
        <w:tblLayout w:type="fixed"/>
        <w:tblCellMar>
          <w:top w:w="0" w:type="dxa"/>
          <w:left w:w="0" w:type="dxa"/>
          <w:bottom w:w="0" w:type="dxa"/>
          <w:right w:w="0" w:type="dxa"/>
        </w:tblCellMar>
      </w:tblPr>
      <w:tblGrid>
        <w:gridCol w:w="4381"/>
        <w:gridCol w:w="109"/>
        <w:gridCol w:w="215"/>
        <w:gridCol w:w="393"/>
        <w:gridCol w:w="129"/>
        <w:gridCol w:w="215"/>
        <w:gridCol w:w="411"/>
        <w:gridCol w:w="154"/>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781935" cy="175895"/>
                      <wp:effectExtent l="0" t="0" r="0" b="0"/>
                      <wp:wrapNone/>
                      <wp:docPr id="98" name="Frame97"/>
                      <a:graphic xmlns:a="http://schemas.openxmlformats.org/drawingml/2006/main">
                        <a:graphicData uri="http://schemas.microsoft.com/office/word/2010/wordprocessingShape">
                          <wps:wsp>
                            <wps:cNvSpPr txBox="1"/>
                            <wps:spPr>
                              <a:xfrm>
                                <a:off x="0" y="0"/>
                                <a:ext cx="2781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895"/>
                      <wp:effectExtent l="0" t="0" r="0" b="0"/>
                      <wp:wrapNone/>
                      <wp:docPr id="99" name="Frame9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6525" cy="175895"/>
                      <wp:effectExtent l="0" t="0" r="0" b="0"/>
                      <wp:wrapNone/>
                      <wp:docPr id="100" name="Frame99"/>
                      <a:graphic xmlns:a="http://schemas.openxmlformats.org/drawingml/2006/main">
                        <a:graphicData uri="http://schemas.microsoft.com/office/word/2010/wordprocessingShape">
                          <wps:wsp>
                            <wps:cNvSpPr txBox="1"/>
                            <wps:spPr>
                              <a:xfrm>
                                <a:off x="0" y="0"/>
                                <a:ext cx="1365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9555" cy="175895"/>
                      <wp:effectExtent l="0" t="0" r="0" b="0"/>
                      <wp:wrapNone/>
                      <wp:docPr id="101" name="Frame100"/>
                      <a:graphic xmlns:a="http://schemas.openxmlformats.org/drawingml/2006/main">
                        <a:graphicData uri="http://schemas.microsoft.com/office/word/2010/wordprocessingShape">
                          <wps:wsp>
                            <wps:cNvSpPr txBox="1"/>
                            <wps:spPr>
                              <a:xfrm>
                                <a:off x="0" y="0"/>
                                <a:ext cx="2495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81915" cy="175895"/>
                      <wp:effectExtent l="0" t="0" r="0" b="0"/>
                      <wp:wrapNone/>
                      <wp:docPr id="102" name="Frame101"/>
                      <a:graphic xmlns:a="http://schemas.openxmlformats.org/drawingml/2006/main">
                        <a:graphicData uri="http://schemas.microsoft.com/office/word/2010/wordprocessingShape">
                          <wps:wsp>
                            <wps:cNvSpPr txBox="1"/>
                            <wps:spPr>
                              <a:xfrm>
                                <a:off x="0" y="0"/>
                                <a:ext cx="819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6525" cy="175895"/>
                      <wp:effectExtent l="0" t="0" r="0" b="0"/>
                      <wp:wrapNone/>
                      <wp:docPr id="103" name="Frame102"/>
                      <a:graphic xmlns:a="http://schemas.openxmlformats.org/drawingml/2006/main">
                        <a:graphicData uri="http://schemas.microsoft.com/office/word/2010/wordprocessingShape">
                          <wps:wsp>
                            <wps:cNvSpPr txBox="1"/>
                            <wps:spPr>
                              <a:xfrm>
                                <a:off x="0" y="0"/>
                                <a:ext cx="1365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60985" cy="175895"/>
                      <wp:effectExtent l="0" t="0" r="0" b="0"/>
                      <wp:wrapNone/>
                      <wp:docPr id="104" name="Frame103"/>
                      <a:graphic xmlns:a="http://schemas.openxmlformats.org/drawingml/2006/main">
                        <a:graphicData uri="http://schemas.microsoft.com/office/word/2010/wordprocessingShape">
                          <wps:wsp>
                            <wps:cNvSpPr txBox="1"/>
                            <wps:spPr>
                              <a:xfrm>
                                <a:off x="0" y="0"/>
                                <a:ext cx="260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97790" cy="175895"/>
                      <wp:effectExtent l="0" t="0" r="0" b="0"/>
                      <wp:wrapNone/>
                      <wp:docPr id="105" name="Frame104"/>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363" w:type="dxa"/>
            <w:gridSpan w:val="5"/>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 xml:space="preserve">Three months ended </w:t>
            </w:r>
          </w:p>
        </w:tc>
        <w:tc>
          <w:tcPr>
            <w:tcW w:w="154" w:type="dxa"/>
            <w:tcBorders/>
            <w:vAlign w:val="center"/>
          </w:tcPr>
          <w:p>
            <w:pPr>
              <w:pStyle w:val="TableContents"/>
              <w:bidi w:val="0"/>
              <w:spacing w:before="1" w:after="1"/>
              <w:ind w:left="0" w:right="0" w:hanging="0"/>
              <w:jc w:val="center"/>
              <w:rPr/>
            </w:pPr>
            <w:r>
              <w:rPr/>
              <w:t>​</w:t>
            </w:r>
          </w:p>
        </w:tc>
      </w:tr>
      <w:tr>
        <w:trPr/>
        <w:tc>
          <w:tcPr>
            <w:tcW w:w="43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36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March 31, </w:t>
            </w:r>
          </w:p>
        </w:tc>
        <w:tc>
          <w:tcPr>
            <w:tcW w:w="154" w:type="dxa"/>
            <w:tcBorders/>
            <w:vAlign w:val="center"/>
          </w:tcPr>
          <w:p>
            <w:pPr>
              <w:pStyle w:val="TableContents"/>
              <w:bidi w:val="0"/>
              <w:spacing w:before="1" w:after="1"/>
              <w:ind w:left="0" w:right="0" w:hanging="0"/>
              <w:jc w:val="center"/>
              <w:rPr/>
            </w:pPr>
            <w:r>
              <w:rPr/>
              <w:t>​</w:t>
            </w:r>
          </w:p>
        </w:tc>
      </w:tr>
      <w:tr>
        <w:trPr/>
        <w:tc>
          <w:tcPr>
            <w:tcW w:w="43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608"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2026</w:t>
            </w:r>
          </w:p>
        </w:tc>
        <w:tc>
          <w:tcPr>
            <w:tcW w:w="129" w:type="dxa"/>
            <w:tcBorders/>
            <w:vAlign w:val="center"/>
          </w:tcPr>
          <w:p>
            <w:pPr>
              <w:pStyle w:val="TableContents"/>
              <w:bidi w:val="0"/>
              <w:spacing w:before="1" w:after="1"/>
              <w:ind w:left="0" w:right="0" w:hanging="0"/>
              <w:jc w:val="center"/>
              <w:rPr/>
            </w:pPr>
            <w:r>
              <w:rPr/>
              <w:t>​</w:t>
            </w:r>
          </w:p>
        </w:tc>
        <w:tc>
          <w:tcPr>
            <w:tcW w:w="62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2025</w:t>
            </w:r>
          </w:p>
        </w:tc>
        <w:tc>
          <w:tcPr>
            <w:tcW w:w="154" w:type="dxa"/>
            <w:tcBorders/>
            <w:vAlign w:val="center"/>
          </w:tcPr>
          <w:p>
            <w:pPr>
              <w:pStyle w:val="TableContents"/>
              <w:bidi w:val="0"/>
              <w:spacing w:before="1" w:after="1"/>
              <w:ind w:left="0" w:right="0" w:hanging="0"/>
              <w:jc w:val="center"/>
              <w:rPr/>
            </w:pPr>
            <w:r>
              <w:rPr/>
              <w:t>​</w:t>
            </w:r>
          </w:p>
        </w:tc>
      </w:tr>
      <w:tr>
        <w:trPr/>
        <w:tc>
          <w:tcPr>
            <w:tcW w:w="43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Contractual interest</w:t>
            </w:r>
          </w:p>
        </w:tc>
        <w:tc>
          <w:tcPr>
            <w:tcW w:w="109" w:type="dxa"/>
            <w:tcBorders/>
            <w:shd w:fill="CEDBE0" w:val="clear"/>
            <w:vAlign w:val="center"/>
          </w:tcPr>
          <w:p>
            <w:pPr>
              <w:pStyle w:val="TableContents"/>
              <w:bidi w:val="0"/>
              <w:spacing w:before="1" w:after="1"/>
              <w:ind w:left="0" w:right="0" w:hanging="0"/>
              <w:jc w:val="left"/>
              <w:rPr/>
            </w:pPr>
            <w:r>
              <w:rPr/>
              <w:t>​</w:t>
            </w:r>
          </w:p>
        </w:tc>
        <w:tc>
          <w:tcPr>
            <w:tcW w:w="215"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9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w:t>
            </w:r>
          </w:p>
        </w:tc>
        <w:tc>
          <w:tcPr>
            <w:tcW w:w="129" w:type="dxa"/>
            <w:tcBorders/>
            <w:shd w:fill="CEDBE0" w:val="clear"/>
            <w:vAlign w:val="center"/>
          </w:tcPr>
          <w:p>
            <w:pPr>
              <w:pStyle w:val="TableContents"/>
              <w:bidi w:val="0"/>
              <w:spacing w:before="1" w:after="1"/>
              <w:ind w:left="0" w:right="0" w:hanging="0"/>
              <w:jc w:val="left"/>
              <w:rPr/>
            </w:pPr>
            <w:r>
              <w:rPr/>
              <w:t>​</w:t>
            </w:r>
          </w:p>
        </w:tc>
        <w:tc>
          <w:tcPr>
            <w:tcW w:w="215"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1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438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Amortization</w:t>
            </w:r>
          </w:p>
        </w:tc>
        <w:tc>
          <w:tcPr>
            <w:tcW w:w="109" w:type="dxa"/>
            <w:tcBorders/>
            <w:vAlign w:val="center"/>
          </w:tcPr>
          <w:p>
            <w:pPr>
              <w:pStyle w:val="TableContents"/>
              <w:bidi w:val="0"/>
              <w:spacing w:before="1" w:after="1"/>
              <w:ind w:left="0" w:right="0" w:hanging="0"/>
              <w:jc w:val="left"/>
              <w:rPr/>
            </w:pPr>
            <w:r>
              <w:rPr/>
              <w:t>​</w:t>
            </w:r>
          </w:p>
        </w:tc>
        <w:tc>
          <w:tcPr>
            <w:tcW w:w="215" w:type="dxa"/>
            <w:tcBorders/>
            <w:vAlign w:val="center"/>
          </w:tcPr>
          <w:p>
            <w:pPr>
              <w:pStyle w:val="TableContents"/>
              <w:bidi w:val="0"/>
              <w:spacing w:before="1" w:after="1"/>
              <w:ind w:left="0" w:right="0" w:hanging="0"/>
              <w:jc w:val="left"/>
              <w:rPr/>
            </w:pPr>
            <w:r>
              <w:rPr/>
              <w:t>​</w:t>
            </w:r>
          </w:p>
        </w:tc>
        <w:tc>
          <w:tcPr>
            <w:tcW w:w="393"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w:t>
            </w:r>
          </w:p>
        </w:tc>
        <w:tc>
          <w:tcPr>
            <w:tcW w:w="129" w:type="dxa"/>
            <w:tcBorders/>
            <w:vAlign w:val="center"/>
          </w:tcPr>
          <w:p>
            <w:pPr>
              <w:pStyle w:val="TableContents"/>
              <w:bidi w:val="0"/>
              <w:spacing w:before="1" w:after="1"/>
              <w:ind w:left="0" w:right="0" w:hanging="0"/>
              <w:jc w:val="left"/>
              <w:rPr/>
            </w:pPr>
            <w:r>
              <w:rPr/>
              <w:t>​</w:t>
            </w:r>
          </w:p>
        </w:tc>
        <w:tc>
          <w:tcPr>
            <w:tcW w:w="215" w:type="dxa"/>
            <w:tcBorders/>
            <w:vAlign w:val="center"/>
          </w:tcPr>
          <w:p>
            <w:pPr>
              <w:pStyle w:val="TableContents"/>
              <w:bidi w:val="0"/>
              <w:spacing w:before="1" w:after="1"/>
              <w:ind w:left="0" w:right="0" w:hanging="0"/>
              <w:jc w:val="left"/>
              <w:rPr/>
            </w:pPr>
            <w:r>
              <w:rPr/>
              <w:t>​</w:t>
            </w:r>
          </w:p>
        </w:tc>
        <w:tc>
          <w:tcPr>
            <w:tcW w:w="41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w:t>
            </w:r>
          </w:p>
        </w:tc>
        <w:tc>
          <w:tcPr>
            <w:tcW w:w="154" w:type="dxa"/>
            <w:tcBorders/>
            <w:vAlign w:val="center"/>
          </w:tcPr>
          <w:p>
            <w:pPr>
              <w:pStyle w:val="TableContents"/>
              <w:bidi w:val="0"/>
              <w:spacing w:before="1" w:after="1"/>
              <w:ind w:left="0" w:right="0" w:hanging="0"/>
              <w:jc w:val="left"/>
              <w:rPr/>
            </w:pPr>
            <w:r>
              <w:rPr/>
              <w:t>​</w:t>
            </w:r>
          </w:p>
        </w:tc>
      </w:tr>
      <w:tr>
        <w:trPr/>
        <w:tc>
          <w:tcPr>
            <w:tcW w:w="43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(Gain) loss on adjustment to bifurcated compound exchange feature</w:t>
            </w:r>
          </w:p>
        </w:tc>
        <w:tc>
          <w:tcPr>
            <w:tcW w:w="109" w:type="dxa"/>
            <w:tcBorders/>
            <w:shd w:fill="CEDBE0" w:val="clear"/>
            <w:vAlign w:val="center"/>
          </w:tcPr>
          <w:p>
            <w:pPr>
              <w:pStyle w:val="TableContents"/>
              <w:bidi w:val="0"/>
              <w:spacing w:before="1" w:after="1"/>
              <w:ind w:left="0" w:right="0" w:hanging="0"/>
              <w:jc w:val="left"/>
              <w:rPr/>
            </w:pPr>
            <w:r>
              <w:rPr/>
              <w:t>​</w:t>
            </w:r>
          </w:p>
        </w:tc>
        <w:tc>
          <w:tcPr>
            <w:tcW w:w="215"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393"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153</w:t>
            </w:r>
          </w:p>
        </w:tc>
        <w:tc>
          <w:tcPr>
            <w:tcW w:w="129" w:type="dxa"/>
            <w:tcBorders/>
            <w:shd w:fill="CEDBE0" w:val="clear"/>
            <w:vAlign w:val="center"/>
          </w:tcPr>
          <w:p>
            <w:pPr>
              <w:pStyle w:val="TableContents"/>
              <w:bidi w:val="0"/>
              <w:spacing w:before="1" w:after="1"/>
              <w:ind w:left="0" w:right="0" w:hanging="0"/>
              <w:jc w:val="left"/>
              <w:rPr/>
            </w:pPr>
            <w:r>
              <w:rPr/>
              <w:t>​</w:t>
            </w:r>
          </w:p>
        </w:tc>
        <w:tc>
          <w:tcPr>
            <w:tcW w:w="215"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1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(36)</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438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w:t>
            </w:r>
          </w:p>
        </w:tc>
        <w:tc>
          <w:tcPr>
            <w:tcW w:w="109" w:type="dxa"/>
            <w:tcBorders/>
            <w:vAlign w:val="center"/>
          </w:tcPr>
          <w:p>
            <w:pPr>
              <w:pStyle w:val="TableContents"/>
              <w:bidi w:val="0"/>
              <w:spacing w:before="1" w:after="1"/>
              <w:ind w:left="0" w:right="0" w:hanging="0"/>
              <w:jc w:val="left"/>
              <w:rPr/>
            </w:pPr>
            <w:r>
              <w:rPr/>
              <w:t>​</w:t>
            </w:r>
          </w:p>
        </w:tc>
        <w:tc>
          <w:tcPr>
            <w:tcW w:w="215"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93"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161</w:t>
            </w:r>
          </w:p>
        </w:tc>
        <w:tc>
          <w:tcPr>
            <w:tcW w:w="129" w:type="dxa"/>
            <w:tcBorders/>
            <w:vAlign w:val="center"/>
          </w:tcPr>
          <w:p>
            <w:pPr>
              <w:pStyle w:val="TableContents"/>
              <w:bidi w:val="0"/>
              <w:spacing w:before="1" w:after="1"/>
              <w:ind w:left="0" w:right="0" w:hanging="0"/>
              <w:jc w:val="left"/>
              <w:rPr/>
            </w:pPr>
            <w:r>
              <w:rPr/>
              <w:t>​</w:t>
            </w:r>
          </w:p>
        </w:tc>
        <w:tc>
          <w:tcPr>
            <w:tcW w:w="215"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11"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(25)</w:t>
            </w:r>
          </w:p>
        </w:tc>
        <w:tc>
          <w:tcPr>
            <w:tcW w:w="154"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80" w:after="120"/>
        <w:ind w:left="0" w:right="0" w:firstLine="720"/>
        <w:jc w:val="both"/>
        <w:rPr>
          <w:rFonts w:ascii="Arial Narrow" w:hAnsi="Arial Narrow"/>
          <w:sz w:val="20"/>
        </w:rPr>
      </w:pPr>
      <w:r>
        <w:rPr>
          <w:rFonts w:ascii="Arial Narrow" w:hAnsi="Arial Narrow"/>
          <w:sz w:val="20"/>
        </w:rPr>
        <w:t>Effective March 30, 2026, we may redeem for cash all or a portion of the 4.625% senior guaranteed exchangeable bonds due September 2029 (the “4.625% Exchangeable Bonds”) at a price equivalent to the aggregate principal amount to be redeemed if the closing price of our shares has been greater than 115 percent of the exchange price for a period of at least 20 trading days.  If we give notice of our election to exercise the right to redeem, the indenture governing the 4.625% Exchangeable Bonds contains a compound exchange feature that, in addition to the exchange terms presented below, requires us to pay a make-whole premium of future interest through March 30, 2028 to any holders that exercise their right to exchange during the redemption notice period.  Such compound exchange feature must be bifurcated from the host debt instrument since it is not considered indexed to our stock.  Accordingly, we recognize changes to the liability for the estimated fair value of the bifurcated compound exchange feature with a corresponding adjustment to interest expense.  At March 31, 2026 and December 31, 2025, the carrying amount of the bifurcated compound exchange feature, recorded as a component of the carrying amount of debt, was $279 million and $126 million, respectively.</w:t>
      </w:r>
    </w:p>
    <w:p>
      <w:pPr>
        <w:pStyle w:val="TextBody"/>
        <w:bidi w:val="0"/>
        <w:spacing w:before="60" w:after="120"/>
        <w:ind w:left="0" w:right="0" w:firstLine="720"/>
        <w:jc w:val="both"/>
        <w:rPr>
          <w:rFonts w:ascii="Arial Narrow" w:hAnsi="Arial Narrow"/>
          <w:sz w:val="20"/>
        </w:rPr>
      </w:pPr>
      <w:r>
        <w:rPr>
          <w:rFonts w:ascii="Arial Narrow" w:hAnsi="Arial Narrow"/>
          <w:b/>
          <w:sz w:val="20"/>
        </w:rPr>
        <w:t>Effective interest rate and fair value</w:t>
      </w:r>
      <w:r>
        <w:rPr>
          <w:rFonts w:ascii="Arial Narrow" w:hAnsi="Arial Narrow"/>
          <w:sz w:val="20"/>
        </w:rPr>
        <w:t>—At March 31, 2026, the 4.625% Exchangeable Bonds had an effective interest rate of 18.3% and an estimated fair value of $522 million.  We estimated the fair value of the exchangeable debt instrument, including the exchange feature, by employing a binomial lattice model using significant other observable inputs, representative of Level 2 fair value measurements, including the terms and credit spreads of our debt and the expected volatility of the market price for our shares.</w:t>
      </w:r>
    </w:p>
    <w:p>
      <w:pPr>
        <w:pStyle w:val="TextBody"/>
        <w:bidi w:val="0"/>
        <w:spacing w:before="60" w:after="120"/>
        <w:ind w:left="0" w:right="0" w:firstLine="720"/>
        <w:jc w:val="both"/>
        <w:rPr>
          <w:rFonts w:ascii="Arial Narrow" w:hAnsi="Arial Narrow"/>
          <w:sz w:val="20"/>
        </w:rPr>
      </w:pPr>
      <w:r>
        <w:rPr>
          <w:rFonts w:ascii="Arial Narrow" w:hAnsi="Arial Narrow"/>
          <w:b/>
          <w:sz w:val="20"/>
        </w:rPr>
        <w:t>Exchange terms</w:t>
      </w:r>
      <w:r>
        <w:rPr>
          <w:rFonts w:ascii="Arial Narrow" w:hAnsi="Arial Narrow"/>
          <w:sz w:val="20"/>
        </w:rPr>
        <w:t>—At March 31, 2026, the 4.625% Exchangeable Bonds had the following exchange terms: (a) an exchange rate of 290.6618 Transocean Ltd. shares per $1,000 note, (b) an implied exchange price of $3.44 per Transocean Ltd. share and (c) an aggregate of 75.3 million shares issuable upon exchange of our exchangeable bonds.  The exchange rate is subject to adjustment upon the occurrence of certain events.  The 4.625% Exchangeable Bonds may be exchanged by holders at any time prior to the close of business on the second business day immediately preceding the maturity date or redemption date and, at our election, such exchange may be settled by delivering cash, Transocean Ltd. shares or a combination of cash and shares.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Redemption and retirement</w:t>
      </w:r>
    </w:p>
    <w:p>
      <w:pPr>
        <w:pStyle w:val="TextBody"/>
        <w:bidi w:val="0"/>
        <w:spacing w:before="60" w:after="120"/>
        <w:ind w:left="0" w:right="0" w:firstLine="720"/>
        <w:jc w:val="both"/>
        <w:rPr>
          <w:rFonts w:ascii="Arial Narrow" w:hAnsi="Arial Narrow"/>
          <w:sz w:val="20"/>
        </w:rPr>
      </w:pPr>
      <w:r>
        <w:rPr>
          <w:rFonts w:ascii="Arial Narrow" w:hAnsi="Arial Narrow"/>
          <w:sz w:val="20"/>
        </w:rPr>
        <w:t>In March 2026, after making the scheduled installment of $67 million to repay an equivalent aggregate principal amount of the 8.375% senior secured notes due February 2028, we made a cash payment of $365 million, including an early redemption premium, to retire the outstanding $358 million aggregate principal amount of the notes.  In the three months ended March 31, 2026, as a result of the early redemption, we recognized a loss of $11 million associated with the retirement of debt.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591" w:name="FNIncomeTaxes"/>
      <w:bookmarkEnd w:id="591"/>
      <w:r>
        <w:rPr>
          <w:rFonts w:ascii="Arial Narrow" w:hAnsi="Arial Narrow"/>
          <w:b/>
          <w:caps/>
          <w:color w:val="00556F"/>
          <w:sz w:val="22"/>
        </w:rPr>
        <w:t>Note 7—Income Taxes</w:t>
      </w:r>
    </w:p>
    <w:p>
      <w:pPr>
        <w:pStyle w:val="TextBody"/>
        <w:bidi w:val="0"/>
        <w:spacing w:before="60" w:after="120"/>
        <w:ind w:left="0" w:right="0" w:firstLine="720"/>
        <w:jc w:val="both"/>
        <w:rPr>
          <w:rFonts w:ascii="Arial Narrow" w:hAnsi="Arial Narrow"/>
          <w:sz w:val="20"/>
        </w:rPr>
      </w:pPr>
      <w:r>
        <w:rPr>
          <w:rFonts w:ascii="Arial Narrow" w:hAnsi="Arial Narrow"/>
          <w:b/>
          <w:sz w:val="20"/>
        </w:rPr>
        <w:t>Tax provision and rate</w:t>
      </w:r>
      <w:r>
        <w:rPr>
          <w:rFonts w:ascii="Arial Narrow" w:hAnsi="Arial Narrow"/>
          <w:sz w:val="20"/>
        </w:rPr>
        <w:t>—In the three months ended March 31, 2026 and 2025, our effective tax rate was (335.3) percent and (95.8) percent, respectively, based on income or loss before income taxes.  In the three months ended March 31, 2026 and 2025, the effect of various discrete period tax items was a net tax benefit of $113 million and a net tax expense of $14 million, respectively.  In the three months ended March 31, 2026, such discrete items included changes to operating structures, various uncertain tax positions and valuation allowances.  In the three months ended March 31, 2025, such discrete items included changes to various uncertain tax positions and valuation allowances.  In the three months ended March 31, 2026 and 2025, our effective tax rate, excluding discrete items, was 192.0 percent and (62.3) percent, respectively, based on income or loss before income taxes.</w:t>
      </w:r>
    </w:p>
    <w:p>
      <w:pPr>
        <w:pStyle w:val="TextBody"/>
        <w:bidi w:val="0"/>
        <w:spacing w:before="60" w:after="120"/>
        <w:ind w:left="0" w:right="0" w:firstLine="720"/>
        <w:jc w:val="both"/>
        <w:rPr>
          <w:rFonts w:ascii="Arial Narrow" w:hAnsi="Arial Narrow"/>
          <w:sz w:val="20"/>
        </w:rPr>
      </w:pPr>
      <w:r>
        <w:rPr>
          <w:rFonts w:ascii="Arial Narrow" w:hAnsi="Arial Narrow"/>
          <w:b/>
          <w:sz w:val="20"/>
        </w:rPr>
        <w:t>Tax positions and returns</w:t>
      </w:r>
      <w:r>
        <w:rPr>
          <w:rFonts w:ascii="Arial Narrow" w:hAnsi="Arial Narrow"/>
          <w:sz w:val="20"/>
        </w:rPr>
        <w:t>—We conduct operations through our various subsidiaries in countries throughout the world.  Each country has its own tax regimes with varying nominal rates, deductions and tax attributes that are subject to changes resulting from new legislation, interpretation or guidance.  From time to time, as a result of these changes, we may revise previously evaluated tax positions, which could cause us to adjust our recorded tax assets and liabilities.  Tax authorities in certain jurisdictions are examining our tax returns and, in some cases, have issued assessments.  We intend to defend our tax positions vigorously.  Although we can provide no assurance as to the outcome of the aforementioned changes, examinations or assessments, we do not expect the ultimate liability to have a material adverse effect on our condensed consolidated statement of financial position or results of operations; however, it could have a material adverse effect on our condensed consolidated statement of cash flows.</w:t>
      </w:r>
    </w:p>
    <w:p>
      <w:pPr>
        <w:pStyle w:val="TextBody"/>
        <w:bidi w:val="0"/>
        <w:spacing w:before="60" w:after="0"/>
        <w:ind w:left="0" w:right="0" w:firstLine="720"/>
        <w:jc w:val="both"/>
        <w:rPr>
          <w:rFonts w:ascii="Arial Narrow" w:hAnsi="Arial Narrow"/>
          <w:sz w:val="20"/>
        </w:rPr>
      </w:pPr>
      <w:r>
        <w:rPr>
          <w:rFonts w:ascii="Arial Narrow" w:hAnsi="Arial Narrow"/>
          <w:i/>
          <w:sz w:val="20"/>
        </w:rPr>
        <w:t>Brazil tax investigations</w:t>
      </w:r>
      <w:r>
        <w:rPr>
          <w:rFonts w:ascii="Arial Narrow" w:hAnsi="Arial Narrow"/>
          <w:sz w:val="20"/>
        </w:rPr>
        <w:t xml:space="preserve">—In December 2005, the Brazilian tax authorities began issuing tax assessments with respect to our tax returns for the years 2000 through 2004.  In May 2014, the Brazilian tax authorities issued an additional tax assessment for the years 2009 and 2010.  We filed protests with the Brazilian tax authorities for the assessments and are engaged in the appeals process, and a portion of </w:t>
      </w:r>
    </w:p>
    <w:p>
      <w:pPr>
        <w:pStyle w:val="TextBody"/>
        <w:bidi w:val="0"/>
        <w:spacing w:before="0" w:after="0"/>
        <w:ind w:left="0" w:right="0" w:hanging="0"/>
        <w:jc w:val="center"/>
        <w:rPr>
          <w:rFonts w:ascii="Arial Narrow" w:hAnsi="Arial Narrow"/>
          <w:sz w:val="20"/>
        </w:rPr>
      </w:pPr>
      <w:r>
        <w:rPr>
          <w:rFonts w:ascii="Arial Narrow" w:hAnsi="Arial Narrow"/>
          <w:sz w:val="20"/>
        </w:rPr>
        <w:t>- 9 -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120"/>
        <w:ind w:left="0" w:right="0" w:hanging="0"/>
        <w:jc w:val="both"/>
        <w:rPr>
          <w:rFonts w:ascii="Arial Narrow" w:hAnsi="Arial Narrow"/>
          <w:sz w:val="20"/>
        </w:rPr>
      </w:pPr>
      <w:r>
        <w:rPr>
          <w:rFonts w:ascii="Arial Narrow" w:hAnsi="Arial Narrow"/>
          <w:sz w:val="20"/>
        </w:rPr>
        <w:t>two cases were favorably closed.  As of March 31, 2026, the remaining aggregate tax assessment, including interest and penalties, was for corporate income tax of BRL 528 million, equivalent to $102 million, and indirect tax of BRL 97 million, equivalent to $19 million.  We believe our returns are materially correct as filed, and we are vigorously contesting these assessments.  An unfavorable outcome on these proposed assessments could have a material adverse effect on our condensed consolidated statement of financial position, results of operations or cash flows.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592" w:name="Tc_2S02Nj4p3Eudk_glFu2PHg_6_12"/>
      <w:bookmarkStart w:id="593" w:name="Tc_zTCf9Nv6pEav81yMtTV6xw_6_9"/>
      <w:bookmarkStart w:id="594" w:name="Tc_Ich6cl7O9kqbD_YNDz243Q_6_0"/>
      <w:bookmarkStart w:id="595" w:name="Tc_nU2juyqFS0Kdt2sxo5qIFQ_5_0"/>
      <w:bookmarkStart w:id="596" w:name="Tc_1wJEZxFoHk635zyUDPLULA_4_0"/>
      <w:bookmarkStart w:id="597" w:name="Tc_gsrUHLNFhUm1hpf2CtYdeg_3_11"/>
      <w:bookmarkStart w:id="598" w:name="Tc_W8Udat3lmEqKAEjy8viFgw_3_8"/>
      <w:bookmarkStart w:id="599" w:name="Tc_anbm7nJuCU2EAxoRnT506w_2_8"/>
      <w:bookmarkStart w:id="600" w:name="Tc_hIgHlgnLMkWY_bjej7vDqA_1_8"/>
      <w:bookmarkStart w:id="601" w:name="_177b2ef8_d046_4da6_ad25_63d3b4a46d95"/>
      <w:bookmarkStart w:id="602" w:name="Tc_vAytIw88JUGeIgGRS7nJww_17_11"/>
      <w:bookmarkStart w:id="603" w:name="Tc_--I1aRU0jUuGlssCFRcXYg_17_8"/>
      <w:bookmarkStart w:id="604" w:name="Tc_TpeKjiTQtkW_d1OILtDKJQ_17_5"/>
      <w:bookmarkStart w:id="605" w:name="Tc_E-Zs78ZFk0O_Ueye8s28Bg_17_2"/>
      <w:bookmarkStart w:id="606" w:name="Tc_h-BAMdoJ-ka8tAC0uHCv1A_17_0"/>
      <w:bookmarkStart w:id="607" w:name="Tc_xVaX4Q4ry0GAqc8Z0iJxxw_14_0"/>
      <w:bookmarkStart w:id="608" w:name="Tc_TphWdVrkjUGWYNVErPK-gQ_13_12"/>
      <w:bookmarkStart w:id="609" w:name="Tc__lciyDuLn06iVf_cyb1S-A_13_9"/>
      <w:bookmarkStart w:id="610" w:name="Tc_X7X8EN_lnk2UoGi6NYoDMg_13_3"/>
      <w:bookmarkStart w:id="611" w:name="Tc_TwrZRVBT-EO0dw5tOkzB5A_13_0"/>
      <w:bookmarkStart w:id="612" w:name="Tc_9r2JfIv60Uy2Slszv5cKUg_12_12"/>
      <w:bookmarkStart w:id="613" w:name="Tc_qQT_vBNsGkuBXmoHcSKuAw_12_9"/>
      <w:bookmarkStart w:id="614" w:name="Tc_mF6O-5NUoUGkf14ghuGKJQ_12_3"/>
      <w:bookmarkStart w:id="615" w:name="Tc_RMlzLIcCREWfc9IJHeo27g_12_0"/>
      <w:bookmarkStart w:id="616" w:name="Tc_wQnIJ4AdFESZeBOrvG8Tsg_11_9"/>
      <w:bookmarkStart w:id="617" w:name="Tc_yedYe-A_yEOUx3jLobaQeQ_11_6"/>
      <w:bookmarkStart w:id="618" w:name="Tc_i-RRl7qD0U6F9JnksgTalA_11_3"/>
      <w:bookmarkStart w:id="619" w:name="Tc_cNpZKCGWFkS4gC8TH5gXLw_11_0"/>
      <w:bookmarkStart w:id="620" w:name="Tc_T_e5ar4AmEOelT23EYsEmQ_10_0"/>
      <w:bookmarkStart w:id="621" w:name="Tc_-rYfVqb2PECfX2qnCoj2Lg_9_0"/>
      <w:bookmarkStart w:id="622" w:name="Tc_JS4y8zaHlEuEpKX6kGM0gw_7_11"/>
      <w:bookmarkStart w:id="623" w:name="Tc_VP-pV1V2-0ObDpW6d96Znw_7_8"/>
      <w:bookmarkStart w:id="624" w:name="Tc_nd0ujVvaXUGyYPXiA7ZPGg_7_5"/>
      <w:bookmarkStart w:id="625" w:name="Tc_rLf_xwew9UeA4IL9Fog0SQ_7_2"/>
      <w:bookmarkStart w:id="626" w:name="Tc_mBhWpdQKH0WdUYeTyffoFQ_7_0"/>
      <w:bookmarkStart w:id="627" w:name="Tc_Kgvlje-W806hNnqHpS5MAQ_6_9"/>
      <w:bookmarkStart w:id="628" w:name="Tc_MAI04H61JkKghCQxT0Jdyw_6_6"/>
      <w:bookmarkStart w:id="629" w:name="Tc_jNk2HFzTCEmrMHZ9GdfcLw_6_3"/>
      <w:bookmarkStart w:id="630" w:name="Tc_tAj69Z-W502WZ9Te_xqKyw_6_0"/>
      <w:bookmarkStart w:id="631" w:name="Tc_qh2LawwDWkSDhmyZYZ-UFQ_5_11"/>
      <w:bookmarkStart w:id="632" w:name="Tc_JX8Mng0DkE2gzGVUBf7GgQ_5_8"/>
      <w:bookmarkStart w:id="633" w:name="Tc_p7WdVLGlDUSjpnnuWKcEmg_5_5"/>
      <w:bookmarkStart w:id="634" w:name="Tc_PQEX90bqd0qxE3T9-kkJEg_5_2"/>
      <w:bookmarkStart w:id="635" w:name="Tc_QEsXla0KkUikDOVc5fmeFA_5_0"/>
      <w:bookmarkStart w:id="636" w:name="Tc_1DYZuIw9H0e0Nx0gHS5tkg_4_0"/>
      <w:bookmarkStart w:id="637" w:name="Tc_UjU8sPfTqU2r5cbUNGvVxQ_3_11"/>
      <w:bookmarkStart w:id="638" w:name="Tc_rHZqE6wDP0qH_qWITTUkoQ_3_8"/>
      <w:bookmarkStart w:id="639" w:name="Tc_g5dWZcv1W0inWYr7dMlYCQ_3_5"/>
      <w:bookmarkStart w:id="640" w:name="Tc_K-Mplf-vi0u2vl33PLMq2w_3_2"/>
      <w:bookmarkStart w:id="641" w:name="Tc_k0A0Ev0qMkWxFmbS9GHRHw_2_8"/>
      <w:bookmarkStart w:id="642" w:name="Tc_K92o5Jml10uD5DZaYrEqAg_2_2"/>
      <w:bookmarkStart w:id="643" w:name="Tc_CCjUVNQo3UyeopTM9U6EEA_1_2"/>
      <w:bookmarkStart w:id="644" w:name="_bae94f0d_e0d3_4b03_a146_bc7f273968cb"/>
      <w:bookmarkStart w:id="645" w:name="FN_EarningsLossPerShare"/>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Fonts w:ascii="Arial Narrow" w:hAnsi="Arial Narrow"/>
          <w:b/>
          <w:caps/>
          <w:color w:val="00556F"/>
          <w:sz w:val="22"/>
        </w:rPr>
        <w:t>Note 8—Earnings (Loss) Per Share</w:t>
      </w:r>
    </w:p>
    <w:p>
      <w:pPr>
        <w:pStyle w:val="TextBody"/>
        <w:bidi w:val="0"/>
        <w:spacing w:before="60" w:after="60"/>
        <w:ind w:left="0" w:right="0" w:firstLine="720"/>
        <w:jc w:val="both"/>
        <w:rPr>
          <w:rFonts w:ascii="Arial Narrow" w:hAnsi="Arial Narrow"/>
          <w:sz w:val="20"/>
        </w:rPr>
      </w:pPr>
      <w:r>
        <w:rPr>
          <w:rFonts w:ascii="Arial Narrow" w:hAnsi="Arial Narrow"/>
          <w:sz w:val="20"/>
        </w:rPr>
        <w:t>The computations of basic and diluted earnings or loss per share were as follows (in millions, except per share data):</w:t>
      </w:r>
    </w:p>
    <w:tbl>
      <w:tblPr>
        <w:tblW w:w="6638" w:type="dxa"/>
        <w:jc w:val="left"/>
        <w:tblInd w:w="0" w:type="dxa"/>
        <w:tblLayout w:type="fixed"/>
        <w:tblCellMar>
          <w:top w:w="0" w:type="dxa"/>
          <w:left w:w="0" w:type="dxa"/>
          <w:bottom w:w="0" w:type="dxa"/>
          <w:right w:w="0" w:type="dxa"/>
        </w:tblCellMar>
      </w:tblPr>
      <w:tblGrid>
        <w:gridCol w:w="3256"/>
        <w:gridCol w:w="226"/>
        <w:gridCol w:w="181"/>
        <w:gridCol w:w="451"/>
        <w:gridCol w:w="109"/>
        <w:gridCol w:w="181"/>
        <w:gridCol w:w="451"/>
        <w:gridCol w:w="109"/>
        <w:gridCol w:w="181"/>
        <w:gridCol w:w="466"/>
        <w:gridCol w:w="109"/>
        <w:gridCol w:w="181"/>
        <w:gridCol w:w="466"/>
        <w:gridCol w:w="27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67560" cy="175895"/>
                      <wp:effectExtent l="0" t="0" r="0" b="0"/>
                      <wp:wrapNone/>
                      <wp:docPr id="106" name="Frame105"/>
                      <a:graphic xmlns:a="http://schemas.openxmlformats.org/drawingml/2006/main">
                        <a:graphicData uri="http://schemas.microsoft.com/office/word/2010/wordprocessingShape">
                          <wps:wsp>
                            <wps:cNvSpPr txBox="1"/>
                            <wps:spPr>
                              <a:xfrm>
                                <a:off x="0" y="0"/>
                                <a:ext cx="2067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3510" cy="175895"/>
                      <wp:effectExtent l="0" t="0" r="0" b="0"/>
                      <wp:wrapNone/>
                      <wp:docPr id="107" name="Frame106"/>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14935" cy="175895"/>
                      <wp:effectExtent l="0" t="0" r="0" b="0"/>
                      <wp:wrapNone/>
                      <wp:docPr id="108" name="Frame107"/>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86385" cy="175895"/>
                      <wp:effectExtent l="0" t="0" r="0" b="0"/>
                      <wp:wrapNone/>
                      <wp:docPr id="109" name="Frame108"/>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895"/>
                      <wp:effectExtent l="0" t="0" r="0" b="0"/>
                      <wp:wrapNone/>
                      <wp:docPr id="110" name="Frame10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14935" cy="175895"/>
                      <wp:effectExtent l="0" t="0" r="0" b="0"/>
                      <wp:wrapNone/>
                      <wp:docPr id="111" name="Frame110"/>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86385" cy="175895"/>
                      <wp:effectExtent l="0" t="0" r="0" b="0"/>
                      <wp:wrapNone/>
                      <wp:docPr id="112" name="Frame111"/>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895"/>
                      <wp:effectExtent l="0" t="0" r="0" b="0"/>
                      <wp:wrapNone/>
                      <wp:docPr id="113" name="Frame11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14935" cy="175895"/>
                      <wp:effectExtent l="0" t="0" r="0" b="0"/>
                      <wp:wrapNone/>
                      <wp:docPr id="114" name="Frame113"/>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95910" cy="175895"/>
                      <wp:effectExtent l="0" t="0" r="0" b="0"/>
                      <wp:wrapNone/>
                      <wp:docPr id="115" name="Frame114"/>
                      <a:graphic xmlns:a="http://schemas.openxmlformats.org/drawingml/2006/main">
                        <a:graphicData uri="http://schemas.microsoft.com/office/word/2010/wordprocessingShape">
                          <wps:wsp>
                            <wps:cNvSpPr txBox="1"/>
                            <wps:spPr>
                              <a:xfrm>
                                <a:off x="0" y="0"/>
                                <a:ext cx="295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895"/>
                      <wp:effectExtent l="0" t="0" r="0" b="0"/>
                      <wp:wrapNone/>
                      <wp:docPr id="116" name="Frame11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14935" cy="175895"/>
                      <wp:effectExtent l="0" t="0" r="0" b="0"/>
                      <wp:wrapNone/>
                      <wp:docPr id="117" name="Frame116"/>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95910" cy="175895"/>
                      <wp:effectExtent l="0" t="0" r="0" b="0"/>
                      <wp:wrapNone/>
                      <wp:docPr id="118" name="Frame117"/>
                      <a:graphic xmlns:a="http://schemas.openxmlformats.org/drawingml/2006/main">
                        <a:graphicData uri="http://schemas.microsoft.com/office/word/2010/wordprocessingShape">
                          <wps:wsp>
                            <wps:cNvSpPr txBox="1"/>
                            <wps:spPr>
                              <a:xfrm>
                                <a:off x="0" y="0"/>
                                <a:ext cx="295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2085" cy="175895"/>
                      <wp:effectExtent l="0" t="0" r="0" b="0"/>
                      <wp:wrapNone/>
                      <wp:docPr id="119" name="Frame118"/>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center"/>
              <w:rPr/>
            </w:pPr>
            <w:r>
              <w:rPr/>
              <w:t>​</w:t>
            </w:r>
          </w:p>
        </w:tc>
        <w:tc>
          <w:tcPr>
            <w:tcW w:w="2885"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Three months ended March 31, </w:t>
            </w:r>
          </w:p>
        </w:tc>
        <w:tc>
          <w:tcPr>
            <w:tcW w:w="271" w:type="dxa"/>
            <w:tcBorders/>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center"/>
              <w:rPr/>
            </w:pPr>
            <w:r>
              <w:rPr/>
              <w:t>​</w:t>
            </w:r>
          </w:p>
        </w:tc>
        <w:tc>
          <w:tcPr>
            <w:tcW w:w="137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140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271" w:type="dxa"/>
            <w:tcBorders/>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Basic</w:t>
            </w:r>
          </w:p>
        </w:tc>
        <w:tc>
          <w:tcPr>
            <w:tcW w:w="109"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Diluted</w:t>
            </w:r>
          </w:p>
        </w:tc>
        <w:tc>
          <w:tcPr>
            <w:tcW w:w="109" w:type="dxa"/>
            <w:tcBorders/>
            <w:vAlign w:val="center"/>
          </w:tcPr>
          <w:p>
            <w:pPr>
              <w:pStyle w:val="TableContents"/>
              <w:bidi w:val="0"/>
              <w:spacing w:before="1" w:after="1"/>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Basic</w:t>
            </w:r>
          </w:p>
        </w:tc>
        <w:tc>
          <w:tcPr>
            <w:tcW w:w="109" w:type="dxa"/>
            <w:tcBorders/>
            <w:vAlign w:val="center"/>
          </w:tcPr>
          <w:p>
            <w:pPr>
              <w:pStyle w:val="TableContents"/>
              <w:bidi w:val="0"/>
              <w:spacing w:before="1" w:after="1"/>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Diluted</w:t>
            </w:r>
          </w:p>
        </w:tc>
        <w:tc>
          <w:tcPr>
            <w:tcW w:w="271" w:type="dxa"/>
            <w:tcBorders/>
            <w:vAlign w:val="center"/>
          </w:tcPr>
          <w:p>
            <w:pPr>
              <w:pStyle w:val="TableContents"/>
              <w:bidi w:val="0"/>
              <w:spacing w:before="1" w:after="1"/>
              <w:ind w:left="0" w:right="0" w:hanging="0"/>
              <w:jc w:val="center"/>
              <w:rPr/>
            </w:pPr>
            <w:r>
              <w:rPr/>
              <w:t>  ​</w:t>
            </w:r>
          </w:p>
        </w:tc>
      </w:tr>
      <w:tr>
        <w:trPr/>
        <w:tc>
          <w:tcPr>
            <w:tcW w:w="325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Numerator for earnings (loss) per share</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center"/>
              <w:rPr/>
            </w:pPr>
            <w:r>
              <w:rPr/>
              <w:t>​</w:t>
            </w:r>
          </w:p>
        </w:tc>
        <w:tc>
          <w:tcPr>
            <w:tcW w:w="466" w:type="dxa"/>
            <w:tcBorders/>
            <w:vAlign w:val="center"/>
          </w:tcPr>
          <w:p>
            <w:pPr>
              <w:pStyle w:val="TableContents"/>
              <w:bidi w:val="0"/>
              <w:spacing w:before="1" w:after="1"/>
              <w:ind w:left="0" w:right="0" w:hanging="0"/>
              <w:jc w:val="center"/>
              <w:rPr/>
            </w:pPr>
            <w:r>
              <w:rPr/>
              <w:t>​</w:t>
            </w:r>
          </w:p>
        </w:tc>
        <w:tc>
          <w:tcPr>
            <w:tcW w:w="271" w:type="dxa"/>
            <w:tcBorders/>
            <w:vAlign w:val="center"/>
          </w:tcPr>
          <w:p>
            <w:pPr>
              <w:pStyle w:val="TableContents"/>
              <w:bidi w:val="0"/>
              <w:spacing w:before="1" w:after="1"/>
              <w:ind w:left="0" w:right="0" w:hanging="0"/>
              <w:jc w:val="center"/>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Net income (loss)</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(79)</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(79)</w:t>
            </w:r>
          </w:p>
        </w:tc>
        <w:tc>
          <w:tcPr>
            <w:tcW w:w="271" w:type="dxa"/>
            <w:tcBorders/>
            <w:shd w:fill="CEDBE0" w:val="clear"/>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Effect of convertible debt instruments, net of tax</w:t>
            </w:r>
          </w:p>
        </w:tc>
        <w:tc>
          <w:tcPr>
            <w:tcW w:w="22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(29)</w:t>
            </w:r>
          </w:p>
        </w:tc>
        <w:tc>
          <w:tcPr>
            <w:tcW w:w="271" w:type="dxa"/>
            <w:tcBorders/>
            <w:vAlign w:val="center"/>
          </w:tcPr>
          <w:p>
            <w:pPr>
              <w:pStyle w:val="TableContents"/>
              <w:bidi w:val="0"/>
              <w:spacing w:before="1" w:after="1"/>
              <w:ind w:left="0" w:right="0" w:hanging="0"/>
              <w:jc w:val="left"/>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Income (loss) for per share calculation</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(79)</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(108)</w:t>
            </w:r>
          </w:p>
        </w:tc>
        <w:tc>
          <w:tcPr>
            <w:tcW w:w="271" w:type="dxa"/>
            <w:tcBorders/>
            <w:shd w:fill="CEDBE0" w:val="clear"/>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both"/>
              <w:rPr>
                <w:rFonts w:ascii="Arial Narrow" w:hAnsi="Arial Narrow"/>
                <w:b/>
                <w:sz w:val="18"/>
              </w:rPr>
            </w:pPr>
            <w:r>
              <w:rPr>
                <w:rFonts w:ascii="Arial Narrow" w:hAnsi="Arial Narrow"/>
                <w:b/>
                <w:sz w:val="18"/>
              </w:rPr>
              <w:t>Denominator for earnings (loss) per share</w:t>
            </w:r>
          </w:p>
        </w:tc>
        <w:tc>
          <w:tcPr>
            <w:tcW w:w="226"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center"/>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Weighted-average shares outstanding</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1,109</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1,109</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883</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883</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325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Effect of convertible debt instruments</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75</w:t>
            </w:r>
          </w:p>
        </w:tc>
        <w:tc>
          <w:tcPr>
            <w:tcW w:w="271" w:type="dxa"/>
            <w:tcBorders/>
            <w:vAlign w:val="center"/>
          </w:tcPr>
          <w:p>
            <w:pPr>
              <w:pStyle w:val="TableContents"/>
              <w:bidi w:val="0"/>
              <w:spacing w:before="1" w:after="1"/>
              <w:ind w:left="0" w:right="0" w:hanging="0"/>
              <w:jc w:val="right"/>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Effect of share-based awards</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66"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66" w:type="dxa"/>
            <w:tcBorders/>
            <w:shd w:fill="CEDBE0" w:val="clear"/>
            <w:vAlign w:val="center"/>
          </w:tcPr>
          <w:p>
            <w:pPr>
              <w:pStyle w:val="TableContents"/>
              <w:bidi w:val="0"/>
              <w:spacing w:before="1" w:after="1"/>
              <w:ind w:left="0" w:right="0" w:hanging="0"/>
              <w:jc w:val="right"/>
              <w:rPr/>
            </w:pPr>
            <w:r>
              <w:rPr/>
              <w:t>—</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325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Effect of warrants</w:t>
            </w:r>
          </w:p>
        </w:tc>
        <w:tc>
          <w:tcPr>
            <w:tcW w:w="22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Weighted-average shares for per share calculation</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1,109</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1,124</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883</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4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958</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lef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lef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Earnings (loss) per share</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0.06</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0.06</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(0.09)</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(0.11)</w:t>
            </w:r>
          </w:p>
        </w:tc>
        <w:tc>
          <w:tcPr>
            <w:tcW w:w="271" w:type="dxa"/>
            <w:tcBorders/>
            <w:shd w:fill="CEDBE0" w:val="clear"/>
            <w:vAlign w:val="center"/>
          </w:tcPr>
          <w:p>
            <w:pPr>
              <w:pStyle w:val="TableContents"/>
              <w:bidi w:val="0"/>
              <w:spacing w:before="1" w:after="1"/>
              <w:ind w:left="0" w:right="0" w:hanging="0"/>
              <w:jc w:val="right"/>
              <w:rPr/>
            </w:pPr>
            <w:r>
              <w:rPr/>
              <w:t>​</w:t>
            </w:r>
          </w:p>
        </w:tc>
      </w:tr>
    </w:tbl>
    <w:p>
      <w:pPr>
        <w:pStyle w:val="TextBody"/>
        <w:bidi w:val="0"/>
        <w:spacing w:before="60" w:after="120"/>
        <w:ind w:left="0" w:right="0" w:firstLine="720"/>
        <w:jc w:val="both"/>
        <w:rPr/>
      </w:pPr>
      <w:r>
        <w:rPr/>
        <w:t>​</w:t>
      </w:r>
    </w:p>
    <w:p>
      <w:pPr>
        <w:pStyle w:val="TextBody"/>
        <w:bidi w:val="0"/>
        <w:spacing w:before="180" w:after="60"/>
        <w:ind w:left="0" w:right="0" w:firstLine="720"/>
        <w:jc w:val="both"/>
        <w:rPr>
          <w:rFonts w:ascii="Arial Narrow" w:hAnsi="Arial Narrow"/>
          <w:sz w:val="20"/>
        </w:rPr>
      </w:pPr>
      <w:r>
        <w:rPr>
          <w:rFonts w:ascii="Arial Narrow" w:hAnsi="Arial Narrow"/>
          <w:sz w:val="20"/>
        </w:rPr>
        <w:t>We excluded from the computations certain shares issuable as follows because the effect would have been antidilutive (in millions):</w:t>
      </w:r>
    </w:p>
    <w:tbl>
      <w:tblPr>
        <w:tblW w:w="4396" w:type="dxa"/>
        <w:jc w:val="left"/>
        <w:tblInd w:w="0" w:type="dxa"/>
        <w:tblLayout w:type="fixed"/>
        <w:tblCellMar>
          <w:top w:w="0" w:type="dxa"/>
          <w:left w:w="0" w:type="dxa"/>
          <w:bottom w:w="0" w:type="dxa"/>
          <w:right w:w="0" w:type="dxa"/>
        </w:tblCellMar>
      </w:tblPr>
      <w:tblGrid>
        <w:gridCol w:w="1921"/>
        <w:gridCol w:w="109"/>
        <w:gridCol w:w="109"/>
        <w:gridCol w:w="109"/>
        <w:gridCol w:w="109"/>
        <w:gridCol w:w="109"/>
        <w:gridCol w:w="109"/>
        <w:gridCol w:w="109"/>
        <w:gridCol w:w="166"/>
        <w:gridCol w:w="530"/>
        <w:gridCol w:w="166"/>
        <w:gridCol w:w="166"/>
        <w:gridCol w:w="530"/>
        <w:gridCol w:w="154"/>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19835" cy="175895"/>
                      <wp:effectExtent l="0" t="0" r="0" b="0"/>
                      <wp:wrapNone/>
                      <wp:docPr id="120" name="Frame119"/>
                      <a:graphic xmlns:a="http://schemas.openxmlformats.org/drawingml/2006/main">
                        <a:graphicData uri="http://schemas.microsoft.com/office/word/2010/wordprocessingShape">
                          <wps:wsp>
                            <wps:cNvSpPr txBox="1"/>
                            <wps:spPr>
                              <a:xfrm>
                                <a:off x="0" y="0"/>
                                <a:ext cx="1219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895"/>
                      <wp:effectExtent l="0" t="0" r="0" b="0"/>
                      <wp:wrapNone/>
                      <wp:docPr id="121" name="Frame12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895"/>
                      <wp:effectExtent l="0" t="0" r="0" b="0"/>
                      <wp:wrapNone/>
                      <wp:docPr id="122" name="Frame12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895"/>
                      <wp:effectExtent l="0" t="0" r="0" b="0"/>
                      <wp:wrapNone/>
                      <wp:docPr id="123" name="Frame12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895"/>
                      <wp:effectExtent l="0" t="0" r="0" b="0"/>
                      <wp:wrapNone/>
                      <wp:docPr id="124" name="Frame12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895"/>
                      <wp:effectExtent l="0" t="0" r="0" b="0"/>
                      <wp:wrapNone/>
                      <wp:docPr id="125" name="Frame12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895"/>
                      <wp:effectExtent l="0" t="0" r="0" b="0"/>
                      <wp:wrapNone/>
                      <wp:docPr id="126" name="Frame12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895"/>
                      <wp:effectExtent l="0" t="0" r="0" b="0"/>
                      <wp:wrapNone/>
                      <wp:docPr id="127" name="Frame12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05410" cy="175895"/>
                      <wp:effectExtent l="0" t="0" r="0" b="0"/>
                      <wp:wrapNone/>
                      <wp:docPr id="128" name="Frame127"/>
                      <a:graphic xmlns:a="http://schemas.openxmlformats.org/drawingml/2006/main">
                        <a:graphicData uri="http://schemas.microsoft.com/office/word/2010/wordprocessingShape">
                          <wps:wsp>
                            <wps:cNvSpPr txBox="1"/>
                            <wps:spPr>
                              <a:xfrm>
                                <a:off x="0" y="0"/>
                                <a:ext cx="1054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36550" cy="175895"/>
                      <wp:effectExtent l="0" t="0" r="0" b="0"/>
                      <wp:wrapNone/>
                      <wp:docPr id="129" name="Frame128"/>
                      <a:graphic xmlns:a="http://schemas.openxmlformats.org/drawingml/2006/main">
                        <a:graphicData uri="http://schemas.microsoft.com/office/word/2010/wordprocessingShape">
                          <wps:wsp>
                            <wps:cNvSpPr txBox="1"/>
                            <wps:spPr>
                              <a:xfrm>
                                <a:off x="0" y="0"/>
                                <a:ext cx="3365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05410" cy="175895"/>
                      <wp:effectExtent l="0" t="0" r="0" b="0"/>
                      <wp:wrapNone/>
                      <wp:docPr id="130" name="Frame129"/>
                      <a:graphic xmlns:a="http://schemas.openxmlformats.org/drawingml/2006/main">
                        <a:graphicData uri="http://schemas.microsoft.com/office/word/2010/wordprocessingShape">
                          <wps:wsp>
                            <wps:cNvSpPr txBox="1"/>
                            <wps:spPr>
                              <a:xfrm>
                                <a:off x="0" y="0"/>
                                <a:ext cx="1054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05410" cy="175895"/>
                      <wp:effectExtent l="0" t="0" r="0" b="0"/>
                      <wp:wrapNone/>
                      <wp:docPr id="131" name="Frame130"/>
                      <a:graphic xmlns:a="http://schemas.openxmlformats.org/drawingml/2006/main">
                        <a:graphicData uri="http://schemas.microsoft.com/office/word/2010/wordprocessingShape">
                          <wps:wsp>
                            <wps:cNvSpPr txBox="1"/>
                            <wps:spPr>
                              <a:xfrm>
                                <a:off x="0" y="0"/>
                                <a:ext cx="1054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36550" cy="175895"/>
                      <wp:effectExtent l="0" t="0" r="0" b="0"/>
                      <wp:wrapNone/>
                      <wp:docPr id="132" name="Frame131"/>
                      <a:graphic xmlns:a="http://schemas.openxmlformats.org/drawingml/2006/main">
                        <a:graphicData uri="http://schemas.microsoft.com/office/word/2010/wordprocessingShape">
                          <wps:wsp>
                            <wps:cNvSpPr txBox="1"/>
                            <wps:spPr>
                              <a:xfrm>
                                <a:off x="0" y="0"/>
                                <a:ext cx="3365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7790" cy="175895"/>
                      <wp:effectExtent l="0" t="0" r="0" b="0"/>
                      <wp:wrapNone/>
                      <wp:docPr id="133" name="Frame132"/>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545" w:type="dxa"/>
            <w:gridSpan w:val="5"/>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558"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154" w:type="dxa"/>
            <w:tcBorders/>
            <w:vAlign w:val="center"/>
          </w:tcPr>
          <w:p>
            <w:pPr>
              <w:pStyle w:val="TableContents"/>
              <w:bidi w:val="0"/>
              <w:spacing w:before="1" w:after="1"/>
              <w:ind w:left="0" w:right="0" w:hanging="0"/>
              <w:jc w:val="left"/>
              <w:rPr/>
            </w:pPr>
            <w:r>
              <w:rPr/>
              <w:t>​</w:t>
            </w:r>
          </w:p>
        </w:tc>
      </w:tr>
      <w:tr>
        <w:trPr/>
        <w:tc>
          <w:tcPr>
            <w:tcW w:w="19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545" w:type="dxa"/>
            <w:gridSpan w:val="5"/>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55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154" w:type="dxa"/>
            <w:tcBorders/>
            <w:vAlign w:val="center"/>
          </w:tcPr>
          <w:p>
            <w:pPr>
              <w:pStyle w:val="TableContents"/>
              <w:bidi w:val="0"/>
              <w:spacing w:before="1" w:after="1"/>
              <w:ind w:left="0" w:right="0" w:hanging="0"/>
              <w:jc w:val="left"/>
              <w:rPr/>
            </w:pPr>
            <w:r>
              <w:rPr/>
              <w:t>​</w:t>
            </w:r>
          </w:p>
        </w:tc>
      </w:tr>
      <w:tr>
        <w:trPr/>
        <w:tc>
          <w:tcPr>
            <w:tcW w:w="19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218" w:type="dxa"/>
            <w:gridSpan w:val="2"/>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8" w:type="dxa"/>
            <w:gridSpan w:val="2"/>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66" w:type="dxa"/>
            <w:tcBorders/>
            <w:vAlign w:val="center"/>
          </w:tcPr>
          <w:p>
            <w:pPr>
              <w:pStyle w:val="TableContents"/>
              <w:bidi w:val="0"/>
              <w:spacing w:before="1" w:after="1"/>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54" w:type="dxa"/>
            <w:tcBorders/>
            <w:vAlign w:val="center"/>
          </w:tcPr>
          <w:p>
            <w:pPr>
              <w:pStyle w:val="TableContents"/>
              <w:bidi w:val="0"/>
              <w:spacing w:before="1" w:after="1"/>
              <w:ind w:left="0" w:right="0" w:hanging="0"/>
              <w:jc w:val="center"/>
              <w:rPr/>
            </w:pPr>
            <w:r>
              <w:rPr/>
              <w:t>​</w:t>
            </w:r>
          </w:p>
        </w:tc>
      </w:tr>
      <w:tr>
        <w:trPr/>
        <w:tc>
          <w:tcPr>
            <w:tcW w:w="192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Convertible debt instruments</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66" w:type="dxa"/>
            <w:tcBorders/>
            <w:shd w:fill="CEDBE0" w:val="clear"/>
            <w:vAlign w:val="center"/>
          </w:tcPr>
          <w:p>
            <w:pPr>
              <w:pStyle w:val="TableContents"/>
              <w:bidi w:val="0"/>
              <w:spacing w:before="1" w:after="1"/>
              <w:ind w:left="0" w:right="0" w:hanging="0"/>
              <w:jc w:val="left"/>
              <w:rPr/>
            </w:pPr>
            <w:r>
              <w:rPr/>
              <w:t>​</w:t>
            </w:r>
          </w:p>
        </w:tc>
        <w:tc>
          <w:tcPr>
            <w:tcW w:w="53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75</w:t>
            </w:r>
          </w:p>
        </w:tc>
        <w:tc>
          <w:tcPr>
            <w:tcW w:w="166" w:type="dxa"/>
            <w:tcBorders/>
            <w:shd w:fill="CEDBE0" w:val="clear"/>
            <w:vAlign w:val="center"/>
          </w:tcPr>
          <w:p>
            <w:pPr>
              <w:pStyle w:val="TableContents"/>
              <w:bidi w:val="0"/>
              <w:spacing w:before="1" w:after="1"/>
              <w:ind w:left="0" w:right="0" w:hanging="0"/>
              <w:jc w:val="left"/>
              <w:rPr/>
            </w:pPr>
            <w:r>
              <w:rPr/>
              <w:t>​</w:t>
            </w:r>
          </w:p>
        </w:tc>
        <w:tc>
          <w:tcPr>
            <w:tcW w:w="166" w:type="dxa"/>
            <w:tcBorders/>
            <w:shd w:fill="CEDBE0" w:val="clear"/>
            <w:vAlign w:val="center"/>
          </w:tcPr>
          <w:p>
            <w:pPr>
              <w:pStyle w:val="TableContents"/>
              <w:bidi w:val="0"/>
              <w:spacing w:before="1" w:after="1"/>
              <w:ind w:left="0" w:right="0" w:hanging="0"/>
              <w:jc w:val="right"/>
              <w:rPr/>
            </w:pPr>
            <w:r>
              <w:rPr/>
              <w:t>​</w:t>
            </w:r>
          </w:p>
        </w:tc>
        <w:tc>
          <w:tcPr>
            <w:tcW w:w="53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w:t>
            </w:r>
          </w:p>
        </w:tc>
        <w:tc>
          <w:tcPr>
            <w:tcW w:w="154" w:type="dxa"/>
            <w:tcBorders/>
            <w:shd w:fill="CEDBE0" w:val="clear"/>
            <w:vAlign w:val="center"/>
          </w:tcPr>
          <w:p>
            <w:pPr>
              <w:pStyle w:val="TableContents"/>
              <w:bidi w:val="0"/>
              <w:spacing w:before="1" w:after="1"/>
              <w:ind w:left="0" w:right="0" w:hanging="0"/>
              <w:jc w:val="right"/>
              <w:rPr/>
            </w:pPr>
            <w:r>
              <w:rPr/>
              <w:t>​</w:t>
            </w:r>
          </w:p>
        </w:tc>
      </w:tr>
      <w:tr>
        <w:trPr/>
        <w:tc>
          <w:tcPr>
            <w:tcW w:w="192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Share-based awards</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166" w:type="dxa"/>
            <w:tcBorders/>
            <w:vAlign w:val="center"/>
          </w:tcPr>
          <w:p>
            <w:pPr>
              <w:pStyle w:val="TableContents"/>
              <w:bidi w:val="0"/>
              <w:spacing w:before="1" w:after="1"/>
              <w:ind w:left="0" w:right="0" w:hanging="0"/>
              <w:jc w:val="left"/>
              <w:rPr/>
            </w:pPr>
            <w:r>
              <w:rPr/>
              <w:t>​</w:t>
            </w:r>
          </w:p>
        </w:tc>
        <w:tc>
          <w:tcPr>
            <w:tcW w:w="53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w:t>
            </w:r>
          </w:p>
        </w:tc>
        <w:tc>
          <w:tcPr>
            <w:tcW w:w="166" w:type="dxa"/>
            <w:tcBorders/>
            <w:vAlign w:val="center"/>
          </w:tcPr>
          <w:p>
            <w:pPr>
              <w:pStyle w:val="TableContents"/>
              <w:bidi w:val="0"/>
              <w:spacing w:before="1" w:after="1"/>
              <w:ind w:left="0" w:right="0" w:hanging="0"/>
              <w:jc w:val="left"/>
              <w:rPr/>
            </w:pPr>
            <w:r>
              <w:rPr/>
              <w:t>​</w:t>
            </w:r>
          </w:p>
        </w:tc>
        <w:tc>
          <w:tcPr>
            <w:tcW w:w="166" w:type="dxa"/>
            <w:tcBorders/>
            <w:vAlign w:val="center"/>
          </w:tcPr>
          <w:p>
            <w:pPr>
              <w:pStyle w:val="TableContents"/>
              <w:bidi w:val="0"/>
              <w:spacing w:before="1" w:after="1"/>
              <w:ind w:left="0" w:right="0" w:hanging="0"/>
              <w:jc w:val="right"/>
              <w:rPr/>
            </w:pPr>
            <w:r>
              <w:rPr/>
              <w:t>​</w:t>
            </w:r>
          </w:p>
        </w:tc>
        <w:tc>
          <w:tcPr>
            <w:tcW w:w="53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w:t>
            </w:r>
          </w:p>
        </w:tc>
        <w:tc>
          <w:tcPr>
            <w:tcW w:w="154" w:type="dxa"/>
            <w:tcBorders/>
            <w:vAlign w:val="center"/>
          </w:tcPr>
          <w:p>
            <w:pPr>
              <w:pStyle w:val="TableContents"/>
              <w:bidi w:val="0"/>
              <w:spacing w:before="1" w:after="1"/>
              <w:ind w:left="0" w:right="0" w:hanging="0"/>
              <w:jc w:val="right"/>
              <w:rPr/>
            </w:pPr>
            <w:r>
              <w:rPr/>
              <w:t>​</w:t>
            </w:r>
          </w:p>
        </w:tc>
      </w:tr>
      <w:tr>
        <w:trPr/>
        <w:tc>
          <w:tcPr>
            <w:tcW w:w="192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Warrants (a)</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66" w:type="dxa"/>
            <w:tcBorders/>
            <w:shd w:fill="CEDBE0" w:val="clear"/>
            <w:vAlign w:val="center"/>
          </w:tcPr>
          <w:p>
            <w:pPr>
              <w:pStyle w:val="TableContents"/>
              <w:bidi w:val="0"/>
              <w:spacing w:before="1" w:after="1"/>
              <w:ind w:left="0" w:right="0" w:hanging="0"/>
              <w:jc w:val="left"/>
              <w:rPr/>
            </w:pPr>
            <w:r>
              <w:rPr/>
              <w:t>​</w:t>
            </w:r>
          </w:p>
        </w:tc>
        <w:tc>
          <w:tcPr>
            <w:tcW w:w="530" w:type="dxa"/>
            <w:tcBorders/>
            <w:shd w:fill="CEDBE0" w:val="clear"/>
            <w:vAlign w:val="center"/>
          </w:tcPr>
          <w:p>
            <w:pPr>
              <w:pStyle w:val="TableContents"/>
              <w:bidi w:val="0"/>
              <w:spacing w:before="1" w:after="1"/>
              <w:ind w:left="0" w:right="0" w:hanging="0"/>
              <w:jc w:val="right"/>
              <w:rPr/>
            </w:pPr>
            <w:r>
              <w:rPr/>
              <w:t>—</w:t>
            </w:r>
          </w:p>
        </w:tc>
        <w:tc>
          <w:tcPr>
            <w:tcW w:w="166" w:type="dxa"/>
            <w:tcBorders/>
            <w:shd w:fill="CEDBE0" w:val="clear"/>
            <w:vAlign w:val="center"/>
          </w:tcPr>
          <w:p>
            <w:pPr>
              <w:pStyle w:val="TableContents"/>
              <w:bidi w:val="0"/>
              <w:spacing w:before="1" w:after="1"/>
              <w:ind w:left="0" w:right="0" w:hanging="0"/>
              <w:jc w:val="left"/>
              <w:rPr/>
            </w:pPr>
            <w:r>
              <w:rPr/>
              <w:t>​</w:t>
            </w:r>
          </w:p>
        </w:tc>
        <w:tc>
          <w:tcPr>
            <w:tcW w:w="166" w:type="dxa"/>
            <w:tcBorders/>
            <w:shd w:fill="CEDBE0" w:val="clear"/>
            <w:vAlign w:val="center"/>
          </w:tcPr>
          <w:p>
            <w:pPr>
              <w:pStyle w:val="TableContents"/>
              <w:bidi w:val="0"/>
              <w:spacing w:before="1" w:after="1"/>
              <w:ind w:left="0" w:right="0" w:hanging="0"/>
              <w:jc w:val="right"/>
              <w:rPr/>
            </w:pPr>
            <w:r>
              <w:rPr/>
              <w:t>​</w:t>
            </w:r>
          </w:p>
        </w:tc>
        <w:tc>
          <w:tcPr>
            <w:tcW w:w="530" w:type="dxa"/>
            <w:tcBorders/>
            <w:shd w:fill="CEDBE0" w:val="clear"/>
            <w:vAlign w:val="center"/>
          </w:tcPr>
          <w:p>
            <w:pPr>
              <w:pStyle w:val="TableContents"/>
              <w:bidi w:val="0"/>
              <w:spacing w:before="1" w:after="1"/>
              <w:ind w:left="0" w:right="0" w:hanging="0"/>
              <w:jc w:val="right"/>
              <w:rPr/>
            </w:pPr>
            <w:r>
              <w:rPr/>
              <w:t>—</w:t>
            </w:r>
          </w:p>
        </w:tc>
        <w:tc>
          <w:tcPr>
            <w:tcW w:w="154" w:type="dxa"/>
            <w:tcBorders/>
            <w:shd w:fill="CEDBE0" w:val="clear"/>
            <w:vAlign w:val="center"/>
          </w:tcPr>
          <w:p>
            <w:pPr>
              <w:pStyle w:val="TableContents"/>
              <w:bidi w:val="0"/>
              <w:spacing w:before="1" w:after="1"/>
              <w:ind w:left="0" w:right="0" w:hanging="0"/>
              <w:jc w:val="right"/>
              <w:rPr/>
            </w:pPr>
            <w:r>
              <w:rPr/>
              <w:t>​</w:t>
            </w:r>
          </w:p>
        </w:tc>
      </w:tr>
    </w:tbl>
    <w:tbl>
      <w:tblPr>
        <w:tblW w:w="10090" w:type="dxa"/>
        <w:jc w:val="left"/>
        <w:tblInd w:w="0" w:type="dxa"/>
        <w:tblLayout w:type="fixed"/>
        <w:tblCellMar>
          <w:top w:w="28" w:type="dxa"/>
          <w:left w:w="28" w:type="dxa"/>
          <w:bottom w:w="28" w:type="dxa"/>
          <w:right w:w="28" w:type="dxa"/>
        </w:tblCellMar>
      </w:tblPr>
      <w:tblGrid>
        <w:gridCol w:w="124"/>
        <w:gridCol w:w="271"/>
        <w:gridCol w:w="95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Arial Narrow" w:hAnsi="Arial Narrow"/>
                <w:sz w:val="18"/>
              </w:rPr>
            </w:pPr>
            <w:r>
              <w:rPr>
                <w:rFonts w:ascii="Arial Narrow" w:hAnsi="Arial Narrow"/>
                <w:sz w:val="18"/>
              </w:rPr>
              <w:t>(a)</w:t>
            </w:r>
          </w:p>
        </w:tc>
        <w:tc>
          <w:tcPr>
            <w:tcW w:w="9541" w:type="dxa"/>
            <w:tcBorders/>
            <w:tcMar>
              <w:top w:w="0" w:type="dxa"/>
              <w:left w:w="0" w:type="dxa"/>
              <w:bottom w:w="0" w:type="dxa"/>
              <w:right w:w="0" w:type="dxa"/>
            </w:tcMar>
            <w:vAlign w:val="center"/>
          </w:tcPr>
          <w:p>
            <w:pPr>
              <w:pStyle w:val="TableContents"/>
              <w:bidi w:val="0"/>
              <w:spacing w:before="0" w:after="283"/>
              <w:jc w:val="left"/>
              <w:rPr>
                <w:rFonts w:ascii="Arial Narrow" w:hAnsi="Arial Narrow"/>
                <w:b w:val="false"/>
                <w:i w:val="false"/>
                <w:caps w:val="false"/>
                <w:smallCaps w:val="false"/>
                <w:sz w:val="18"/>
              </w:rPr>
            </w:pPr>
            <w:r>
              <w:rPr>
                <w:rFonts w:ascii="Arial Narrow" w:hAnsi="Arial Narrow"/>
                <w:b w:val="false"/>
                <w:i w:val="false"/>
                <w:caps w:val="false"/>
                <w:smallCaps w:val="false"/>
                <w:sz w:val="18"/>
              </w:rPr>
              <w:t xml:space="preserve">For the three months ended March 31, 2025, the warrants were antidilutive since the exercise price was greater than the average price for our shares.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646" w:name="FNContingencies"/>
      <w:bookmarkEnd w:id="646"/>
      <w:r>
        <w:rPr>
          <w:rFonts w:ascii="Arial Narrow" w:hAnsi="Arial Narrow"/>
          <w:b/>
          <w:caps/>
          <w:color w:val="00556F"/>
          <w:sz w:val="22"/>
        </w:rPr>
        <w:t>Note 9—Contingencies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Legal proceedings</w:t>
      </w:r>
    </w:p>
    <w:p>
      <w:pPr>
        <w:pStyle w:val="TextBody"/>
        <w:bidi w:val="0"/>
        <w:spacing w:before="60" w:after="120"/>
        <w:ind w:left="0" w:right="0" w:firstLine="720"/>
        <w:jc w:val="both"/>
        <w:rPr>
          <w:rFonts w:ascii="Arial Narrow" w:hAnsi="Arial Narrow"/>
          <w:sz w:val="20"/>
        </w:rPr>
      </w:pPr>
      <w:r>
        <w:rPr>
          <w:rFonts w:ascii="Arial Narrow" w:hAnsi="Arial Narrow"/>
          <w:b/>
          <w:sz w:val="20"/>
        </w:rPr>
        <w:t>Asbestos litigation</w:t>
      </w:r>
      <w:r>
        <w:rPr>
          <w:rFonts w:ascii="Arial Narrow" w:hAnsi="Arial Narrow"/>
          <w:sz w:val="20"/>
        </w:rPr>
        <w:t>—In 2014, several of our subsidiaries were named, along with numerous other unaffiliated defendants, in complaints filed in Louisiana.  The plaintiffs, former employees of some of the defendants, generally allege that the defendants used or manufactured asbestos-containing drilling mud additives for use in connection with drilling operations, claiming negligence, products liability, strict liability and claims allowed under the Jones Act and general maritime law.  One of our subsidiaries has been named in similar complaints filed in Illinois, Missouri and California.  As of March 31, 2026, five plaintiffs have claims pending in Louisiana and 35 plaintiffs in the aggregate have claims pending in Illinois and Missouri, in which we have or may have an interest.  We intend to defend these lawsuits vigorously, although we can provide no assurance as to the outcome.  We historically have maintained broad liability insurance, although we can provide no assurance as to whether insurance will cover the liabilities, if any, arising out of these claims.  Based on our evaluation of the exposure to date, we do not expect the liability, if any, resulting from these claims to have a material adverse effect on our condensed consolidated statement of financial position, results of operations or cash flows.</w:t>
      </w:r>
    </w:p>
    <w:p>
      <w:pPr>
        <w:pStyle w:val="TextBody"/>
        <w:bidi w:val="0"/>
        <w:spacing w:before="60" w:after="120"/>
        <w:ind w:left="0" w:right="0" w:firstLine="720"/>
        <w:jc w:val="both"/>
        <w:rPr>
          <w:rFonts w:ascii="Arial Narrow" w:hAnsi="Arial Narrow"/>
          <w:sz w:val="20"/>
        </w:rPr>
      </w:pPr>
      <w:r>
        <w:rPr>
          <w:rFonts w:ascii="Arial Narrow" w:hAnsi="Arial Narrow"/>
          <w:sz w:val="20"/>
        </w:rPr>
        <w:t>One of our subsidiaries was named as a defendant, along with numerous other companies, in lawsuits arising out of the subsidiary’s manufacture and sale of heat exchangers, and involvement in the construction and refurbishment of major industrial complexes, alleging bodily injury or personal injury as a result of exposure to asbestos.  As of March 31, 2026, the subsidiary was a defendant in approximately 497 lawsuits with a corresponding number of plaintiffs.  For many of these lawsuits, we have not been provided sufficient information from the plaintiffs to determine whether all or some of the plaintiffs have claims against the subsidiary, the basis of any such claims, or the nature of their alleged injuries.  The operating assets of the subsidiary were sold in 1989.  We have a coverage-in-place agreement with certain insurers and additional funding from settlement agreements with other insurers.  Overall, we believe the subsidiary has sufficient resources to respond to both the current lawsuits as well as future lawsuits of a similar nature.  While we cannot predict or provide assurance as to the outcome of these matters, we do not expect the ultimate liability, if any, resulting from these claims to have a material adverse effect on our condensed consolidated statement of financial position, results of operations or cash flows.</w:t>
      </w:r>
    </w:p>
    <w:p>
      <w:pPr>
        <w:pStyle w:val="TextBody"/>
        <w:bidi w:val="0"/>
        <w:spacing w:before="0" w:after="0"/>
        <w:ind w:left="0" w:right="0" w:hanging="0"/>
        <w:jc w:val="center"/>
        <w:rPr>
          <w:rFonts w:ascii="Arial Narrow" w:hAnsi="Arial Narrow"/>
          <w:sz w:val="20"/>
        </w:rPr>
      </w:pPr>
      <w:r>
        <w:rPr>
          <w:rFonts w:ascii="Arial Narrow" w:hAnsi="Arial Narrow"/>
          <w:sz w:val="20"/>
        </w:rPr>
        <w:t>- 10 -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120"/>
        <w:ind w:left="0" w:right="0" w:firstLine="720"/>
        <w:jc w:val="both"/>
        <w:rPr>
          <w:rFonts w:ascii="Arial Narrow" w:hAnsi="Arial Narrow"/>
          <w:sz w:val="20"/>
        </w:rPr>
      </w:pPr>
      <w:r>
        <w:rPr>
          <w:rFonts w:ascii="Arial Narrow" w:hAnsi="Arial Narrow"/>
          <w:b/>
          <w:sz w:val="20"/>
        </w:rPr>
        <w:t>Other matters</w:t>
      </w:r>
      <w:r>
        <w:rPr>
          <w:rFonts w:ascii="Arial Narrow" w:hAnsi="Arial Narrow"/>
          <w:sz w:val="20"/>
        </w:rPr>
        <w:t>—We are involved in various regulatory matters and a number of claims and lawsuits, asserted and unasserted, all of which have arisen in the ordinary course of our business.  We do not expect the liability, if any, resulting from these other matters to have a material adverse effect on our condensed consolidated statement of financial position, results of operations or cash flows.  We cannot predict with certainty the outcome or effect of any of the litigation matters specifically described above or of any such other pending, threatened, or possible litigation or liability.  We can provide no assurance that our beliefs or expectations as to the outcome or effect of any tax, regulatory, lawsuit or other litigation matter will prove correct, and the eventual outcome of these matters could materially differ from management’s current estimates.</w:t>
      </w:r>
    </w:p>
    <w:p>
      <w:pPr>
        <w:pStyle w:val="TextBody"/>
        <w:bidi w:val="0"/>
        <w:spacing w:before="120" w:after="60"/>
        <w:ind w:left="0" w:right="0" w:hanging="0"/>
        <w:jc w:val="left"/>
        <w:rPr>
          <w:rFonts w:ascii="Arial Narrow" w:hAnsi="Arial Narrow"/>
          <w:b/>
          <w:i/>
          <w:color w:val="00556F"/>
          <w:sz w:val="20"/>
        </w:rPr>
      </w:pPr>
      <w:r>
        <w:rPr>
          <w:rFonts w:ascii="Arial Narrow" w:hAnsi="Arial Narrow"/>
          <w:b/>
          <w:i/>
          <w:color w:val="00556F"/>
          <w:sz w:val="20"/>
        </w:rPr>
        <w:t>Environmental matters</w:t>
      </w:r>
    </w:p>
    <w:p>
      <w:pPr>
        <w:pStyle w:val="TextBody"/>
        <w:bidi w:val="0"/>
        <w:spacing w:before="60" w:after="120"/>
        <w:ind w:left="0" w:right="0" w:firstLine="720"/>
        <w:jc w:val="both"/>
        <w:rPr>
          <w:rFonts w:ascii="Arial Narrow" w:hAnsi="Arial Narrow"/>
          <w:sz w:val="20"/>
        </w:rPr>
      </w:pPr>
      <w:r>
        <w:rPr>
          <w:rFonts w:ascii="Arial Narrow" w:hAnsi="Arial Narrow"/>
          <w:sz w:val="20"/>
        </w:rPr>
        <w:t>We have certain potential liabilities under the Comprehensive Environmental Response, Compensation, and Liability Act (“CERCLA”) and similar state acts regulating cleanup of hazardous substances at various waste disposal sites, including those described below.  CERCLA is intended to expedite the remediation of hazardous substances without regard to fault.  Potentially responsible parties (“PRPs”) for each site include present and former owners and operators of, transporters to and generators of the substances at the site.  It is difficult to quantify the potential cost of environmental matters and remediation obligations.  Liability is strict and can be joint and several.</w:t>
      </w:r>
    </w:p>
    <w:p>
      <w:pPr>
        <w:pStyle w:val="TextBody"/>
        <w:bidi w:val="0"/>
        <w:spacing w:before="60" w:after="120"/>
        <w:ind w:left="0" w:right="0" w:firstLine="720"/>
        <w:jc w:val="both"/>
        <w:rPr>
          <w:rFonts w:ascii="Arial Narrow" w:hAnsi="Arial Narrow"/>
          <w:sz w:val="20"/>
        </w:rPr>
      </w:pPr>
      <w:r>
        <w:rPr>
          <w:rFonts w:ascii="Arial Narrow" w:hAnsi="Arial Narrow"/>
          <w:sz w:val="20"/>
        </w:rPr>
        <w:t>One of our subsidiaries was named as a PRP in connection with a site located in Santa Fe Springs, California, known as the Waste Disposal, Inc. site.  We and other PRPs agreed, under a participation agreement with the U.S. Environmental Protection Agency (the “EPA”) and the U.S. Department of Justice, to settle our potential liabilities by remediating the site.  The remedial action for the site was completed in 2006.  Our share of the ongoing operating and maintenance costs has been insignificant, and we do not expect any additional potential liabilities to be material.  Resolutions of other claims by the EPA, the involved state agency or PRPs are at various stages of investigation.  Nevertheless, based on available information with respect to all environmental matters, including all related pending legal proceedings, asserted legal claims and known potential legal claims that are likely to be asserted, we do not expect the ultimate liability, if any, resulting from such matters, to have a material adverse effect on our condensed consolidated statement of financial position, results of operations or cash flows.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647" w:name="FN_Equity"/>
      <w:bookmarkEnd w:id="647"/>
      <w:r>
        <w:rPr>
          <w:rFonts w:ascii="Arial Narrow" w:hAnsi="Arial Narrow"/>
          <w:b/>
          <w:caps/>
          <w:color w:val="00556F"/>
          <w:sz w:val="22"/>
        </w:rPr>
        <w:t>Note 10—Equity</w:t>
      </w:r>
    </w:p>
    <w:p>
      <w:pPr>
        <w:pStyle w:val="TextBody"/>
        <w:bidi w:val="0"/>
        <w:spacing w:before="60" w:after="120"/>
        <w:ind w:left="0" w:right="0" w:firstLine="720"/>
        <w:jc w:val="both"/>
        <w:rPr>
          <w:rFonts w:ascii="Arial Narrow" w:hAnsi="Arial Narrow"/>
          <w:sz w:val="20"/>
        </w:rPr>
      </w:pPr>
      <w:r>
        <w:rPr>
          <w:rFonts w:ascii="Arial Narrow" w:hAnsi="Arial Narrow"/>
          <w:b/>
          <w:sz w:val="20"/>
        </w:rPr>
        <w:t>Warrants</w:t>
      </w:r>
      <w:r>
        <w:rPr>
          <w:rFonts w:ascii="Arial Narrow" w:hAnsi="Arial Narrow"/>
          <w:sz w:val="20"/>
        </w:rPr>
        <w:t>—At December 31, 2025, we had 22.2 million outstanding warrants to purchase Transocean Ltd. shares.  The warrants could be exercised by holders at any time prior to the close of business on March 13, 2026 at an exercise price equal to $3.71 per share, and at our election, such exercise could be settled by delivering cash, Transocean Ltd. shares or a combination of cash and shares.  At December 31, 2025, the carrying amount of the warrants, recorded as a component of additional paid-in capital, was $16 million, net of issue costs, which represented the initial estimated fair value on the date of issuance.  In March 2026, we received exercise notices from holders of 22.2 million warrants to acquire Transocean Ltd. shares.  In accordance with the warrant agreement, we elected to net settle such exercises by delivering Transocean Ltd. shares, and such net settlement was based on the volume-weighted average trading price of Transocean Ltd. shares over the applicable settlement period following receipt of each exercise notice.</w:t>
      </w:r>
    </w:p>
    <w:p>
      <w:pPr>
        <w:pStyle w:val="TextBody"/>
        <w:bidi w:val="0"/>
        <w:spacing w:before="60" w:after="120"/>
        <w:ind w:left="0" w:right="0" w:firstLine="720"/>
        <w:jc w:val="both"/>
        <w:rPr>
          <w:rFonts w:ascii="Arial Narrow" w:hAnsi="Arial Narrow"/>
          <w:sz w:val="20"/>
        </w:rPr>
      </w:pPr>
      <w:r>
        <w:rPr>
          <w:rFonts w:ascii="Arial Narrow" w:hAnsi="Arial Narrow"/>
          <w:b/>
          <w:sz w:val="20"/>
        </w:rPr>
        <w:t>Subsequent event</w:t>
      </w:r>
      <w:r>
        <w:rPr>
          <w:rFonts w:ascii="Arial Narrow" w:hAnsi="Arial Narrow"/>
          <w:sz w:val="20"/>
        </w:rPr>
        <w:t>—In April 2026, we issued 9.7 million Transocean Ltd. shares as net settlement of the exercised warrants.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648" w:name="Tc_Es-51-roDEC4XPjf497k4w_6_0"/>
      <w:bookmarkStart w:id="649" w:name="Tc_AP8zB3LtyUC9NsWGCYPABg_5_0"/>
      <w:bookmarkStart w:id="650" w:name="Tc_Xz6qmr-Muke0CCxQv0Dn3w_4_11"/>
      <w:bookmarkStart w:id="651" w:name="Tc_VT_miRNp_0Kgv9CdR4jpEQ_4_8"/>
      <w:bookmarkStart w:id="652" w:name="Tc_w64VWcTocE-VvETixn6aVQ_4_5"/>
      <w:bookmarkStart w:id="653" w:name="Tc_mgLBTR2ogUiI8MCdeleDDg_4_2"/>
      <w:bookmarkStart w:id="654" w:name="Tc_3TJxRohSXEy-B7gcp0WniQ_4_0"/>
      <w:bookmarkStart w:id="655" w:name="Tc_fdc0HbuXLEaao0rNsOFOcg_3_11"/>
      <w:bookmarkStart w:id="656" w:name="Tc_reQJaNAlPUmxzCswvcasqA_3_8"/>
      <w:bookmarkStart w:id="657" w:name="Tc_7fTyqcXFC0iTOjWpwxd76w_3_5"/>
      <w:bookmarkStart w:id="658" w:name="Tc_lbYtCX622UeVFNTCkmC4GA_3_2"/>
      <w:bookmarkStart w:id="659" w:name="Tc_h46rgDLAb0GXcKLOP2rYhA_2_11"/>
      <w:bookmarkStart w:id="660" w:name="Tc_ZdpUBzPB8Ue7Yv2_avDWWg_2_8"/>
      <w:bookmarkStart w:id="661" w:name="Tc_OPbJZLZNjkWeWmM25iAAvw_2_5"/>
      <w:bookmarkStart w:id="662" w:name="Tc_j4ysxOmZlEe1PcuhFM3VyQ_2_2"/>
      <w:bookmarkStart w:id="663" w:name="Tc_wYgqQe3s8EK0s4s1QSj69w_1_8"/>
      <w:bookmarkStart w:id="664" w:name="Tc_IzEPKD3eHk2udQFeddDPoQ_1_2"/>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r>
        <w:rPr>
          <w:rFonts w:ascii="Arial Narrow" w:hAnsi="Arial Narrow"/>
          <w:b/>
          <w:caps/>
          <w:color w:val="00556F"/>
          <w:sz w:val="22"/>
        </w:rPr>
        <w:t>Note 11—Financial Instruments</w:t>
      </w:r>
    </w:p>
    <w:p>
      <w:pPr>
        <w:pStyle w:val="TextBody"/>
        <w:bidi w:val="0"/>
        <w:spacing w:before="60" w:after="60"/>
        <w:ind w:left="0" w:right="0" w:firstLine="720"/>
        <w:jc w:val="both"/>
        <w:rPr>
          <w:rFonts w:ascii="Arial Narrow" w:hAnsi="Arial Narrow"/>
          <w:sz w:val="20"/>
        </w:rPr>
      </w:pPr>
      <w:r>
        <w:rPr>
          <w:rFonts w:ascii="Arial Narrow" w:hAnsi="Arial Narrow"/>
          <w:b/>
          <w:sz w:val="20"/>
        </w:rPr>
        <w:t>Overview</w:t>
      </w:r>
      <w:r>
        <w:rPr>
          <w:rFonts w:ascii="Arial Narrow" w:hAnsi="Arial Narrow"/>
          <w:sz w:val="20"/>
        </w:rPr>
        <w:t>—The carrying amounts and fair values of our financial instruments were as follows (in millions):</w:t>
      </w:r>
    </w:p>
    <w:p>
      <w:pPr>
        <w:pStyle w:val="TextBody"/>
        <w:bidi w:val="0"/>
        <w:spacing w:before="0" w:after="0"/>
        <w:ind w:left="0" w:right="0" w:hanging="0"/>
        <w:jc w:val="left"/>
        <w:rPr/>
      </w:pPr>
      <w:r>
        <w:rPr/>
        <w:t>​</w:t>
      </w:r>
    </w:p>
    <w:tbl>
      <w:tblPr>
        <w:tblW w:w="6579" w:type="dxa"/>
        <w:jc w:val="left"/>
        <w:tblInd w:w="0" w:type="dxa"/>
        <w:tblLayout w:type="fixed"/>
        <w:tblCellMar>
          <w:top w:w="0" w:type="dxa"/>
          <w:left w:w="0" w:type="dxa"/>
          <w:bottom w:w="0" w:type="dxa"/>
          <w:right w:w="0" w:type="dxa"/>
        </w:tblCellMar>
      </w:tblPr>
      <w:tblGrid>
        <w:gridCol w:w="2476"/>
        <w:gridCol w:w="346"/>
        <w:gridCol w:w="181"/>
        <w:gridCol w:w="451"/>
        <w:gridCol w:w="346"/>
        <w:gridCol w:w="181"/>
        <w:gridCol w:w="451"/>
        <w:gridCol w:w="346"/>
        <w:gridCol w:w="181"/>
        <w:gridCol w:w="451"/>
        <w:gridCol w:w="346"/>
        <w:gridCol w:w="181"/>
        <w:gridCol w:w="451"/>
        <w:gridCol w:w="19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72260" cy="175895"/>
                      <wp:effectExtent l="0" t="0" r="0" b="0"/>
                      <wp:wrapNone/>
                      <wp:docPr id="134" name="Frame133"/>
                      <a:graphic xmlns:a="http://schemas.openxmlformats.org/drawingml/2006/main">
                        <a:graphicData uri="http://schemas.microsoft.com/office/word/2010/wordprocessingShape">
                          <wps:wsp>
                            <wps:cNvSpPr txBox="1"/>
                            <wps:spPr>
                              <a:xfrm>
                                <a:off x="0" y="0"/>
                                <a:ext cx="1572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895"/>
                      <wp:effectExtent l="0" t="0" r="0" b="0"/>
                      <wp:wrapNone/>
                      <wp:docPr id="135" name="Frame13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14935" cy="175895"/>
                      <wp:effectExtent l="0" t="0" r="0" b="0"/>
                      <wp:wrapNone/>
                      <wp:docPr id="136" name="Frame135"/>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86385" cy="175895"/>
                      <wp:effectExtent l="0" t="0" r="0" b="0"/>
                      <wp:wrapNone/>
                      <wp:docPr id="137" name="Frame136"/>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895"/>
                      <wp:effectExtent l="0" t="0" r="0" b="0"/>
                      <wp:wrapNone/>
                      <wp:docPr id="138" name="Frame13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14935" cy="175895"/>
                      <wp:effectExtent l="0" t="0" r="0" b="0"/>
                      <wp:wrapNone/>
                      <wp:docPr id="139" name="Frame138"/>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86385" cy="175895"/>
                      <wp:effectExtent l="0" t="0" r="0" b="0"/>
                      <wp:wrapNone/>
                      <wp:docPr id="140" name="Frame139"/>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895"/>
                      <wp:effectExtent l="0" t="0" r="0" b="0"/>
                      <wp:wrapNone/>
                      <wp:docPr id="141" name="Frame14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4935" cy="175895"/>
                      <wp:effectExtent l="0" t="0" r="0" b="0"/>
                      <wp:wrapNone/>
                      <wp:docPr id="142" name="Frame141"/>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86385" cy="175895"/>
                      <wp:effectExtent l="0" t="0" r="0" b="0"/>
                      <wp:wrapNone/>
                      <wp:docPr id="143" name="Frame142"/>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895"/>
                      <wp:effectExtent l="0" t="0" r="0" b="0"/>
                      <wp:wrapNone/>
                      <wp:docPr id="144" name="Frame14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14935" cy="175895"/>
                      <wp:effectExtent l="0" t="0" r="0" b="0"/>
                      <wp:wrapNone/>
                      <wp:docPr id="145" name="Frame144"/>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86385" cy="175895"/>
                      <wp:effectExtent l="0" t="0" r="0" b="0"/>
                      <wp:wrapNone/>
                      <wp:docPr id="146" name="Frame145"/>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1285" cy="175895"/>
                      <wp:effectExtent l="0" t="0" r="0" b="0"/>
                      <wp:wrapNone/>
                      <wp:docPr id="147" name="Frame146"/>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161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2026</w:t>
            </w:r>
          </w:p>
        </w:tc>
        <w:tc>
          <w:tcPr>
            <w:tcW w:w="346" w:type="dxa"/>
            <w:tcBorders/>
            <w:vAlign w:val="center"/>
          </w:tcPr>
          <w:p>
            <w:pPr>
              <w:pStyle w:val="TableContents"/>
              <w:bidi w:val="0"/>
              <w:spacing w:before="1" w:after="1"/>
              <w:ind w:left="0" w:right="0" w:hanging="0"/>
              <w:jc w:val="center"/>
              <w:rPr/>
            </w:pPr>
            <w:r>
              <w:rPr/>
              <w:t>​</w:t>
            </w:r>
          </w:p>
        </w:tc>
        <w:tc>
          <w:tcPr>
            <w:tcW w:w="161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December 31, 2025</w:t>
            </w:r>
          </w:p>
        </w:tc>
        <w:tc>
          <w:tcPr>
            <w:tcW w:w="191" w:type="dxa"/>
            <w:tcBorders/>
            <w:vAlign w:val="center"/>
          </w:tcPr>
          <w:p>
            <w:pPr>
              <w:pStyle w:val="TableContents"/>
              <w:bidi w:val="0"/>
              <w:spacing w:before="1" w:after="1"/>
              <w:ind w:left="0" w:right="0" w:hanging="0"/>
              <w:jc w:val="center"/>
              <w:rPr/>
            </w:pPr>
            <w:r>
              <w:rPr/>
              <w:t> </w:t>
            </w:r>
          </w:p>
        </w:tc>
      </w:tr>
      <w:tr>
        <w:trPr/>
        <w:tc>
          <w:tcPr>
            <w:tcW w:w="24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Carrying</w:t>
            </w:r>
          </w:p>
        </w:tc>
        <w:tc>
          <w:tcPr>
            <w:tcW w:w="3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Fair</w:t>
            </w:r>
          </w:p>
        </w:tc>
        <w:tc>
          <w:tcPr>
            <w:tcW w:w="3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Carrying</w:t>
            </w:r>
          </w:p>
        </w:tc>
        <w:tc>
          <w:tcPr>
            <w:tcW w:w="3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Fair</w:t>
            </w:r>
          </w:p>
        </w:tc>
        <w:tc>
          <w:tcPr>
            <w:tcW w:w="191" w:type="dxa"/>
            <w:tcBorders/>
            <w:vAlign w:val="center"/>
          </w:tcPr>
          <w:p>
            <w:pPr>
              <w:pStyle w:val="TableContents"/>
              <w:bidi w:val="0"/>
              <w:spacing w:before="1" w:after="1"/>
              <w:ind w:left="0" w:right="0" w:hanging="0"/>
              <w:jc w:val="center"/>
              <w:rPr/>
            </w:pPr>
            <w:r>
              <w:rPr/>
              <w:t> </w:t>
            </w:r>
          </w:p>
        </w:tc>
      </w:tr>
      <w:tr>
        <w:trPr/>
        <w:tc>
          <w:tcPr>
            <w:tcW w:w="24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amount</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value</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amount</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value</w:t>
            </w:r>
          </w:p>
        </w:tc>
        <w:tc>
          <w:tcPr>
            <w:tcW w:w="191" w:type="dxa"/>
            <w:tcBorders/>
            <w:vAlign w:val="center"/>
          </w:tcPr>
          <w:p>
            <w:pPr>
              <w:pStyle w:val="TableContents"/>
              <w:bidi w:val="0"/>
              <w:spacing w:before="1" w:after="1"/>
              <w:ind w:left="0" w:right="0" w:hanging="0"/>
              <w:jc w:val="center"/>
              <w:rPr/>
            </w:pPr>
            <w:r>
              <w:rPr/>
              <w:t> </w:t>
            </w:r>
          </w:p>
        </w:tc>
      </w:tr>
      <w:tr>
        <w:trPr/>
        <w:tc>
          <w:tcPr>
            <w:tcW w:w="247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Cash and cash equivalents</w:t>
            </w:r>
          </w:p>
        </w:tc>
        <w:tc>
          <w:tcPr>
            <w:tcW w:w="34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330</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330</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620</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620</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247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Restricted cash and cash equivalents</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285</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285</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377</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377</w:t>
            </w:r>
          </w:p>
        </w:tc>
        <w:tc>
          <w:tcPr>
            <w:tcW w:w="191" w:type="dxa"/>
            <w:tcBorders/>
            <w:vAlign w:val="center"/>
          </w:tcPr>
          <w:p>
            <w:pPr>
              <w:pStyle w:val="TableContents"/>
              <w:bidi w:val="0"/>
              <w:spacing w:before="1" w:after="1"/>
              <w:ind w:left="0" w:right="0" w:hanging="0"/>
              <w:jc w:val="left"/>
              <w:rPr/>
            </w:pPr>
            <w:r>
              <w:rPr/>
              <w:t>​</w:t>
            </w:r>
          </w:p>
        </w:tc>
      </w:tr>
      <w:tr>
        <w:trPr/>
        <w:tc>
          <w:tcPr>
            <w:tcW w:w="247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debt</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5,274</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5,547</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5,657</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5,755</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80" w:after="60"/>
        <w:ind w:left="0" w:right="0" w:firstLine="720"/>
        <w:jc w:val="both"/>
        <w:rPr>
          <w:rFonts w:ascii="Arial Narrow" w:hAnsi="Arial Narrow"/>
          <w:sz w:val="20"/>
        </w:rPr>
      </w:pPr>
      <w:r>
        <w:rPr>
          <w:rFonts w:ascii="Arial Narrow" w:hAnsi="Arial Narrow"/>
          <w:b/>
          <w:sz w:val="20"/>
        </w:rPr>
        <w:t>Cash and cash equivalents</w:t>
      </w:r>
      <w:r>
        <w:rPr>
          <w:rFonts w:ascii="Arial Narrow" w:hAnsi="Arial Narrow"/>
          <w:sz w:val="20"/>
        </w:rPr>
        <w:t>—Our cash and cash equivalents are primarily invested in demand deposits, short-term time deposits and money market funds.  The carrying amount of our cash and cash equivalents represents the historical cost, plus accrued interest, which approximates fair value because of the short maturities of the instruments.</w:t>
      </w:r>
    </w:p>
    <w:p>
      <w:pPr>
        <w:pStyle w:val="TextBody"/>
        <w:bidi w:val="0"/>
        <w:spacing w:before="60" w:after="120"/>
        <w:ind w:left="0" w:right="0" w:firstLine="720"/>
        <w:jc w:val="both"/>
        <w:rPr>
          <w:rFonts w:ascii="Arial Narrow" w:hAnsi="Arial Narrow"/>
          <w:sz w:val="20"/>
        </w:rPr>
      </w:pPr>
      <w:r>
        <w:rPr>
          <w:rFonts w:ascii="Arial Narrow" w:hAnsi="Arial Narrow"/>
          <w:b/>
          <w:sz w:val="20"/>
        </w:rPr>
        <w:t>Restricted cash and cash equivalents</w:t>
      </w:r>
      <w:r>
        <w:rPr>
          <w:rFonts w:ascii="Arial Narrow" w:hAnsi="Arial Narrow"/>
          <w:sz w:val="20"/>
        </w:rPr>
        <w:t>—Our restricted cash and cash equivalents, which are subject to restrictions due to collateral requirements, legislation, regulation or court order, are primarily invested in demand deposits and money market funds.  The carrying amount of our restricted cash and cash equivalents represents the historical cost, plus accrued interest, which approximates fair value because of the short maturities of the instruments.</w:t>
      </w:r>
    </w:p>
    <w:p>
      <w:pPr>
        <w:pStyle w:val="TextBody"/>
        <w:bidi w:val="0"/>
        <w:spacing w:before="60" w:after="60"/>
        <w:ind w:left="0" w:right="0" w:firstLine="720"/>
        <w:jc w:val="both"/>
        <w:rPr/>
      </w:pPr>
      <w:r>
        <w:rPr>
          <w:rFonts w:ascii="Arial Narrow" w:hAnsi="Arial Narrow"/>
          <w:b/>
          <w:sz w:val="20"/>
        </w:rPr>
        <w:t>Total debt</w:t>
      </w:r>
      <w:r>
        <w:rPr>
          <w:rFonts w:ascii="Arial Narrow" w:hAnsi="Arial Narrow"/>
          <w:sz w:val="20"/>
        </w:rPr>
        <w:t xml:space="preserve">—The carrying amount of our total debt represents the principal amount, together with unamortized discounts, premiums and issue costs.  The carrying amount and fair value of our total debt includes amounts related to our exchangeable bonds (see </w:t>
      </w:r>
      <w:hyperlink w:anchor="FN_Debt">
        <w:r>
          <w:rPr>
            <w:rStyle w:val="InternetLink"/>
            <w:rFonts w:ascii="Arial Narrow" w:hAnsi="Arial Narrow"/>
            <w:b w:val="false"/>
            <w:i w:val="false"/>
            <w:caps w:val="false"/>
            <w:smallCaps w:val="false"/>
            <w:sz w:val="20"/>
          </w:rPr>
          <w:t>Note 6—Debt</w:t>
        </w:r>
      </w:hyperlink>
      <w:r>
        <w:rPr>
          <w:rFonts w:ascii="Arial Narrow" w:hAnsi="Arial Narrow"/>
          <w:sz w:val="20"/>
        </w:rPr>
        <w:t xml:space="preserve">).  We estimated the fair value of our total debt using significant other observable inputs, representative of Level 2 fair value measurements, including the terms and credit spreads for the instruments and, with respect to our exchangeable bonds, the expected volatility of the market price for our shares. </w:t>
      </w:r>
    </w:p>
    <w:p>
      <w:pPr>
        <w:pStyle w:val="TextBody"/>
        <w:shd w:fill="CEDBE0" w:val="clear"/>
        <w:bidi w:val="0"/>
        <w:spacing w:before="240" w:after="283"/>
        <w:ind w:left="0" w:right="0" w:hanging="0"/>
        <w:jc w:val="both"/>
        <w:rPr>
          <w:caps/>
        </w:rPr>
      </w:pPr>
      <w:r>
        <w:rPr>
          <w:caps/>
        </w:rPr>
        <w:t>​</w:t>
      </w:r>
    </w:p>
    <w:p>
      <w:pPr>
        <w:pStyle w:val="TextBody"/>
        <w:bidi w:val="0"/>
        <w:spacing w:before="0" w:after="0"/>
        <w:ind w:left="0" w:right="0" w:hanging="0"/>
        <w:jc w:val="center"/>
        <w:rPr>
          <w:rFonts w:ascii="Arial Narrow" w:hAnsi="Arial Narrow"/>
          <w:sz w:val="20"/>
        </w:rPr>
      </w:pPr>
      <w:r>
        <w:rPr>
          <w:rFonts w:ascii="Arial Narrow" w:hAnsi="Arial Narrow"/>
          <w:sz w:val="20"/>
        </w:rPr>
        <w:t>- 11 -</w:t>
      </w:r>
    </w:p>
    <w:p>
      <w:pPr>
        <w:pStyle w:val="TextBody"/>
        <w:bidi w:val="0"/>
        <w:spacing w:before="0" w:after="130"/>
        <w:ind w:left="0" w:right="0" w:hanging="0"/>
        <w:jc w:val="left"/>
        <w:rPr/>
      </w:pPr>
      <w:hyperlink w:anchor="Toc">
        <w:r>
          <w:rPr>
            <w:rStyle w:val="InternetLink"/>
            <w:rFonts w:ascii="Arial Narrow" w:hAnsi="Arial Narrow"/>
            <w:b w:val="false"/>
            <w:i w:val="false"/>
            <w:caps/>
            <w:sz w:val="18"/>
          </w:rPr>
          <w:t>Table of Contents</w:t>
        </w:r>
      </w:hyperlink>
    </w:p>
    <w:p>
      <w:pPr>
        <w:pStyle w:val="Normal"/>
        <w:bidi w:val="0"/>
        <w:spacing w:before="0" w:after="0"/>
        <w:jc w:val="left"/>
        <w:rPr>
          <w:sz w:val="4"/>
          <w:szCs w:val="4"/>
        </w:rPr>
      </w:pPr>
      <w:r>
        <w:rPr>
          <w:sz w:val="4"/>
          <w:szCs w:val="4"/>
        </w:rPr>
      </w:r>
      <w:bookmarkStart w:id="665" w:name="Item7ManagementsDiscussionandAnalysis_88"/>
      <w:bookmarkStart w:id="666" w:name="_31af5cf7_a910_4c4d_9494_8f32810ae892"/>
      <w:bookmarkStart w:id="667" w:name="Item7ManagementsDiscussionandAnalysis_88"/>
      <w:bookmarkStart w:id="668" w:name="_31af5cf7_a910_4c4d_9494_8f32810ae892"/>
      <w:bookmarkEnd w:id="667"/>
      <w:bookmarkEnd w:id="668"/>
    </w:p>
    <w:tbl>
      <w:tblPr>
        <w:tblW w:w="10186" w:type="dxa"/>
        <w:jc w:val="left"/>
        <w:tblInd w:w="0" w:type="dxa"/>
        <w:tblLayout w:type="fixed"/>
        <w:tblCellMar>
          <w:top w:w="0" w:type="dxa"/>
          <w:left w:w="0" w:type="dxa"/>
          <w:bottom w:w="0" w:type="dxa"/>
          <w:right w:w="0" w:type="dxa"/>
        </w:tblCellMar>
      </w:tblPr>
      <w:tblGrid>
        <w:gridCol w:w="751"/>
        <w:gridCol w:w="9435"/>
      </w:tblGrid>
      <w:tr>
        <w:trPr/>
        <w:tc>
          <w:tcPr>
            <w:tcW w:w="751" w:type="dxa"/>
            <w:tcBorders/>
            <w:vAlign w:val="center"/>
          </w:tcPr>
          <w:p>
            <w:pPr>
              <w:pStyle w:val="TableContents"/>
              <w:shd w:fill="CEDBE0" w:val="clear"/>
              <w:bidi w:val="0"/>
              <w:spacing w:before="60" w:after="60"/>
              <w:jc w:val="both"/>
              <w:rPr>
                <w:rFonts w:ascii="Arial Narrow" w:hAnsi="Arial Narrow"/>
                <w:b/>
                <w:caps/>
                <w:sz w:val="22"/>
              </w:rPr>
            </w:pPr>
            <w:r>
              <w:rPr>
                <w:rFonts w:ascii="Arial Narrow" w:hAnsi="Arial Narrow"/>
                <w:b/>
                <w:caps/>
                <w:sz w:val="22"/>
              </w:rPr>
              <w:t>Item 2.</w:t>
            </w:r>
          </w:p>
        </w:tc>
        <w:tc>
          <w:tcPr>
            <w:tcW w:w="9435" w:type="dxa"/>
            <w:tcBorders/>
            <w:vAlign w:val="center"/>
          </w:tcPr>
          <w:p>
            <w:pPr>
              <w:pStyle w:val="TableContents"/>
              <w:shd w:fill="CEDBE0" w:val="clear"/>
              <w:bidi w:val="0"/>
              <w:spacing w:before="60" w:after="60"/>
              <w:jc w:val="both"/>
              <w:rPr>
                <w:rFonts w:ascii="Arial Narrow" w:hAnsi="Arial Narrow"/>
                <w:b/>
                <w:caps/>
                <w:spacing w:val="-4"/>
                <w:sz w:val="22"/>
              </w:rPr>
            </w:pPr>
            <w:r>
              <w:rPr>
                <w:rFonts w:ascii="Arial Narrow" w:hAnsi="Arial Narrow"/>
                <w:b/>
                <w:caps/>
                <w:spacing w:val="-4"/>
                <w:sz w:val="22"/>
              </w:rPr>
              <w:t>Management’s Discussion and Analysis of Financial Condition and Results of Operations</w:t>
            </w:r>
          </w:p>
        </w:tc>
      </w:tr>
    </w:tbl>
    <w:p>
      <w:pPr>
        <w:pStyle w:val="TextBody"/>
        <w:pBdr>
          <w:bottom w:val="single" w:sz="18" w:space="1" w:color="ECA44A"/>
        </w:pBdr>
        <w:bidi w:val="0"/>
        <w:spacing w:before="60" w:after="60"/>
        <w:ind w:left="0" w:right="0" w:hanging="0"/>
        <w:jc w:val="left"/>
        <w:rPr>
          <w:rFonts w:ascii="Arial Narrow" w:hAnsi="Arial Narrow"/>
          <w:b/>
          <w:caps/>
          <w:color w:val="00556F"/>
          <w:sz w:val="22"/>
        </w:rPr>
      </w:pPr>
      <w:r>
        <w:rPr>
          <w:rFonts w:ascii="Arial Narrow" w:hAnsi="Arial Narrow"/>
          <w:b/>
          <w:caps/>
          <w:color w:val="00556F"/>
          <w:sz w:val="22"/>
        </w:rPr>
        <w:t>Forward-Looking Information</w:t>
      </w:r>
    </w:p>
    <w:p>
      <w:pPr>
        <w:pStyle w:val="TextBody"/>
        <w:bidi w:val="0"/>
        <w:spacing w:before="60" w:after="60"/>
        <w:ind w:left="0" w:right="0" w:firstLine="360"/>
        <w:jc w:val="both"/>
        <w:rPr>
          <w:rFonts w:ascii="Arial Narrow" w:hAnsi="Arial Narrow"/>
          <w:sz w:val="20"/>
        </w:rPr>
      </w:pPr>
      <w:r>
        <w:rPr>
          <w:rFonts w:ascii="Arial Narrow" w:hAnsi="Arial Narrow"/>
          <w:sz w:val="20"/>
        </w:rPr>
        <w:t>The statements included in this quarterly report regarding future financial performance and results of operations and other statements that are not historical facts are forward-looking statements within the meaning of Section 27A of the United States (“U.S.”) Securities Act of 1933 and Section 21E of the U.S. Securities Exchange Act of 1934.  Forward-looking statements in this quarterly report include, but are not limited to, statements about the following subjects:</w:t>
      </w:r>
    </w:p>
    <w:p>
      <w:pPr>
        <w:pStyle w:val="TextBody"/>
        <w:bidi w:val="0"/>
        <w:spacing w:before="0" w:after="0"/>
        <w:ind w:left="360" w:right="0" w:hanging="0"/>
        <w:jc w:val="both"/>
        <w:rPr/>
      </w:pPr>
      <w:r>
        <w:rPr/>
        <w:t>◾</w:t>
      </w:r>
      <w:r>
        <w:rPr>
          <w:rFonts w:ascii="Arial Narrow" w:hAnsi="Arial Narrow"/>
          <w:sz w:val="17"/>
        </w:rPr>
        <w:t>the effect of any disputes and actions with respect to production levels by, among or between major oil and gas producing countries and any expectations we may have with respect thereto;</w:t>
      </w:r>
    </w:p>
    <w:p>
      <w:pPr>
        <w:pStyle w:val="TextBody"/>
        <w:bidi w:val="0"/>
        <w:spacing w:before="0" w:after="0"/>
        <w:ind w:left="360" w:right="0" w:hanging="0"/>
        <w:jc w:val="both"/>
        <w:rPr/>
      </w:pPr>
      <w:r>
        <w:rPr/>
        <w:t>◾</w:t>
      </w:r>
      <w:r>
        <w:rPr>
          <w:rFonts w:ascii="Arial Narrow" w:hAnsi="Arial Narrow"/>
          <w:sz w:val="17"/>
        </w:rPr>
        <w:t>our results of operations, our cash flow from operations, our revenue efficiency and other performance indicators and optimization of rig-based spending;</w:t>
      </w:r>
    </w:p>
    <w:p>
      <w:pPr>
        <w:pStyle w:val="TextBody"/>
        <w:bidi w:val="0"/>
        <w:spacing w:before="0" w:after="0"/>
        <w:ind w:left="360" w:right="0" w:hanging="0"/>
        <w:jc w:val="both"/>
        <w:rPr/>
      </w:pPr>
      <w:r>
        <w:rPr/>
        <w:t>◾</w:t>
      </w:r>
      <w:r>
        <w:rPr>
          <w:rFonts w:ascii="Arial Narrow" w:hAnsi="Arial Narrow"/>
          <w:sz w:val="17"/>
        </w:rPr>
        <w:t>the offshore drilling market, including the effects of variations in commodity prices, supply and demand, utilization rates, dayrates, customer drilling programs, customer strategy, stacking and reactivation of rigs, the impact of changes to regulations in jurisdictions in which we operate and changes in the global economy or market outlook for our industry, or the various geographies in which we operate;</w:t>
      </w:r>
    </w:p>
    <w:p>
      <w:pPr>
        <w:pStyle w:val="TextBody"/>
        <w:bidi w:val="0"/>
        <w:spacing w:before="0" w:after="0"/>
        <w:ind w:left="360" w:right="0" w:hanging="0"/>
        <w:jc w:val="both"/>
        <w:rPr/>
      </w:pPr>
      <w:r>
        <w:rPr/>
        <w:t>◾</w:t>
      </w:r>
      <w:r>
        <w:rPr>
          <w:rFonts w:ascii="Arial Narrow" w:hAnsi="Arial Narrow"/>
          <w:sz w:val="17"/>
        </w:rPr>
        <w:t>customer drilling contracts, including contract backlog, force majeure provisions, contract awards, commencements, extensions, cancellations, terminations, renegotiations, contract option exercises, contract revenues, early termination fees, indemnity provisions and rig mobilizations;</w:t>
      </w:r>
    </w:p>
    <w:p>
      <w:pPr>
        <w:pStyle w:val="TextBody"/>
        <w:bidi w:val="0"/>
        <w:spacing w:before="0" w:after="0"/>
        <w:ind w:left="360" w:right="0" w:hanging="0"/>
        <w:jc w:val="both"/>
        <w:rPr/>
      </w:pPr>
      <w:r>
        <w:rPr/>
        <w:t>◾</w:t>
      </w:r>
      <w:r>
        <w:rPr>
          <w:rFonts w:ascii="Arial Narrow" w:hAnsi="Arial Narrow"/>
          <w:sz w:val="17"/>
        </w:rPr>
        <w:t>the addition of renewable or other energy alternatives to meet local, regional or global demand for energy, and efforts by us or our customers, to reduce greenhouse gas emissions or operating intensity thereof;</w:t>
      </w:r>
    </w:p>
    <w:p>
      <w:pPr>
        <w:pStyle w:val="TextBody"/>
        <w:bidi w:val="0"/>
        <w:spacing w:before="0" w:after="0"/>
        <w:ind w:left="360" w:right="0" w:hanging="0"/>
        <w:jc w:val="both"/>
        <w:rPr/>
      </w:pPr>
      <w:r>
        <w:rPr/>
        <w:t>◾</w:t>
      </w:r>
      <w:r>
        <w:rPr>
          <w:rFonts w:ascii="Arial Narrow" w:hAnsi="Arial Narrow"/>
          <w:sz w:val="17"/>
        </w:rPr>
        <w:t>liquidity, including availability under our Secured Credit Facility, as defined in this periodic report, and adequacy of cash flows for our obligations;</w:t>
      </w:r>
    </w:p>
    <w:p>
      <w:pPr>
        <w:pStyle w:val="TextBody"/>
        <w:bidi w:val="0"/>
        <w:spacing w:before="0" w:after="0"/>
        <w:ind w:left="360" w:right="0" w:hanging="0"/>
        <w:jc w:val="both"/>
        <w:rPr/>
      </w:pPr>
      <w:r>
        <w:rPr/>
        <w:t>◾</w:t>
      </w:r>
      <w:r>
        <w:rPr>
          <w:rFonts w:ascii="Arial Narrow" w:hAnsi="Arial Narrow"/>
          <w:sz w:val="17"/>
        </w:rPr>
        <w:t>debt, including interest rates, credit ratings and our evaluation or decisions with respect to any potential liability management transactions or strategic alternatives intended to prudently manage our liquidity, debt maturities and other aspects of our capital structure and any litigation, potential or alleged defaults and discussions with creditors related thereto;</w:t>
      </w:r>
    </w:p>
    <w:p>
      <w:pPr>
        <w:pStyle w:val="TextBody"/>
        <w:bidi w:val="0"/>
        <w:spacing w:before="0" w:after="0"/>
        <w:ind w:left="360" w:right="0" w:hanging="0"/>
        <w:jc w:val="both"/>
        <w:rPr/>
      </w:pPr>
      <w:r>
        <w:rPr/>
        <w:t>◾</w:t>
      </w:r>
      <w:r>
        <w:rPr>
          <w:rFonts w:ascii="Arial Narrow" w:hAnsi="Arial Narrow"/>
          <w:sz w:val="17"/>
        </w:rPr>
        <w:t>upgrade, shipyard, reactivations and other capital projects, including the level of expected capital expenditures and the timing and cost of completing capital projects, relinquishment or abandonment, expected downtime and lost revenues;</w:t>
      </w:r>
    </w:p>
    <w:p>
      <w:pPr>
        <w:pStyle w:val="TextBody"/>
        <w:bidi w:val="0"/>
        <w:spacing w:before="0" w:after="0"/>
        <w:ind w:left="360" w:right="0" w:hanging="0"/>
        <w:jc w:val="both"/>
        <w:rPr/>
      </w:pPr>
      <w:r>
        <w:rPr/>
        <w:t>◾</w:t>
      </w:r>
      <w:r>
        <w:rPr>
          <w:rFonts w:ascii="Arial Narrow" w:hAnsi="Arial Narrow"/>
          <w:sz w:val="17"/>
        </w:rPr>
        <w:t>the cost and timing of acquisitions and reactivations, and the proceeds and timing of dispositions;</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 Narrow" w:hAnsi="Arial Narrow"/>
                <w:b w:val="false"/>
                <w:i w:val="false"/>
                <w:caps w:val="false"/>
                <w:smallCaps w:val="false"/>
                <w:sz w:val="17"/>
              </w:rPr>
            </w:pPr>
            <w:r>
              <w:rPr>
                <w:rFonts w:ascii="Arial Narrow" w:hAnsi="Arial Narrow"/>
                <w:b w:val="false"/>
                <w:i w:val="false"/>
                <w:caps w:val="false"/>
                <w:smallCaps w:val="false"/>
                <w:sz w:val="17"/>
              </w:rPr>
              <w:t>our expectations regarding the timing, completion and anticipated benefits of the proposed business combination (the “Business Combination”) with Valaris Limited, an exempted company limited by shares incorporated under the laws of Bermuda (“Valaris”);</w:t>
            </w:r>
          </w:p>
        </w:tc>
      </w:tr>
    </w:tbl>
    <w:p>
      <w:pPr>
        <w:pStyle w:val="TextBody"/>
        <w:bidi w:val="0"/>
        <w:spacing w:before="0" w:after="0"/>
        <w:ind w:left="360" w:right="0" w:hanging="0"/>
        <w:jc w:val="both"/>
        <w:rPr/>
      </w:pPr>
      <w:r>
        <w:rPr/>
        <w:t>◾</w:t>
      </w:r>
      <w:r>
        <w:rPr>
          <w:rFonts w:ascii="Arial Narrow" w:hAnsi="Arial Narrow"/>
          <w:sz w:val="17"/>
        </w:rPr>
        <w:t>tax matters, including our effective tax rate, uncertain tax positions, changes in tax laws, treaties and regulations, tax assessments, tax incentive programs and liabilities for tax issues in the tax jurisdictions in which we operate or have a taxable presence;</w:t>
      </w:r>
    </w:p>
    <w:p>
      <w:pPr>
        <w:pStyle w:val="TextBody"/>
        <w:bidi w:val="0"/>
        <w:spacing w:before="0" w:after="0"/>
        <w:ind w:left="360" w:right="0" w:hanging="0"/>
        <w:jc w:val="both"/>
        <w:rPr/>
      </w:pPr>
      <w:r>
        <w:rPr/>
        <w:t>◾</w:t>
      </w:r>
      <w:r>
        <w:rPr>
          <w:rFonts w:ascii="Arial Narrow" w:hAnsi="Arial Narrow"/>
          <w:sz w:val="17"/>
        </w:rPr>
        <w:t>legal and regulatory matters, including results and effects of current or potential legal proceedings and governmental audits and assessments, outcomes and effects of internal and governmental investigations, customs and environmental matters;</w:t>
      </w:r>
    </w:p>
    <w:p>
      <w:pPr>
        <w:pStyle w:val="TextBody"/>
        <w:bidi w:val="0"/>
        <w:spacing w:before="0" w:after="0"/>
        <w:ind w:left="360" w:right="0" w:hanging="0"/>
        <w:jc w:val="both"/>
        <w:rPr/>
      </w:pPr>
      <w:r>
        <w:rPr/>
        <w:t>◾</w:t>
      </w:r>
      <w:r>
        <w:rPr>
          <w:rFonts w:ascii="Arial Narrow" w:hAnsi="Arial Narrow"/>
          <w:sz w:val="17"/>
        </w:rPr>
        <w:t>insurance matters, risk tolerance and risk response, including adequacy and solvency of insurance, renewal of insurance, insurance proceeds and cash investments of our wholly owned captive insurance company;</w:t>
      </w:r>
    </w:p>
    <w:p>
      <w:pPr>
        <w:pStyle w:val="TextBody"/>
        <w:bidi w:val="0"/>
        <w:spacing w:before="0" w:after="0"/>
        <w:ind w:left="360" w:right="0" w:hanging="0"/>
        <w:jc w:val="both"/>
        <w:rPr/>
      </w:pPr>
      <w:r>
        <w:rPr/>
        <w:t>◾</w:t>
      </w:r>
      <w:r>
        <w:rPr>
          <w:rFonts w:ascii="Arial Narrow" w:hAnsi="Arial Narrow"/>
          <w:sz w:val="17"/>
        </w:rPr>
        <w:t>effects of accounting changes and adoption of accounting policies; and</w:t>
      </w:r>
    </w:p>
    <w:p>
      <w:pPr>
        <w:pStyle w:val="TextBody"/>
        <w:bidi w:val="0"/>
        <w:ind w:left="360" w:right="0" w:hanging="0"/>
        <w:jc w:val="both"/>
        <w:rPr/>
      </w:pPr>
      <w:r>
        <w:rPr/>
        <w:t>◾</w:t>
      </w:r>
      <w:r>
        <w:rPr>
          <w:rFonts w:ascii="Arial Narrow" w:hAnsi="Arial Narrow"/>
          <w:sz w:val="17"/>
        </w:rPr>
        <w:t>investment in recruitment, retention and personnel development initiatives, the timing of, and other matters concerning, severance payments, benefit payments and maintaining agreements with labor unions</w:t>
      </w:r>
      <w:r>
        <w:rPr>
          <w:rFonts w:ascii="Arial Narrow" w:hAnsi="Arial Narrow"/>
          <w:sz w:val="18"/>
        </w:rPr>
        <w:t>.</w:t>
      </w:r>
    </w:p>
    <w:p>
      <w:pPr>
        <w:pStyle w:val="TextBody"/>
        <w:bidi w:val="0"/>
        <w:spacing w:before="120" w:after="40"/>
        <w:ind w:left="0" w:right="0" w:firstLine="360"/>
        <w:jc w:val="both"/>
        <w:rPr>
          <w:rFonts w:ascii="Arial Narrow" w:hAnsi="Arial Narrow"/>
          <w:sz w:val="19"/>
        </w:rPr>
      </w:pPr>
      <w:r>
        <w:rPr>
          <w:rFonts w:ascii="Arial Narrow" w:hAnsi="Arial Narrow"/>
          <w:sz w:val="19"/>
        </w:rPr>
        <w:t>Forward-looking statements in this quarterly report are identifiable by use of the following words and other similar expressions:</w:t>
      </w:r>
    </w:p>
    <w:tbl>
      <w:tblPr>
        <w:tblW w:w="7441" w:type="dxa"/>
        <w:jc w:val="left"/>
        <w:tblInd w:w="0" w:type="dxa"/>
        <w:tblLayout w:type="fixed"/>
        <w:tblCellMar>
          <w:top w:w="0" w:type="dxa"/>
          <w:left w:w="0" w:type="dxa"/>
          <w:bottom w:w="0" w:type="dxa"/>
          <w:right w:w="0" w:type="dxa"/>
        </w:tblCellMar>
      </w:tblPr>
      <w:tblGrid>
        <w:gridCol w:w="301"/>
        <w:gridCol w:w="781"/>
        <w:gridCol w:w="286"/>
        <w:gridCol w:w="601"/>
        <w:gridCol w:w="286"/>
        <w:gridCol w:w="721"/>
        <w:gridCol w:w="286"/>
        <w:gridCol w:w="691"/>
        <w:gridCol w:w="286"/>
        <w:gridCol w:w="451"/>
        <w:gridCol w:w="286"/>
        <w:gridCol w:w="601"/>
        <w:gridCol w:w="286"/>
        <w:gridCol w:w="736"/>
        <w:gridCol w:w="286"/>
        <w:gridCol w:w="556"/>
      </w:tblGrid>
      <w:tr>
        <w:trPr/>
        <w:tc>
          <w:tcPr>
            <w:tcW w:w="30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anticipates</w:t>
            </w:r>
          </w:p>
        </w:tc>
        <w:tc>
          <w:tcPr>
            <w:tcW w:w="28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budgets</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estimates</w:t>
            </w:r>
          </w:p>
        </w:tc>
        <w:tc>
          <w:tcPr>
            <w:tcW w:w="28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forecasts</w:t>
            </w:r>
          </w:p>
        </w:tc>
        <w:tc>
          <w:tcPr>
            <w:tcW w:w="28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may</w:t>
            </w:r>
          </w:p>
        </w:tc>
        <w:tc>
          <w:tcPr>
            <w:tcW w:w="28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plans</w:t>
            </w:r>
          </w:p>
        </w:tc>
        <w:tc>
          <w:tcPr>
            <w:tcW w:w="28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projects</w:t>
            </w:r>
          </w:p>
        </w:tc>
        <w:tc>
          <w:tcPr>
            <w:tcW w:w="28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should</w:t>
            </w:r>
          </w:p>
        </w:tc>
      </w:tr>
      <w:tr>
        <w:trPr/>
        <w:tc>
          <w:tcPr>
            <w:tcW w:w="30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believes</w:t>
            </w:r>
          </w:p>
        </w:tc>
        <w:tc>
          <w:tcPr>
            <w:tcW w:w="28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could</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expects</w:t>
            </w:r>
          </w:p>
        </w:tc>
        <w:tc>
          <w:tcPr>
            <w:tcW w:w="28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intends</w:t>
            </w:r>
          </w:p>
        </w:tc>
        <w:tc>
          <w:tcPr>
            <w:tcW w:w="28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might</w:t>
            </w:r>
          </w:p>
        </w:tc>
        <w:tc>
          <w:tcPr>
            <w:tcW w:w="28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predicts</w:t>
            </w:r>
          </w:p>
        </w:tc>
        <w:tc>
          <w:tcPr>
            <w:tcW w:w="28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scheduled</w:t>
            </w:r>
          </w:p>
        </w:tc>
        <w:tc>
          <w:tcPr>
            <w:tcW w:w="28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bl>
    <w:p>
      <w:pPr>
        <w:pStyle w:val="TextBody"/>
        <w:bidi w:val="0"/>
        <w:spacing w:before="120" w:after="40"/>
        <w:ind w:left="0" w:right="0" w:firstLine="360"/>
        <w:jc w:val="both"/>
        <w:rPr>
          <w:rFonts w:ascii="Arial Narrow" w:hAnsi="Arial Narrow"/>
          <w:sz w:val="19"/>
        </w:rPr>
      </w:pPr>
      <w:r>
        <w:rPr>
          <w:rFonts w:ascii="Arial Narrow" w:hAnsi="Arial Narrow"/>
          <w:sz w:val="19"/>
        </w:rPr>
        <w:t>Such statements are subject to numerous risks, uncertainties and assumptions, including, but not limited to:</w:t>
      </w:r>
    </w:p>
    <w:p>
      <w:pPr>
        <w:pStyle w:val="TextBody"/>
        <w:bidi w:val="0"/>
        <w:spacing w:before="0" w:after="0"/>
        <w:ind w:left="360" w:right="0" w:hanging="0"/>
        <w:jc w:val="both"/>
        <w:rPr/>
      </w:pPr>
      <w:r>
        <w:rPr/>
        <w:t>◾</w:t>
      </w:r>
      <w:r>
        <w:rPr>
          <w:rFonts w:ascii="Arial Narrow" w:hAnsi="Arial Narrow"/>
          <w:sz w:val="17"/>
        </w:rPr>
        <w:t>those described</w:t>
      </w:r>
      <w:r>
        <w:rPr>
          <w:rFonts w:ascii="Arial Narrow" w:hAnsi="Arial Narrow"/>
          <w:sz w:val="18"/>
        </w:rPr>
        <w:t xml:space="preserve"> </w:t>
      </w:r>
      <w:r>
        <w:rPr>
          <w:rFonts w:ascii="Arial Narrow" w:hAnsi="Arial Narrow"/>
          <w:sz w:val="17"/>
        </w:rPr>
        <w:t xml:space="preserve">under “Item 1A. Risk Factors” included in Part I of our annual report on </w:t>
      </w:r>
      <w:r>
        <w:fldChar w:fldCharType="begin"/>
      </w:r>
      <w:r>
        <w:rPr>
          <w:rStyle w:val="InternetLink"/>
          <w:smallCaps w:val="false"/>
          <w:caps w:val="false"/>
          <w:sz w:val="18"/>
          <w:i w:val="false"/>
          <w:b w:val="false"/>
          <w:rFonts w:ascii="Arial Narrow" w:hAnsi="Arial Narrow"/>
        </w:rPr>
        <w:instrText xml:space="preserve"> HYPERLINK "https://www.sec.gov/ix?doc=/Archives/edgar/data/0001451505/000145150526000018/rig-20251231x10k.htm" \l "fact-identifier-1793"</w:instrText>
      </w:r>
      <w:r>
        <w:rPr>
          <w:rStyle w:val="InternetLink"/>
          <w:smallCaps w:val="false"/>
          <w:caps w:val="false"/>
          <w:sz w:val="18"/>
          <w:i w:val="false"/>
          <w:b w:val="false"/>
          <w:rFonts w:ascii="Arial Narrow" w:hAnsi="Arial Narrow"/>
        </w:rPr>
        <w:fldChar w:fldCharType="separate"/>
      </w:r>
      <w:r>
        <w:rPr>
          <w:rStyle w:val="InternetLink"/>
          <w:rFonts w:ascii="Arial Narrow" w:hAnsi="Arial Narrow"/>
          <w:b w:val="false"/>
          <w:i w:val="false"/>
          <w:caps w:val="false"/>
          <w:smallCaps w:val="false"/>
          <w:sz w:val="18"/>
        </w:rPr>
        <w:t>Form 10-K for the year ended December 31, 2025</w:t>
      </w:r>
      <w:r>
        <w:rPr>
          <w:rStyle w:val="InternetLink"/>
          <w:smallCaps w:val="false"/>
          <w:caps w:val="false"/>
          <w:sz w:val="18"/>
          <w:i w:val="false"/>
          <w:b w:val="false"/>
          <w:rFonts w:ascii="Arial Narrow" w:hAnsi="Arial Narrow"/>
        </w:rPr>
        <w:fldChar w:fldCharType="end"/>
      </w:r>
      <w:r>
        <w:rPr>
          <w:rFonts w:ascii="Arial Narrow" w:hAnsi="Arial Narrow"/>
          <w:sz w:val="17"/>
        </w:rPr>
        <w:t>;</w:t>
      </w:r>
    </w:p>
    <w:p>
      <w:pPr>
        <w:pStyle w:val="TextBody"/>
        <w:bidi w:val="0"/>
        <w:spacing w:before="0" w:after="0"/>
        <w:ind w:left="360" w:right="0" w:hanging="0"/>
        <w:jc w:val="both"/>
        <w:rPr/>
      </w:pPr>
      <w:r>
        <w:rPr/>
        <w:t>◾</w:t>
      </w:r>
      <w:r>
        <w:rPr>
          <w:rFonts w:ascii="Arial Narrow" w:hAnsi="Arial Narrow"/>
          <w:sz w:val="17"/>
        </w:rPr>
        <w:t>the effects of actions by, or disputes among or between, members of the Organization of the Petroleum Exporting Countries and other oil and natural gas producing countries with respect to production levels or other matters related to the prices of oil and natural gas;</w:t>
      </w:r>
    </w:p>
    <w:p>
      <w:pPr>
        <w:pStyle w:val="TextBody"/>
        <w:bidi w:val="0"/>
        <w:spacing w:before="0" w:after="0"/>
        <w:ind w:left="360" w:right="0" w:hanging="0"/>
        <w:jc w:val="both"/>
        <w:rPr/>
      </w:pPr>
      <w:r>
        <w:rPr/>
        <w:t>◾</w:t>
      </w:r>
      <w:r>
        <w:rPr>
          <w:rFonts w:ascii="Arial Narrow" w:hAnsi="Arial Narrow"/>
          <w:sz w:val="17"/>
        </w:rPr>
        <w:t>the adequacy of and access to our sources of liquidity;</w:t>
      </w:r>
    </w:p>
    <w:p>
      <w:pPr>
        <w:pStyle w:val="TextBody"/>
        <w:bidi w:val="0"/>
        <w:spacing w:before="0" w:after="0"/>
        <w:ind w:left="360" w:right="0" w:hanging="0"/>
        <w:jc w:val="both"/>
        <w:rPr/>
      </w:pPr>
      <w:r>
        <w:rPr/>
        <w:t>◾</w:t>
      </w:r>
      <w:r>
        <w:rPr>
          <w:rFonts w:ascii="Arial Narrow" w:hAnsi="Arial Narrow"/>
          <w:sz w:val="17"/>
        </w:rPr>
        <w:t>our inability to renew drilling contracts at comparable, or improved, dayrates and to obtain drilling contracts for our rigs that do not have contracts;</w:t>
      </w:r>
    </w:p>
    <w:p>
      <w:pPr>
        <w:pStyle w:val="TextBody"/>
        <w:bidi w:val="0"/>
        <w:spacing w:before="0" w:after="0"/>
        <w:ind w:left="360" w:right="0" w:hanging="0"/>
        <w:jc w:val="both"/>
        <w:rPr/>
      </w:pPr>
      <w:r>
        <w:rPr/>
        <w:t>◾</w:t>
      </w:r>
      <w:r>
        <w:rPr>
          <w:rFonts w:ascii="Arial Narrow" w:hAnsi="Arial Narrow"/>
          <w:sz w:val="17"/>
        </w:rPr>
        <w:t>our operational performance;</w:t>
      </w:r>
    </w:p>
    <w:p>
      <w:pPr>
        <w:pStyle w:val="TextBody"/>
        <w:bidi w:val="0"/>
        <w:spacing w:before="0" w:after="0"/>
        <w:ind w:left="360" w:right="0" w:hanging="0"/>
        <w:jc w:val="both"/>
        <w:rPr/>
      </w:pPr>
      <w:r>
        <w:rPr/>
        <w:t>◾</w:t>
      </w:r>
      <w:r>
        <w:rPr>
          <w:rFonts w:ascii="Arial Narrow" w:hAnsi="Arial Narrow"/>
          <w:sz w:val="17"/>
        </w:rPr>
        <w:t>the cancellation of drilling contracts currently included in our reported contract backlog;</w:t>
      </w:r>
    </w:p>
    <w:p>
      <w:pPr>
        <w:pStyle w:val="TextBody"/>
        <w:bidi w:val="0"/>
        <w:spacing w:before="0" w:after="0"/>
        <w:ind w:left="360" w:right="0" w:hanging="0"/>
        <w:jc w:val="both"/>
        <w:rPr/>
      </w:pPr>
      <w:r>
        <w:rPr/>
        <w:t>◾</w:t>
      </w:r>
      <w:r>
        <w:rPr>
          <w:rFonts w:ascii="Arial Narrow" w:hAnsi="Arial Narrow"/>
          <w:sz w:val="17"/>
        </w:rPr>
        <w:t>losses on impairment of long-lived assets;</w:t>
      </w:r>
    </w:p>
    <w:p>
      <w:pPr>
        <w:pStyle w:val="TextBody"/>
        <w:bidi w:val="0"/>
        <w:spacing w:before="0" w:after="0"/>
        <w:ind w:left="360" w:right="0" w:hanging="0"/>
        <w:jc w:val="both"/>
        <w:rPr/>
      </w:pPr>
      <w:r>
        <w:rPr/>
        <w:t>◾</w:t>
      </w:r>
      <w:r>
        <w:rPr>
          <w:rFonts w:ascii="Arial Narrow" w:hAnsi="Arial Narrow"/>
          <w:sz w:val="17"/>
        </w:rPr>
        <w:t>shipyard and other delays;</w:t>
      </w:r>
    </w:p>
    <w:p>
      <w:pPr>
        <w:pStyle w:val="TextBody"/>
        <w:bidi w:val="0"/>
        <w:spacing w:before="0" w:after="0"/>
        <w:ind w:left="360" w:right="0" w:hanging="0"/>
        <w:jc w:val="both"/>
        <w:rPr/>
      </w:pPr>
      <w:r>
        <w:rPr/>
        <w:t>◾</w:t>
      </w:r>
      <w:r>
        <w:rPr>
          <w:rFonts w:ascii="Arial Narrow" w:hAnsi="Arial Narrow"/>
          <w:sz w:val="17"/>
        </w:rPr>
        <w:t>the results of meetings of our shareholders;</w:t>
      </w:r>
    </w:p>
    <w:p>
      <w:pPr>
        <w:pStyle w:val="TextBody"/>
        <w:bidi w:val="0"/>
        <w:spacing w:before="0" w:after="0"/>
        <w:ind w:left="360" w:right="0" w:hanging="0"/>
        <w:jc w:val="both"/>
        <w:rPr/>
      </w:pPr>
      <w:r>
        <w:rPr/>
        <w:t>◾</w:t>
      </w:r>
      <w:r>
        <w:rPr>
          <w:rFonts w:ascii="Arial Narrow" w:hAnsi="Arial Narrow"/>
          <w:sz w:val="17"/>
        </w:rPr>
        <w:t>changes in political, social and economic conditions, including the effects of political and military disputes;</w:t>
      </w:r>
    </w:p>
    <w:p>
      <w:pPr>
        <w:pStyle w:val="TextBody"/>
        <w:bidi w:val="0"/>
        <w:spacing w:before="0" w:after="0"/>
        <w:ind w:left="360" w:right="0" w:hanging="0"/>
        <w:jc w:val="both"/>
        <w:rPr/>
      </w:pPr>
      <w:r>
        <w:rPr/>
        <w:t>◾</w:t>
      </w:r>
      <w:r>
        <w:rPr>
          <w:rFonts w:ascii="Arial Narrow" w:hAnsi="Arial Narrow"/>
          <w:sz w:val="17"/>
        </w:rPr>
        <w:t>the possibility of changes in tax, environmental, trade, immigration and other laws, regulations and policies, including the imposition of tariffs, economic or trade sanctions or other trade barriers and actions of government that impact, whether directly or indirectly, oil and gas operations;</w:t>
      </w:r>
    </w:p>
    <w:p>
      <w:pPr>
        <w:pStyle w:val="TextBody"/>
        <w:bidi w:val="0"/>
        <w:spacing w:before="0" w:after="0"/>
        <w:ind w:left="360" w:right="0" w:hanging="0"/>
        <w:jc w:val="both"/>
        <w:rPr/>
      </w:pPr>
      <w:r>
        <w:rPr/>
        <w:t>◾</w:t>
      </w:r>
      <w:r>
        <w:rPr>
          <w:rFonts w:ascii="Arial Narrow" w:hAnsi="Arial Narrow"/>
          <w:sz w:val="17"/>
        </w:rPr>
        <w:t>the effect and results of litigation, regulatory matters, settlements, audits, assessments and contingencies;</w:t>
      </w:r>
    </w:p>
    <w:p>
      <w:pPr>
        <w:pStyle w:val="TextBody"/>
        <w:bidi w:val="0"/>
        <w:spacing w:before="0" w:after="0"/>
        <w:ind w:left="360" w:right="0" w:hanging="0"/>
        <w:jc w:val="both"/>
        <w:rPr/>
      </w:pPr>
      <w:r>
        <w:rPr/>
        <w:t>◾</w:t>
      </w:r>
      <w:r>
        <w:rPr>
          <w:rFonts w:ascii="Arial Narrow" w:hAnsi="Arial Narrow"/>
          <w:sz w:val="17"/>
        </w:rPr>
        <w:t>the availability of borrowings under our Secured Credit Facility, as well as the timing of any amendments thereto; and</w:t>
      </w:r>
    </w:p>
    <w:p>
      <w:pPr>
        <w:pStyle w:val="TextBody"/>
        <w:bidi w:val="0"/>
        <w:ind w:left="360" w:right="0" w:hanging="0"/>
        <w:jc w:val="both"/>
        <w:rPr/>
      </w:pPr>
      <w:r>
        <w:rPr/>
        <w:t>◾</w:t>
      </w:r>
      <w:r>
        <w:rPr>
          <w:rFonts w:ascii="Arial Narrow" w:hAnsi="Arial Narrow"/>
          <w:sz w:val="17"/>
        </w:rPr>
        <w:t xml:space="preserve">other factors discussed in this quarterly report and in our other filings with the U.S. Securities and Exchange Commission (“SEC”), which are available free of charge on the SEC website at </w:t>
      </w:r>
      <w:r>
        <w:rPr>
          <w:rFonts w:ascii="Arial Narrow" w:hAnsi="Arial Narrow"/>
          <w:i/>
          <w:sz w:val="17"/>
        </w:rPr>
        <w:t>www.sec.gov</w:t>
      </w:r>
      <w:r>
        <w:rPr>
          <w:rFonts w:ascii="Arial Narrow" w:hAnsi="Arial Narrow"/>
          <w:sz w:val="17"/>
        </w:rPr>
        <w:t>.</w:t>
      </w:r>
    </w:p>
    <w:p>
      <w:pPr>
        <w:pStyle w:val="TextBody"/>
        <w:bidi w:val="0"/>
        <w:spacing w:before="80" w:after="60"/>
        <w:ind w:left="0" w:right="0" w:firstLine="360"/>
        <w:jc w:val="both"/>
        <w:rPr>
          <w:rFonts w:ascii="Arial Narrow" w:hAnsi="Arial Narrow"/>
          <w:sz w:val="18"/>
        </w:rPr>
      </w:pPr>
      <w:r>
        <w:rPr>
          <w:rFonts w:ascii="Arial Narrow" w:hAnsi="Arial Narrow"/>
          <w:sz w:val="19"/>
        </w:rPr>
        <w:t>The foregoing risks and uncertainties are beyond our ability to control, and in many cases, we cannot predict the risks and uncertainties that could cause our actual results to differ materially from those indicated by the forward-looking statements.  Should one or more of these risks or uncertainties materialize, or should underlying assumptions prove incorrect, actual results may vary materially from those indicated.  All subsequent written and oral forward-looking statements attributable to us or to persons acting on our behalf are expressly qualified in their entirety by reference to these risks and uncertainties.  You should not place undue reliance on forward-looking statements, each of which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w:t>
      </w:r>
      <w:r>
        <w:rPr>
          <w:rFonts w:ascii="Arial Narrow" w:hAnsi="Arial Narrow"/>
          <w:sz w:val="20"/>
        </w:rPr>
        <w:t>.</w:t>
      </w:r>
    </w:p>
    <w:p>
      <w:pPr>
        <w:pStyle w:val="TextBody"/>
        <w:bidi w:val="0"/>
        <w:spacing w:before="0" w:after="0"/>
        <w:ind w:left="0" w:right="0" w:hanging="0"/>
        <w:jc w:val="center"/>
        <w:rPr>
          <w:rFonts w:ascii="Arial Narrow" w:hAnsi="Arial Narrow"/>
          <w:sz w:val="20"/>
        </w:rPr>
      </w:pPr>
      <w:r>
        <w:rPr>
          <w:rFonts w:ascii="Arial Narrow" w:hAnsi="Arial Narrow"/>
          <w:sz w:val="20"/>
        </w:rPr>
        <w:t>- 12 -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bottom w:val="single" w:sz="18" w:space="1" w:color="ECA44A"/>
        </w:pBdr>
        <w:bidi w:val="0"/>
        <w:spacing w:before="0" w:after="60"/>
        <w:ind w:left="0" w:right="0" w:hanging="0"/>
        <w:jc w:val="left"/>
        <w:rPr>
          <w:rFonts w:ascii="Arial Narrow" w:hAnsi="Arial Narrow"/>
          <w:b/>
          <w:caps/>
          <w:color w:val="00556F"/>
          <w:sz w:val="22"/>
        </w:rPr>
      </w:pPr>
      <w:r>
        <w:rPr>
          <w:rFonts w:ascii="Arial Narrow" w:hAnsi="Arial Narrow"/>
          <w:b/>
          <w:caps/>
          <w:color w:val="00556F"/>
          <w:sz w:val="22"/>
        </w:rPr>
        <w:t>Introduction</w:t>
      </w:r>
    </w:p>
    <w:p>
      <w:pPr>
        <w:pStyle w:val="TextBody"/>
        <w:bidi w:val="0"/>
        <w:spacing w:before="60" w:after="120"/>
        <w:ind w:left="0" w:right="0" w:firstLine="720"/>
        <w:jc w:val="both"/>
        <w:rPr>
          <w:rFonts w:ascii="Arial Narrow" w:hAnsi="Arial Narrow"/>
          <w:sz w:val="20"/>
        </w:rPr>
      </w:pPr>
      <w:r>
        <w:rPr>
          <w:rFonts w:ascii="Arial Narrow" w:hAnsi="Arial Narrow"/>
          <w:sz w:val="20"/>
        </w:rPr>
        <w:t>Transocean Ltd. (together with its subsidiaries and predecessors, unless the context requires otherwise, “Transocean,” “we,” “us” or “our”) is a leading international provider of offshore contract drilling services for oil and gas wells.  As of April 28, 2026, we owned or had partial ownership interests in and operated 27 mobile offshore drilling units, consisting of 20 ultra-deepwater drillships and seven harsh environment semisubmersibles.</w:t>
      </w:r>
    </w:p>
    <w:p>
      <w:pPr>
        <w:pStyle w:val="TextBody"/>
        <w:bidi w:val="0"/>
        <w:spacing w:before="60" w:after="120"/>
        <w:ind w:left="0" w:right="0" w:firstLine="720"/>
        <w:jc w:val="both"/>
        <w:rPr>
          <w:rFonts w:ascii="Arial Narrow" w:hAnsi="Arial Narrow"/>
          <w:sz w:val="20"/>
        </w:rPr>
      </w:pPr>
      <w:r>
        <w:rPr>
          <w:rFonts w:ascii="Arial Narrow" w:hAnsi="Arial Narrow"/>
          <w:sz w:val="20"/>
        </w:rPr>
        <w:t>We provide, as our primary business, contract drilling services in a single operating segment, which involves contracting our mobile offshore drilling rigs, related equipment and work crews to drill oil and gas wells.  We specialize in technically demanding regions of the global offshore drilling business with a particular focus on ultra-deepwater and harsh environment drilling services.  Our drilling fleet is one of the most versatile fleets in the world, consisting of drillships and semisubmersible floaters used in support of offshore drilling activities and offshore support services on a worldwide basis.</w:t>
      </w:r>
    </w:p>
    <w:p>
      <w:pPr>
        <w:pStyle w:val="TextBody"/>
        <w:bidi w:val="0"/>
        <w:spacing w:before="60" w:after="120"/>
        <w:ind w:left="0" w:right="0" w:firstLine="720"/>
        <w:jc w:val="both"/>
        <w:rPr>
          <w:rFonts w:ascii="Arial Narrow" w:hAnsi="Arial Narrow"/>
          <w:sz w:val="20"/>
        </w:rPr>
      </w:pPr>
      <w:r>
        <w:rPr>
          <w:rFonts w:ascii="Arial Narrow" w:hAnsi="Arial Narrow"/>
          <w:sz w:val="20"/>
        </w:rPr>
        <w:t>We perform contract drilling services by deploying our high-specification fleet in a single, global market that is geographically dispersed in oil and gas exploration and development areas throughout the world.  Although rigs can be moved from one region to another, the cost of moving rigs and the availability of rig-moving vessels may cause the supply and demand balance to fluctuate somewhat between regions.  Still, significant variations between regions do not tend to persist long term because of rig mobility.  The location of our rigs and the allocation of resources to operate, build or upgrade our rigs are determined by the activities and needs of our customers.</w:t>
      </w:r>
    </w:p>
    <w:p>
      <w:pPr>
        <w:pStyle w:val="TextBody"/>
        <w:bidi w:val="0"/>
        <w:spacing w:before="60" w:after="120"/>
        <w:ind w:left="0" w:right="0" w:firstLine="720"/>
        <w:jc w:val="both"/>
        <w:rPr/>
      </w:pPr>
      <w:r>
        <w:rPr>
          <w:rFonts w:ascii="Arial Narrow" w:hAnsi="Arial Narrow"/>
          <w:sz w:val="20"/>
        </w:rPr>
        <w:t>Our discussion and analysis of our financial condition, operating results and liquidity and capital resources are based upon, and should be read in conjunction with, our condensed consolidated financial statements and the notes thereto, included under “</w:t>
      </w:r>
      <w:hyperlink w:anchor="Item1FinancialStatements">
        <w:r>
          <w:rPr>
            <w:rStyle w:val="InternetLink"/>
            <w:rFonts w:ascii="Arial Narrow" w:hAnsi="Arial Narrow"/>
            <w:b w:val="false"/>
            <w:i w:val="false"/>
            <w:caps w:val="false"/>
            <w:smallCaps w:val="false"/>
            <w:sz w:val="20"/>
          </w:rPr>
          <w:t>Item 1. Financial Statements</w:t>
        </w:r>
      </w:hyperlink>
      <w:r>
        <w:rPr>
          <w:rFonts w:ascii="Arial Narrow" w:hAnsi="Arial Narrow"/>
          <w:sz w:val="20"/>
        </w:rPr>
        <w:t xml:space="preserve">” in this quarterly report on Form 10-Q and with “Part II. Item 7. Management’s Discussion and Analysis of Financial Condition and Results of Operations” in our annual report on </w:t>
      </w:r>
      <w:r>
        <w:fldChar w:fldCharType="begin"/>
      </w:r>
      <w:r>
        <w:rPr>
          <w:rStyle w:val="InternetLink"/>
          <w:smallCaps w:val="false"/>
          <w:caps w:val="false"/>
          <w:sz w:val="20"/>
          <w:i w:val="false"/>
          <w:b w:val="false"/>
          <w:rFonts w:ascii="Arial Narrow" w:hAnsi="Arial Narrow"/>
        </w:rPr>
        <w:instrText xml:space="preserve"> HYPERLINK "https://www.sec.gov/ix?doc=/Archives/edgar/data/0001451505/000145150526000018/rig-20251231x10k.htm" \l "fact-identifier-1793"</w:instrText>
      </w:r>
      <w:r>
        <w:rPr>
          <w:rStyle w:val="InternetLink"/>
          <w:smallCaps w:val="false"/>
          <w:caps w:val="false"/>
          <w:sz w:val="20"/>
          <w:i w:val="false"/>
          <w:b w:val="false"/>
          <w:rFonts w:ascii="Arial Narrow" w:hAnsi="Arial Narrow"/>
        </w:rPr>
        <w:fldChar w:fldCharType="separate"/>
      </w:r>
      <w:r>
        <w:rPr>
          <w:rStyle w:val="InternetLink"/>
          <w:rFonts w:ascii="Arial Narrow" w:hAnsi="Arial Narrow"/>
          <w:b w:val="false"/>
          <w:i w:val="false"/>
          <w:caps w:val="false"/>
          <w:smallCaps w:val="false"/>
          <w:sz w:val="20"/>
        </w:rPr>
        <w:t>Form 10-K for the year ended December 31, 2025</w:t>
      </w:r>
      <w:r>
        <w:rPr>
          <w:rStyle w:val="InternetLink"/>
          <w:smallCaps w:val="false"/>
          <w:caps w:val="false"/>
          <w:sz w:val="20"/>
          <w:i w:val="false"/>
          <w:b w:val="false"/>
          <w:rFonts w:ascii="Arial Narrow" w:hAnsi="Arial Narrow"/>
        </w:rPr>
        <w:fldChar w:fldCharType="end"/>
      </w:r>
      <w:r>
        <w:rPr>
          <w:rFonts w:ascii="Arial Narrow" w:hAnsi="Arial Narrow"/>
          <w:sz w:val="20"/>
        </w:rPr>
        <w: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r>
        <w:rPr>
          <w:rFonts w:ascii="Arial Narrow" w:hAnsi="Arial Narrow"/>
          <w:b/>
          <w:caps/>
          <w:color w:val="00556F"/>
          <w:sz w:val="22"/>
        </w:rPr>
        <w:t>Significant Events</w:t>
      </w:r>
    </w:p>
    <w:p>
      <w:pPr>
        <w:pStyle w:val="TextBody"/>
        <w:bidi w:val="0"/>
        <w:spacing w:before="60" w:after="120"/>
        <w:ind w:left="0" w:right="0" w:firstLine="720"/>
        <w:jc w:val="both"/>
        <w:rPr/>
      </w:pPr>
      <w:r>
        <w:rPr>
          <w:rFonts w:ascii="Arial Narrow" w:hAnsi="Arial Narrow"/>
          <w:b/>
          <w:sz w:val="20"/>
        </w:rPr>
        <w:t>Agreement to acquire Valaris</w:t>
      </w:r>
      <w:r>
        <w:rPr>
          <w:rFonts w:ascii="Arial Narrow" w:hAnsi="Arial Narrow"/>
          <w:sz w:val="20"/>
        </w:rPr>
        <w:t>—On February 9, 2026, we and Valaris entered into a Business Combination Agreement (the "Agreement") providing for the Business Combination.  Pursuant to the Agreement, and on the terms and subject to the conditions thereof, we will acquire all of the issued and outstanding common shares, par value $0.01 each, of Valaris (the “Valaris Shares”) in exchange for Transocean Ltd. shares, par value $0.10 each, at an exchange ratio of 15.235 Transocean Ltd. shares for each Valaris Share.  See Notes to Consolidated Financial Statements—</w:t>
      </w:r>
      <w:hyperlink w:anchor="FN_Business">
        <w:r>
          <w:rPr>
            <w:rStyle w:val="InternetLink"/>
            <w:rFonts w:ascii="Arial Narrow" w:hAnsi="Arial Narrow"/>
            <w:b w:val="false"/>
            <w:i w:val="false"/>
            <w:caps w:val="false"/>
            <w:smallCaps w:val="false"/>
            <w:sz w:val="20"/>
          </w:rPr>
          <w:t>Note 1—Business</w:t>
        </w:r>
      </w:hyperlink>
      <w:r>
        <w:rPr>
          <w:rFonts w:ascii="Arial Narrow" w:hAnsi="Arial Narrow"/>
          <w:sz w:val="20"/>
        </w:rPr>
        <w:t>.</w:t>
      </w:r>
    </w:p>
    <w:p>
      <w:pPr>
        <w:pStyle w:val="TextBody"/>
        <w:bidi w:val="0"/>
        <w:spacing w:before="60" w:after="120"/>
        <w:ind w:left="0" w:right="0" w:firstLine="720"/>
        <w:jc w:val="both"/>
        <w:rPr/>
      </w:pPr>
      <w:r>
        <w:rPr>
          <w:rFonts w:ascii="Arial Narrow" w:hAnsi="Arial Narrow"/>
          <w:b/>
          <w:sz w:val="20"/>
        </w:rPr>
        <w:t>Disposal of assets</w:t>
      </w:r>
      <w:r>
        <w:rPr>
          <w:rFonts w:ascii="Arial Narrow" w:hAnsi="Arial Narrow"/>
          <w:sz w:val="20"/>
        </w:rPr>
        <w:t xml:space="preserve">—In the three months ended March 31, 2026, we completed the sale of the ultra-deepwater floaters </w:t>
      </w:r>
      <w:r>
        <w:rPr>
          <w:rFonts w:ascii="Arial Narrow" w:hAnsi="Arial Narrow"/>
          <w:i/>
          <w:sz w:val="20"/>
        </w:rPr>
        <w:t xml:space="preserve">Deepwater Champion </w:t>
      </w:r>
      <w:r>
        <w:rPr>
          <w:rFonts w:ascii="Arial Narrow" w:hAnsi="Arial Narrow"/>
          <w:sz w:val="20"/>
        </w:rPr>
        <w:t xml:space="preserve">and </w:t>
      </w:r>
      <w:r>
        <w:rPr>
          <w:rFonts w:ascii="Arial Narrow" w:hAnsi="Arial Narrow"/>
          <w:i/>
          <w:sz w:val="20"/>
          <w:shd w:fill="FFFFFF" w:val="clear"/>
        </w:rPr>
        <w:t>Discoverer India</w:t>
      </w:r>
      <w:r>
        <w:rPr>
          <w:rFonts w:ascii="Arial Narrow" w:hAnsi="Arial Narrow"/>
          <w:sz w:val="20"/>
        </w:rPr>
        <w:t>, together with related assets, for aggregate net cash proceeds of $27 million, including $3 million received as a deposit in the year ended December 31, 2025.  See “</w:t>
      </w:r>
      <w:hyperlink w:anchor="LiquidityAndCapitalResources">
        <w:r>
          <w:rPr>
            <w:rStyle w:val="InternetLink"/>
            <w:rFonts w:ascii="Arial Narrow" w:hAnsi="Arial Narrow"/>
            <w:caps w:val="false"/>
            <w:smallCaps w:val="false"/>
            <w:sz w:val="20"/>
          </w:rPr>
          <w:t>—</w:t>
        </w:r>
      </w:hyperlink>
      <w:hyperlink w:anchor="LiquidityAndCapitalResources">
        <w:r>
          <w:rPr>
            <w:rStyle w:val="InternetLink"/>
            <w:rFonts w:ascii="Arial Narrow" w:hAnsi="Arial Narrow"/>
            <w:b w:val="false"/>
            <w:i w:val="false"/>
            <w:caps w:val="false"/>
            <w:smallCaps w:val="false"/>
            <w:sz w:val="20"/>
          </w:rPr>
          <w:t>Liquidity and Capital Resources</w:t>
        </w:r>
      </w:hyperlink>
      <w:r>
        <w:rPr>
          <w:rFonts w:ascii="Arial Narrow" w:hAnsi="Arial Narrow"/>
          <w:sz w:val="20"/>
        </w:rPr>
        <w:t>.”</w:t>
      </w:r>
    </w:p>
    <w:p>
      <w:pPr>
        <w:pStyle w:val="TextBody"/>
        <w:bidi w:val="0"/>
        <w:spacing w:before="60" w:after="120"/>
        <w:ind w:left="0" w:right="0" w:firstLine="720"/>
        <w:jc w:val="both"/>
        <w:rPr/>
      </w:pPr>
      <w:r>
        <w:rPr>
          <w:rFonts w:ascii="Arial Narrow" w:hAnsi="Arial Narrow"/>
          <w:b/>
          <w:sz w:val="20"/>
        </w:rPr>
        <w:t>Debt redemption</w:t>
      </w:r>
      <w:r>
        <w:rPr>
          <w:rFonts w:ascii="Arial Narrow" w:hAnsi="Arial Narrow"/>
          <w:sz w:val="20"/>
        </w:rPr>
        <w:t>—In March 2026, we made a cash payment of $365 million, including an early redemption premium, to retire the outstanding $358 million aggregate principal amount of the 8.375% senior secured notes due February 2028 (the “8.375% Senior Secured Notes”).  See “</w:t>
      </w:r>
      <w:hyperlink w:anchor="LiquidityAndCapitalResources">
        <w:r>
          <w:rPr>
            <w:rStyle w:val="InternetLink"/>
            <w:rFonts w:ascii="Arial Narrow" w:hAnsi="Arial Narrow"/>
            <w:caps w:val="false"/>
            <w:smallCaps w:val="false"/>
            <w:sz w:val="20"/>
          </w:rPr>
          <w:t>—</w:t>
        </w:r>
      </w:hyperlink>
      <w:hyperlink w:anchor="LiquidityAndCapitalResources">
        <w:r>
          <w:rPr>
            <w:rStyle w:val="InternetLink"/>
            <w:rFonts w:ascii="Arial Narrow" w:hAnsi="Arial Narrow"/>
            <w:b w:val="false"/>
            <w:i w:val="false"/>
            <w:caps w:val="false"/>
            <w:smallCaps w:val="false"/>
            <w:sz w:val="20"/>
          </w:rPr>
          <w:t>Liquidity and Capital Resources</w:t>
        </w:r>
      </w:hyperlink>
      <w:r>
        <w:rPr>
          <w:rFonts w:ascii="Arial Narrow" w:hAnsi="Arial Narrow"/>
          <w:sz w:val="20"/>
        </w:rPr>
        <w:t>.”</w:t>
      </w:r>
    </w:p>
    <w:p>
      <w:pPr>
        <w:pStyle w:val="TextBody"/>
        <w:bidi w:val="0"/>
        <w:spacing w:before="60" w:after="120"/>
        <w:ind w:left="0" w:right="0" w:firstLine="720"/>
        <w:jc w:val="both"/>
        <w:rPr/>
      </w:pPr>
      <w:r>
        <w:rPr>
          <w:rFonts w:ascii="Arial Narrow" w:hAnsi="Arial Narrow"/>
          <w:b/>
          <w:sz w:val="20"/>
        </w:rPr>
        <w:t>Exercised warrants</w:t>
      </w:r>
      <w:r>
        <w:rPr>
          <w:rFonts w:ascii="Arial Narrow" w:hAnsi="Arial Narrow"/>
          <w:sz w:val="20"/>
        </w:rPr>
        <w:t>—In April 2026, we issued 9.7 million Transocean Ltd. shares as net settlement of 22.2 million warrants exercised by holders to purchase Transocean Ltd. shares.  See “</w:t>
      </w:r>
      <w:hyperlink w:anchor="LiquidityAndCapitalResources">
        <w:r>
          <w:rPr>
            <w:rStyle w:val="InternetLink"/>
            <w:rFonts w:ascii="Arial Narrow" w:hAnsi="Arial Narrow"/>
            <w:caps w:val="false"/>
            <w:smallCaps w:val="false"/>
            <w:sz w:val="20"/>
          </w:rPr>
          <w:t>—</w:t>
        </w:r>
      </w:hyperlink>
      <w:hyperlink w:anchor="LiquidityAndCapitalResources">
        <w:r>
          <w:rPr>
            <w:rStyle w:val="InternetLink"/>
            <w:rFonts w:ascii="Arial Narrow" w:hAnsi="Arial Narrow"/>
            <w:b w:val="false"/>
            <w:i w:val="false"/>
            <w:caps w:val="false"/>
            <w:smallCaps w:val="false"/>
            <w:sz w:val="20"/>
          </w:rPr>
          <w:t>Liquidity and Capital Resources</w:t>
        </w:r>
      </w:hyperlink>
      <w:r>
        <w:rPr>
          <w:rFonts w:ascii="Arial Narrow" w:hAnsi="Arial Narrow"/>
          <w:sz w:val="20"/>
        </w:rPr>
        <w: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r>
        <w:rPr>
          <w:rFonts w:ascii="Arial Narrow" w:hAnsi="Arial Narrow"/>
          <w:b/>
          <w:caps/>
          <w:color w:val="00556F"/>
          <w:sz w:val="22"/>
        </w:rPr>
        <w:t>Outlook</w:t>
      </w:r>
    </w:p>
    <w:p>
      <w:pPr>
        <w:pStyle w:val="TextBody"/>
        <w:bidi w:val="0"/>
        <w:spacing w:before="60" w:after="120"/>
        <w:ind w:left="0" w:right="0" w:firstLine="720"/>
        <w:jc w:val="both"/>
        <w:rPr>
          <w:rFonts w:ascii="Arial Narrow" w:hAnsi="Arial Narrow"/>
          <w:sz w:val="20"/>
        </w:rPr>
      </w:pPr>
      <w:r>
        <w:rPr>
          <w:rFonts w:ascii="Arial Narrow" w:hAnsi="Arial Narrow"/>
          <w:b/>
          <w:sz w:val="20"/>
        </w:rPr>
        <w:t>Drilling market</w:t>
      </w:r>
      <w:r>
        <w:rPr>
          <w:rFonts w:ascii="Arial Narrow" w:hAnsi="Arial Narrow"/>
          <w:sz w:val="20"/>
        </w:rPr>
        <w:t>—Our industry outlook remains positive, supported by numerous long-term forecasts indicating that hydrocarbons will continue to be a critical source of energy for the foreseeable future.  In response to supply chain constraints, limitations of renewable energy technologies, and persistent geopolitical instability, and most recently, the conflict in the Middle East, many governments and operators appear to be reassessing their energy strategies.  Rather than accelerating a shift away from fossil fuels, many policy makers are prioritizing energy security, including from domestic sources, resulting in a diverse and resilient supply portfolio.  This shift underscores the continued need for accessible, reliable, cost-effective, and transportable energy sources, with offshore oil and gas increasingly viewed as a strategic asset.  We believe these dynamics will support sustained, long-term demand for oil and natural gas.</w:t>
      </w:r>
    </w:p>
    <w:p>
      <w:pPr>
        <w:pStyle w:val="TextBody"/>
        <w:bidi w:val="0"/>
        <w:spacing w:before="60" w:after="120"/>
        <w:ind w:left="0" w:right="0" w:firstLine="720"/>
        <w:jc w:val="both"/>
        <w:rPr>
          <w:rFonts w:ascii="Arial Narrow" w:hAnsi="Arial Narrow"/>
          <w:sz w:val="20"/>
        </w:rPr>
      </w:pPr>
      <w:r>
        <w:rPr>
          <w:rFonts w:ascii="Arial Narrow" w:hAnsi="Arial Narrow"/>
          <w:sz w:val="20"/>
        </w:rPr>
        <w:t>In the context of the natural depletion of existing fields, maintaining current oil and natural gas production levels will require both the development of existing resources and continued investment in exploration to identify new reserve opportunities.  We believe that oil and natural gas producers will invest a greater portion of their budgets in offshore drilling, and particularly in deepwater, where resource potential, production longevity, and project economics are favorable, to achieve their production and reserve replacement targets.</w:t>
      </w:r>
    </w:p>
    <w:p>
      <w:pPr>
        <w:pStyle w:val="TextBody"/>
        <w:bidi w:val="0"/>
        <w:spacing w:before="60" w:after="120"/>
        <w:ind w:left="0" w:right="0" w:firstLine="720"/>
        <w:jc w:val="both"/>
        <w:rPr>
          <w:rFonts w:ascii="Arial Narrow" w:hAnsi="Arial Narrow"/>
          <w:sz w:val="20"/>
        </w:rPr>
      </w:pPr>
      <w:r>
        <w:rPr>
          <w:rFonts w:ascii="Arial Narrow" w:hAnsi="Arial Narrow"/>
          <w:sz w:val="20"/>
        </w:rPr>
        <w:t>Although hydrocarbon prices remain sensitive to geopolitical events, macroeconomic policy decisions, and short-term supply fluctuations, we expect the overall economics of deepwater projects to remain attractive.  Deepwater and harsh-environment fields continue to generate competitive economic returns and are of generally lower carbon intensity compared to many other hydrocarbon sources, making them consistently compelling for capital deployment.</w:t>
      </w:r>
    </w:p>
    <w:p>
      <w:pPr>
        <w:pStyle w:val="TextBody"/>
        <w:bidi w:val="0"/>
        <w:spacing w:before="0" w:after="0"/>
        <w:ind w:left="0" w:right="0" w:hanging="0"/>
        <w:jc w:val="center"/>
        <w:rPr>
          <w:rFonts w:ascii="Arial Narrow" w:hAnsi="Arial Narrow"/>
          <w:sz w:val="20"/>
        </w:rPr>
      </w:pPr>
      <w:r>
        <w:rPr>
          <w:rFonts w:ascii="Arial Narrow" w:hAnsi="Arial Narrow"/>
          <w:sz w:val="20"/>
        </w:rPr>
        <w:t>- 13 -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firstLine="720"/>
        <w:jc w:val="both"/>
        <w:rPr>
          <w:rFonts w:ascii="Arial Narrow" w:hAnsi="Arial Narrow"/>
          <w:sz w:val="20"/>
        </w:rPr>
      </w:pPr>
      <w:r>
        <w:rPr>
          <w:rFonts w:ascii="Arial Narrow" w:hAnsi="Arial Narrow"/>
          <w:sz w:val="20"/>
        </w:rPr>
        <w:t>While the long-term outlook for offshore drilling activity remains positive across all major deepwater sectors, we expect our customers to continue to exercise capital discipline.  Consistent with our prior expectations, tendering activity and contract awards increased during the first part of 2026.  Additional contract awards are anticipated through 2026 for projects commencing in 2027 and 2028.</w:t>
      </w:r>
    </w:p>
    <w:p>
      <w:pPr>
        <w:pStyle w:val="TextBody"/>
        <w:bidi w:val="0"/>
        <w:spacing w:before="60" w:after="120"/>
        <w:ind w:left="0" w:right="0" w:firstLine="720"/>
        <w:jc w:val="both"/>
        <w:rPr>
          <w:rFonts w:ascii="Arial Narrow" w:hAnsi="Arial Narrow"/>
          <w:sz w:val="20"/>
        </w:rPr>
      </w:pPr>
      <w:r>
        <w:rPr>
          <w:rFonts w:ascii="Arial Narrow" w:hAnsi="Arial Narrow"/>
          <w:sz w:val="20"/>
        </w:rPr>
        <w:t>We expect demand for harsh-environment rigs to remain strong through the end of the decade, driven primarily by activity in Norway – the largest market for such units – and by emerging opportunities in new geographies suited for harsh-environment capable rigs.  Several high-specification semisubmersible rigs that previously mobilized to other harsh-environment regions, such as Namibia, the Black Sea, and Australia, may ultimately return to the Norwegian North Sea depending on project requirements and market conditions.</w:t>
      </w:r>
    </w:p>
    <w:p>
      <w:pPr>
        <w:pStyle w:val="TextBody"/>
        <w:bidi w:val="0"/>
        <w:spacing w:before="60" w:after="120"/>
        <w:ind w:left="0" w:right="0" w:firstLine="720"/>
        <w:jc w:val="both"/>
        <w:rPr>
          <w:rFonts w:ascii="Arial Narrow" w:hAnsi="Arial Narrow"/>
          <w:sz w:val="20"/>
        </w:rPr>
      </w:pPr>
      <w:r>
        <w:rPr>
          <w:rFonts w:ascii="Arial Narrow" w:hAnsi="Arial Narrow"/>
          <w:b/>
          <w:sz w:val="20"/>
        </w:rPr>
        <w:t>Fleet status</w:t>
      </w:r>
      <w:r>
        <w:rPr>
          <w:rFonts w:ascii="Arial Narrow" w:hAnsi="Arial Narrow"/>
          <w:sz w:val="20"/>
        </w:rPr>
        <w:t>—We refer to the availability of our rigs in terms of the uncommitted fleet rate.  The uncommitted fleet rate is defined as the number of uncommitted days divided by the total number of rig calendar days in the measurement period, expressed as a percentage.  An uncommitted day is defined as a calendar day during which a rig is idle or stacked, is not contracted to a customer and is not committed to a shipyard.  The uncommitted fleet rates exclude the effect of priced options.  As of May 4, 2026, the uncommitted fleet rates for the remainder of 2026 and each of the four years in the period ending December 31, 2030 were as follows:</w:t>
      </w:r>
    </w:p>
    <w:tbl>
      <w:tblPr>
        <w:tblW w:w="5000" w:type="dxa"/>
        <w:jc w:val="left"/>
        <w:tblInd w:w="0" w:type="dxa"/>
        <w:tblLayout w:type="fixed"/>
        <w:tblCellMar>
          <w:top w:w="0" w:type="dxa"/>
          <w:left w:w="0" w:type="dxa"/>
          <w:bottom w:w="0" w:type="dxa"/>
          <w:right w:w="0" w:type="dxa"/>
        </w:tblCellMar>
      </w:tblPr>
      <w:tblGrid>
        <w:gridCol w:w="1816"/>
        <w:gridCol w:w="109"/>
        <w:gridCol w:w="256"/>
        <w:gridCol w:w="241"/>
        <w:gridCol w:w="109"/>
        <w:gridCol w:w="256"/>
        <w:gridCol w:w="241"/>
        <w:gridCol w:w="109"/>
        <w:gridCol w:w="256"/>
        <w:gridCol w:w="241"/>
        <w:gridCol w:w="109"/>
        <w:gridCol w:w="256"/>
        <w:gridCol w:w="241"/>
        <w:gridCol w:w="109"/>
        <w:gridCol w:w="256"/>
        <w:gridCol w:w="241"/>
        <w:gridCol w:w="154"/>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153160" cy="175895"/>
                      <wp:effectExtent l="0" t="0" r="0" b="0"/>
                      <wp:wrapNone/>
                      <wp:docPr id="148" name="Frame147"/>
                      <a:graphic xmlns:a="http://schemas.openxmlformats.org/drawingml/2006/main">
                        <a:graphicData uri="http://schemas.microsoft.com/office/word/2010/wordprocessingShape">
                          <wps:wsp>
                            <wps:cNvSpPr txBox="1"/>
                            <wps:spPr>
                              <a:xfrm>
                                <a:off x="0" y="0"/>
                                <a:ext cx="1153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895"/>
                      <wp:effectExtent l="0" t="0" r="0" b="0"/>
                      <wp:wrapNone/>
                      <wp:docPr id="149" name="Frame14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2560" cy="175895"/>
                      <wp:effectExtent l="0" t="0" r="0" b="0"/>
                      <wp:wrapNone/>
                      <wp:docPr id="150" name="Frame149"/>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3035" cy="175895"/>
                      <wp:effectExtent l="0" t="0" r="0" b="0"/>
                      <wp:wrapNone/>
                      <wp:docPr id="151" name="Frame150"/>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895"/>
                      <wp:effectExtent l="0" t="0" r="0" b="0"/>
                      <wp:wrapNone/>
                      <wp:docPr id="152" name="Frame15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2560" cy="175895"/>
                      <wp:effectExtent l="0" t="0" r="0" b="0"/>
                      <wp:wrapNone/>
                      <wp:docPr id="153" name="Frame152"/>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3035" cy="175895"/>
                      <wp:effectExtent l="0" t="0" r="0" b="0"/>
                      <wp:wrapNone/>
                      <wp:docPr id="154" name="Frame153"/>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895"/>
                      <wp:effectExtent l="0" t="0" r="0" b="0"/>
                      <wp:wrapNone/>
                      <wp:docPr id="155" name="Frame15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2560" cy="175895"/>
                      <wp:effectExtent l="0" t="0" r="0" b="0"/>
                      <wp:wrapNone/>
                      <wp:docPr id="156" name="Frame155"/>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3035" cy="175895"/>
                      <wp:effectExtent l="0" t="0" r="0" b="0"/>
                      <wp:wrapNone/>
                      <wp:docPr id="157" name="Frame156"/>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895"/>
                      <wp:effectExtent l="0" t="0" r="0" b="0"/>
                      <wp:wrapNone/>
                      <wp:docPr id="158" name="Frame15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2560" cy="175895"/>
                      <wp:effectExtent l="0" t="0" r="0" b="0"/>
                      <wp:wrapNone/>
                      <wp:docPr id="159" name="Frame158"/>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3035" cy="175895"/>
                      <wp:effectExtent l="0" t="0" r="0" b="0"/>
                      <wp:wrapNone/>
                      <wp:docPr id="160" name="Frame159"/>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895"/>
                      <wp:effectExtent l="0" t="0" r="0" b="0"/>
                      <wp:wrapNone/>
                      <wp:docPr id="161" name="Frame16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2560" cy="175895"/>
                      <wp:effectExtent l="0" t="0" r="0" b="0"/>
                      <wp:wrapNone/>
                      <wp:docPr id="162" name="Frame161"/>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3035" cy="175895"/>
                      <wp:effectExtent l="0" t="0" r="0" b="0"/>
                      <wp:wrapNone/>
                      <wp:docPr id="163" name="Frame162"/>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7790" cy="175895"/>
                      <wp:effectExtent l="0" t="0" r="0" b="0"/>
                      <wp:wrapNone/>
                      <wp:docPr id="164" name="Frame163"/>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2027</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2028</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2029</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2030</w:t>
            </w:r>
          </w:p>
        </w:tc>
        <w:tc>
          <w:tcPr>
            <w:tcW w:w="154" w:type="dxa"/>
            <w:tcBorders/>
            <w:vAlign w:val="center"/>
          </w:tcPr>
          <w:p>
            <w:pPr>
              <w:pStyle w:val="TableContents"/>
              <w:bidi w:val="0"/>
              <w:spacing w:before="1" w:after="1"/>
              <w:ind w:left="0" w:right="0" w:hanging="0"/>
              <w:jc w:val="center"/>
              <w:rPr/>
            </w:pPr>
            <w:r>
              <w:rPr/>
              <w:t>​</w:t>
            </w:r>
          </w:p>
        </w:tc>
      </w:tr>
      <w:tr>
        <w:trPr/>
        <w:tc>
          <w:tcPr>
            <w:tcW w:w="1816" w:type="dxa"/>
            <w:tcBorders/>
            <w:vAlign w:val="center"/>
          </w:tcPr>
          <w:p>
            <w:pPr>
              <w:pStyle w:val="TableContents"/>
              <w:bidi w:val="0"/>
              <w:spacing w:before="1" w:after="1"/>
              <w:ind w:left="0" w:right="0" w:hanging="0"/>
              <w:jc w:val="both"/>
              <w:rPr>
                <w:rFonts w:ascii="Arial Narrow" w:hAnsi="Arial Narrow"/>
                <w:b/>
                <w:sz w:val="18"/>
              </w:rPr>
            </w:pPr>
            <w:r>
              <w:rPr>
                <w:rFonts w:ascii="Arial Narrow" w:hAnsi="Arial Narrow"/>
                <w:b/>
                <w:sz w:val="18"/>
              </w:rPr>
              <w:t>Uncommitted fleet rate</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54" w:type="dxa"/>
            <w:tcBorders/>
            <w:vAlign w:val="center"/>
          </w:tcPr>
          <w:p>
            <w:pPr>
              <w:pStyle w:val="TableContents"/>
              <w:bidi w:val="0"/>
              <w:spacing w:before="1" w:after="1"/>
              <w:ind w:left="0" w:right="0" w:hanging="0"/>
              <w:jc w:val="center"/>
              <w:rPr/>
            </w:pPr>
            <w:r>
              <w:rPr/>
              <w:t>​</w:t>
            </w:r>
          </w:p>
        </w:tc>
      </w:tr>
      <w:tr>
        <w:trPr/>
        <w:tc>
          <w:tcPr>
            <w:tcW w:w="1816"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34</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37</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70</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81</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93</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1816"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80</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86</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92</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1" w:after="1"/>
              <w:ind w:left="0" w:right="0" w:hanging="0"/>
              <w:jc w:val="left"/>
              <w:rPr/>
            </w:pPr>
            <w:r>
              <w:rPr/>
              <w:t>​</w:t>
            </w:r>
          </w:p>
        </w:tc>
      </w:tr>
    </w:tbl>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669" w:name="PerformanceAndOtherKeyIndicators"/>
      <w:bookmarkEnd w:id="669"/>
      <w:r>
        <w:rPr>
          <w:rFonts w:ascii="Arial Narrow" w:hAnsi="Arial Narrow"/>
          <w:b/>
          <w:caps/>
          <w:color w:val="00556F"/>
          <w:sz w:val="22"/>
        </w:rPr>
        <w:t>Performance and Other Key Indicators</w:t>
      </w:r>
    </w:p>
    <w:p>
      <w:pPr>
        <w:pStyle w:val="TextBody"/>
        <w:bidi w:val="0"/>
        <w:spacing w:before="60" w:after="120"/>
        <w:ind w:left="0" w:right="0" w:firstLine="720"/>
        <w:jc w:val="both"/>
        <w:rPr>
          <w:rFonts w:ascii="Arial Narrow" w:hAnsi="Arial Narrow"/>
          <w:sz w:val="20"/>
        </w:rPr>
      </w:pPr>
      <w:r>
        <w:rPr>
          <w:rFonts w:ascii="Arial Narrow" w:hAnsi="Arial Narrow"/>
          <w:b/>
          <w:sz w:val="20"/>
        </w:rPr>
        <w:t>Contract backlog</w:t>
      </w:r>
      <w:r>
        <w:rPr>
          <w:rFonts w:ascii="Arial Narrow" w:hAnsi="Arial Narrow"/>
          <w:sz w:val="20"/>
        </w:rPr>
        <w:t>—We believe our contract backlog provides an indicator of our future revenue-earning opportunities.  Contract backlog is defined as the maximum contractual operating dayrate multiplied by the number of days remaining in the firm contract period, including certain performance-based provisions for which achievement is probable, and excluding provisions for mobilization, demobilization, contract preparation, other incentive provisions or reimbursement revenues, which are not expected to be material to our contract drilling revenues.  The contract backlog represents the maximum contract drilling revenues that can be earned considering the reported operating dayrate in effect during the firm contract period.  The contract backlog for our fleet was as follows:</w:t>
      </w:r>
    </w:p>
    <w:tbl>
      <w:tblPr>
        <w:tblW w:w="4645" w:type="dxa"/>
        <w:jc w:val="left"/>
        <w:tblInd w:w="0" w:type="dxa"/>
        <w:tblLayout w:type="fixed"/>
        <w:tblCellMar>
          <w:top w:w="0" w:type="dxa"/>
          <w:left w:w="0" w:type="dxa"/>
          <w:bottom w:w="0" w:type="dxa"/>
          <w:right w:w="0" w:type="dxa"/>
        </w:tblCellMar>
      </w:tblPr>
      <w:tblGrid>
        <w:gridCol w:w="1816"/>
        <w:gridCol w:w="146"/>
        <w:gridCol w:w="181"/>
        <w:gridCol w:w="451"/>
        <w:gridCol w:w="146"/>
        <w:gridCol w:w="223"/>
        <w:gridCol w:w="557"/>
        <w:gridCol w:w="146"/>
        <w:gridCol w:w="337"/>
        <w:gridCol w:w="171"/>
        <w:gridCol w:w="280"/>
        <w:gridCol w:w="37"/>
        <w:gridCol w:w="154"/>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153160" cy="175895"/>
                      <wp:effectExtent l="0" t="0" r="0" b="0"/>
                      <wp:wrapNone/>
                      <wp:docPr id="165" name="Frame164"/>
                      <a:graphic xmlns:a="http://schemas.openxmlformats.org/drawingml/2006/main">
                        <a:graphicData uri="http://schemas.microsoft.com/office/word/2010/wordprocessingShape">
                          <wps:wsp>
                            <wps:cNvSpPr txBox="1"/>
                            <wps:spPr>
                              <a:xfrm>
                                <a:off x="0" y="0"/>
                                <a:ext cx="1153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2710" cy="175895"/>
                      <wp:effectExtent l="0" t="0" r="0" b="0"/>
                      <wp:wrapNone/>
                      <wp:docPr id="166" name="Frame165"/>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left"/>
              <w:rPr/>
            </w:pPr>
            <w:r>
              <w:rPr/>
              <w:t>​</w:t>
            </w:r>
          </w:p>
        </w:tc>
        <w:tc>
          <w:tcPr>
            <w:tcW w:w="557"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left"/>
              <w:rPr/>
            </w:pPr>
            <w:r>
              <w:rPr/>
              <w:t>​</w:t>
            </w:r>
          </w:p>
        </w:tc>
        <w:tc>
          <w:tcPr>
            <w:tcW w:w="337" w:type="dxa"/>
            <w:tcBorders/>
            <w:vAlign w:val="center"/>
          </w:tcPr>
          <w:p>
            <w:pPr>
              <w:pStyle w:val="TableContents"/>
              <w:bidi w:val="0"/>
              <w:spacing w:before="1" w:after="1"/>
              <w:ind w:left="0" w:right="0" w:hanging="0"/>
              <w:jc w:val="left"/>
              <w:rPr/>
            </w:pPr>
            <w:r>
              <w:rPr/>
              <w:t>​</w:t>
            </w:r>
          </w:p>
        </w:tc>
        <w:tc>
          <w:tcPr>
            <w:tcW w:w="451" w:type="dxa"/>
            <w:gridSpan w:val="2"/>
            <w:tcBorders/>
            <w:vAlign w:val="center"/>
          </w:tcPr>
          <w:p>
            <w:pPr>
              <w:pStyle w:val="TableContents"/>
              <w:bidi w:val="0"/>
              <w:spacing w:before="1" w:after="1"/>
              <w:ind w:left="0" w:right="0" w:hanging="0"/>
              <w:jc w:val="left"/>
              <w:rPr/>
            </w:pPr>
            <w:r>
              <w:rPr/>
              <w:t>​</w:t>
            </w:r>
          </w:p>
        </w:tc>
        <w:tc>
          <w:tcPr>
            <w:tcW w:w="19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1285" cy="175895"/>
                      <wp:effectExtent l="0" t="0" r="0" b="0"/>
                      <wp:wrapNone/>
                      <wp:docPr id="167" name="Frame166"/>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May 4,</w:t>
            </w:r>
          </w:p>
        </w:tc>
        <w:tc>
          <w:tcPr>
            <w:tcW w:w="146" w:type="dxa"/>
            <w:tcBorders/>
            <w:vAlign w:val="center"/>
          </w:tcPr>
          <w:p>
            <w:pPr>
              <w:pStyle w:val="TableContents"/>
              <w:bidi w:val="0"/>
              <w:spacing w:before="1" w:after="1"/>
              <w:ind w:left="0" w:right="0" w:hanging="0"/>
              <w:jc w:val="center"/>
              <w:rPr/>
            </w:pPr>
            <w:r>
              <w:rPr/>
              <w:t>​</w:t>
            </w:r>
          </w:p>
        </w:tc>
        <w:tc>
          <w:tcPr>
            <w:tcW w:w="780"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February 19,</w:t>
            </w:r>
          </w:p>
        </w:tc>
        <w:tc>
          <w:tcPr>
            <w:tcW w:w="146" w:type="dxa"/>
            <w:tcBorders/>
            <w:vAlign w:val="center"/>
          </w:tcPr>
          <w:p>
            <w:pPr>
              <w:pStyle w:val="TableContents"/>
              <w:bidi w:val="0"/>
              <w:spacing w:before="1" w:after="1"/>
              <w:ind w:left="0" w:right="0" w:hanging="0"/>
              <w:jc w:val="center"/>
              <w:rPr/>
            </w:pPr>
            <w:r>
              <w:rPr/>
              <w:t>​</w:t>
            </w:r>
          </w:p>
        </w:tc>
        <w:tc>
          <w:tcPr>
            <w:tcW w:w="788" w:type="dxa"/>
            <w:gridSpan w:val="3"/>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April 16,</w:t>
            </w:r>
          </w:p>
        </w:tc>
        <w:tc>
          <w:tcPr>
            <w:tcW w:w="191" w:type="dxa"/>
            <w:gridSpan w:val="2"/>
            <w:tcBorders/>
            <w:vAlign w:val="center"/>
          </w:tcPr>
          <w:p>
            <w:pPr>
              <w:pStyle w:val="TableContents"/>
              <w:bidi w:val="0"/>
              <w:spacing w:before="1" w:after="1"/>
              <w:ind w:left="0" w:right="0" w:hanging="0"/>
              <w:jc w:val="center"/>
              <w:rPr/>
            </w:pPr>
            <w:r>
              <w:rPr/>
              <w:t>​</w:t>
            </w:r>
          </w:p>
        </w:tc>
      </w:tr>
      <w:tr>
        <w:trPr/>
        <w:tc>
          <w:tcPr>
            <w:tcW w:w="1816"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46" w:type="dxa"/>
            <w:tcBorders/>
            <w:vAlign w:val="center"/>
          </w:tcPr>
          <w:p>
            <w:pPr>
              <w:pStyle w:val="TableContents"/>
              <w:bidi w:val="0"/>
              <w:spacing w:before="1" w:after="1"/>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46" w:type="dxa"/>
            <w:tcBorders/>
            <w:vAlign w:val="center"/>
          </w:tcPr>
          <w:p>
            <w:pPr>
              <w:pStyle w:val="TableContents"/>
              <w:bidi w:val="0"/>
              <w:spacing w:before="1" w:after="1"/>
              <w:ind w:left="0" w:right="0" w:hanging="0"/>
              <w:jc w:val="center"/>
              <w:rPr/>
            </w:pPr>
            <w:r>
              <w:rPr/>
              <w:t>​</w:t>
            </w:r>
          </w:p>
        </w:tc>
        <w:tc>
          <w:tcPr>
            <w:tcW w:w="788"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2025</w:t>
            </w:r>
          </w:p>
        </w:tc>
        <w:tc>
          <w:tcPr>
            <w:tcW w:w="191" w:type="dxa"/>
            <w:gridSpan w:val="2"/>
            <w:tcBorders/>
            <w:vAlign w:val="center"/>
          </w:tcPr>
          <w:p>
            <w:pPr>
              <w:pStyle w:val="TableContents"/>
              <w:bidi w:val="0"/>
              <w:spacing w:before="1" w:after="1"/>
              <w:ind w:left="0" w:right="0" w:hanging="0"/>
              <w:jc w:val="center"/>
              <w:rPr/>
            </w:pPr>
            <w:r>
              <w:rPr/>
              <w:t>​</w:t>
            </w:r>
          </w:p>
        </w:tc>
      </w:tr>
      <w:tr>
        <w:trPr/>
        <w:tc>
          <w:tcPr>
            <w:tcW w:w="46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center"/>
              <w:rPr/>
            </w:pPr>
            <w:r>
              <w:rPr/>
              <w:t>​</w:t>
            </w:r>
          </w:p>
        </w:tc>
        <w:tc>
          <w:tcPr>
            <w:tcW w:w="2212" w:type="dxa"/>
            <w:gridSpan w:val="8"/>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(in millions)</w:t>
            </w:r>
          </w:p>
        </w:tc>
        <w:tc>
          <w:tcPr>
            <w:tcW w:w="317" w:type="dxa"/>
            <w:gridSpan w:val="2"/>
            <w:tcBorders/>
            <w:vAlign w:val="center"/>
          </w:tcPr>
          <w:p>
            <w:pPr>
              <w:pStyle w:val="TableContents"/>
              <w:bidi w:val="0"/>
              <w:spacing w:before="1" w:after="1"/>
              <w:ind w:left="0" w:right="0" w:hanging="0"/>
              <w:jc w:val="center"/>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Contract backlog</w:t>
            </w:r>
          </w:p>
        </w:tc>
        <w:tc>
          <w:tcPr>
            <w:tcW w:w="146"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center"/>
              <w:rPr/>
            </w:pPr>
            <w:r>
              <w:rPr/>
              <w:t>​</w:t>
            </w:r>
          </w:p>
        </w:tc>
        <w:tc>
          <w:tcPr>
            <w:tcW w:w="451"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center"/>
              <w:rPr/>
            </w:pPr>
            <w:r>
              <w:rPr/>
              <w:t>​</w:t>
            </w:r>
          </w:p>
        </w:tc>
        <w:tc>
          <w:tcPr>
            <w:tcW w:w="223" w:type="dxa"/>
            <w:tcBorders/>
            <w:vAlign w:val="center"/>
          </w:tcPr>
          <w:p>
            <w:pPr>
              <w:pStyle w:val="TableContents"/>
              <w:bidi w:val="0"/>
              <w:spacing w:before="1" w:after="1"/>
              <w:ind w:left="0" w:right="0" w:hanging="0"/>
              <w:jc w:val="center"/>
              <w:rPr/>
            </w:pPr>
            <w:r>
              <w:rPr/>
              <w:t>​</w:t>
            </w:r>
          </w:p>
        </w:tc>
        <w:tc>
          <w:tcPr>
            <w:tcW w:w="557"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center"/>
              <w:rPr/>
            </w:pPr>
            <w:r>
              <w:rPr/>
              <w:t>​</w:t>
            </w:r>
          </w:p>
        </w:tc>
        <w:tc>
          <w:tcPr>
            <w:tcW w:w="337" w:type="dxa"/>
            <w:tcBorders/>
            <w:vAlign w:val="center"/>
          </w:tcPr>
          <w:p>
            <w:pPr>
              <w:pStyle w:val="TableContents"/>
              <w:bidi w:val="0"/>
              <w:spacing w:before="1" w:after="1"/>
              <w:ind w:left="0" w:right="0" w:hanging="0"/>
              <w:jc w:val="center"/>
              <w:rPr/>
            </w:pPr>
            <w:r>
              <w:rPr/>
              <w:t>​</w:t>
            </w:r>
          </w:p>
        </w:tc>
        <w:tc>
          <w:tcPr>
            <w:tcW w:w="451" w:type="dxa"/>
            <w:gridSpan w:val="2"/>
            <w:tcBorders/>
            <w:vAlign w:val="center"/>
          </w:tcPr>
          <w:p>
            <w:pPr>
              <w:pStyle w:val="TableContents"/>
              <w:bidi w:val="0"/>
              <w:spacing w:before="1" w:after="1"/>
              <w:ind w:left="0" w:right="0" w:hanging="0"/>
              <w:jc w:val="center"/>
              <w:rPr/>
            </w:pPr>
            <w:r>
              <w:rPr/>
              <w:t>​</w:t>
            </w:r>
          </w:p>
        </w:tc>
        <w:tc>
          <w:tcPr>
            <w:tcW w:w="191" w:type="dxa"/>
            <w:gridSpan w:val="2"/>
            <w:tcBorders/>
            <w:vAlign w:val="center"/>
          </w:tcPr>
          <w:p>
            <w:pPr>
              <w:pStyle w:val="TableContents"/>
              <w:bidi w:val="0"/>
              <w:spacing w:before="1" w:after="1"/>
              <w:ind w:left="0" w:right="0" w:hanging="0"/>
              <w:jc w:val="center"/>
              <w:rPr/>
            </w:pPr>
            <w:r>
              <w:rPr/>
              <w:t>​</w:t>
            </w:r>
          </w:p>
        </w:tc>
      </w:tr>
      <w:tr>
        <w:trPr/>
        <w:tc>
          <w:tcPr>
            <w:tcW w:w="1816"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5,221</w:t>
            </w:r>
          </w:p>
        </w:tc>
        <w:tc>
          <w:tcPr>
            <w:tcW w:w="146" w:type="dxa"/>
            <w:tcBorders/>
            <w:shd w:fill="CEDBE0" w:val="clear"/>
            <w:vAlign w:val="center"/>
          </w:tcPr>
          <w:p>
            <w:pPr>
              <w:pStyle w:val="TableContents"/>
              <w:bidi w:val="0"/>
              <w:spacing w:before="1" w:after="1"/>
              <w:ind w:left="0" w:right="0" w:hanging="0"/>
              <w:jc w:val="left"/>
              <w:rPr/>
            </w:pPr>
            <w:r>
              <w:rPr/>
              <w:t> </w:t>
            </w:r>
          </w:p>
        </w:tc>
        <w:tc>
          <w:tcPr>
            <w:tcW w:w="22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7"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4,477</w:t>
            </w:r>
          </w:p>
        </w:tc>
        <w:tc>
          <w:tcPr>
            <w:tcW w:w="146" w:type="dxa"/>
            <w:tcBorders/>
            <w:shd w:fill="CEDBE0" w:val="clear"/>
            <w:vAlign w:val="center"/>
          </w:tcPr>
          <w:p>
            <w:pPr>
              <w:pStyle w:val="TableContents"/>
              <w:bidi w:val="0"/>
              <w:spacing w:before="1" w:after="1"/>
              <w:ind w:left="0" w:right="0" w:hanging="0"/>
              <w:jc w:val="left"/>
              <w:rPr/>
            </w:pPr>
            <w:r>
              <w:rPr/>
              <w:t> </w:t>
            </w:r>
          </w:p>
        </w:tc>
        <w:tc>
          <w:tcPr>
            <w:tcW w:w="33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gridSpan w:val="2"/>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6,040</w:t>
            </w:r>
          </w:p>
        </w:tc>
        <w:tc>
          <w:tcPr>
            <w:tcW w:w="191" w:type="dxa"/>
            <w:gridSpan w:val="2"/>
            <w:tcBorders/>
            <w:shd w:fill="CEDBE0" w:val="clear"/>
            <w:vAlign w:val="center"/>
          </w:tcPr>
          <w:p>
            <w:pPr>
              <w:pStyle w:val="TableContents"/>
              <w:bidi w:val="0"/>
              <w:spacing w:before="1" w:after="1"/>
              <w:ind w:left="0" w:right="0" w:hanging="0"/>
              <w:jc w:val="left"/>
              <w:rPr/>
            </w:pPr>
            <w:r>
              <w:rPr/>
              <w:t>​</w:t>
            </w:r>
          </w:p>
        </w:tc>
      </w:tr>
      <w:tr>
        <w:trPr/>
        <w:tc>
          <w:tcPr>
            <w:tcW w:w="1816"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4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1,907</w:t>
            </w:r>
          </w:p>
        </w:tc>
        <w:tc>
          <w:tcPr>
            <w:tcW w:w="146" w:type="dxa"/>
            <w:tcBorders/>
            <w:vAlign w:val="center"/>
          </w:tcPr>
          <w:p>
            <w:pPr>
              <w:pStyle w:val="TableContents"/>
              <w:bidi w:val="0"/>
              <w:spacing w:before="1"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557"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1,587</w:t>
            </w:r>
          </w:p>
        </w:tc>
        <w:tc>
          <w:tcPr>
            <w:tcW w:w="146" w:type="dxa"/>
            <w:tcBorders/>
            <w:vAlign w:val="center"/>
          </w:tcPr>
          <w:p>
            <w:pPr>
              <w:pStyle w:val="TableContents"/>
              <w:bidi w:val="0"/>
              <w:spacing w:before="1"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gridSpan w:val="2"/>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1,886</w:t>
            </w:r>
          </w:p>
        </w:tc>
        <w:tc>
          <w:tcPr>
            <w:tcW w:w="191" w:type="dxa"/>
            <w:gridSpan w:val="2"/>
            <w:tcBorders/>
            <w:vAlign w:val="center"/>
          </w:tcPr>
          <w:p>
            <w:pPr>
              <w:pStyle w:val="TableContents"/>
              <w:bidi w:val="0"/>
              <w:spacing w:before="1" w:after="1"/>
              <w:ind w:left="0" w:right="0" w:hanging="0"/>
              <w:jc w:val="left"/>
              <w:rPr/>
            </w:pPr>
            <w:r>
              <w:rPr/>
              <w:t>​</w:t>
            </w:r>
          </w:p>
        </w:tc>
      </w:tr>
      <w:tr>
        <w:trPr/>
        <w:tc>
          <w:tcPr>
            <w:tcW w:w="181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contract backlog</w:t>
            </w:r>
          </w:p>
        </w:tc>
        <w:tc>
          <w:tcPr>
            <w:tcW w:w="146" w:type="dxa"/>
            <w:tcBorders/>
            <w:shd w:fill="CEDBE0" w:val="clear"/>
            <w:vAlign w:val="center"/>
          </w:tcPr>
          <w:p>
            <w:pPr>
              <w:pStyle w:val="TableContents"/>
              <w:bidi w:val="0"/>
              <w:spacing w:before="1" w:after="1"/>
              <w:ind w:left="0" w:right="0" w:hanging="0"/>
              <w:jc w:val="left"/>
              <w:rPr/>
            </w:pPr>
            <w:r>
              <w:rPr/>
              <w:t> </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7,128</w:t>
            </w:r>
          </w:p>
        </w:tc>
        <w:tc>
          <w:tcPr>
            <w:tcW w:w="146" w:type="dxa"/>
            <w:tcBorders/>
            <w:shd w:fill="CEDBE0" w:val="clear"/>
            <w:vAlign w:val="center"/>
          </w:tcPr>
          <w:p>
            <w:pPr>
              <w:pStyle w:val="TableContents"/>
              <w:bidi w:val="0"/>
              <w:spacing w:before="1" w:after="1"/>
              <w:ind w:left="0" w:right="0" w:hanging="0"/>
              <w:jc w:val="left"/>
              <w:rPr/>
            </w:pPr>
            <w:r>
              <w:rPr/>
              <w:t> </w:t>
            </w:r>
          </w:p>
        </w:tc>
        <w:tc>
          <w:tcPr>
            <w:tcW w:w="223"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7"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6,064</w:t>
            </w:r>
          </w:p>
        </w:tc>
        <w:tc>
          <w:tcPr>
            <w:tcW w:w="146" w:type="dxa"/>
            <w:tcBorders/>
            <w:shd w:fill="CEDBE0" w:val="clear"/>
            <w:vAlign w:val="center"/>
          </w:tcPr>
          <w:p>
            <w:pPr>
              <w:pStyle w:val="TableContents"/>
              <w:bidi w:val="0"/>
              <w:spacing w:before="1" w:after="1"/>
              <w:ind w:left="0" w:right="0" w:hanging="0"/>
              <w:jc w:val="left"/>
              <w:rPr/>
            </w:pPr>
            <w:r>
              <w:rPr/>
              <w:t> </w:t>
            </w:r>
          </w:p>
        </w:tc>
        <w:tc>
          <w:tcPr>
            <w:tcW w:w="337"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gridSpan w:val="2"/>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7,926</w:t>
            </w:r>
          </w:p>
        </w:tc>
        <w:tc>
          <w:tcPr>
            <w:tcW w:w="191" w:type="dxa"/>
            <w:gridSpan w:val="2"/>
            <w:tcBorders/>
            <w:shd w:fill="CEDBE0" w:val="clear"/>
            <w:vAlign w:val="center"/>
          </w:tcPr>
          <w:p>
            <w:pPr>
              <w:pStyle w:val="TableContents"/>
              <w:bidi w:val="0"/>
              <w:spacing w:before="1" w:after="1"/>
              <w:ind w:left="0" w:right="0" w:hanging="0"/>
              <w:jc w:val="left"/>
              <w:rPr/>
            </w:pPr>
            <w:r>
              <w:rPr/>
              <w:t>​</w:t>
            </w:r>
          </w:p>
        </w:tc>
      </w:tr>
    </w:tbl>
    <w:p>
      <w:pPr>
        <w:pStyle w:val="TextBody"/>
        <w:bidi w:val="0"/>
        <w:spacing w:before="180" w:after="120"/>
        <w:ind w:left="0" w:right="0" w:firstLine="720"/>
        <w:jc w:val="both"/>
        <w:rPr>
          <w:rFonts w:ascii="Arial Narrow" w:hAnsi="Arial Narrow"/>
          <w:sz w:val="20"/>
        </w:rPr>
      </w:pPr>
      <w:r>
        <w:rPr>
          <w:rFonts w:ascii="Arial Narrow" w:hAnsi="Arial Narrow"/>
          <w:sz w:val="20"/>
        </w:rPr>
        <w:t>Our contract backlog includes only firm commitments, which are represented by signed drilling contracts or, in some cases, by other definitive agreements awaiting contract execution.  It does not include conditional agreements and options to extend firm commitments.</w:t>
      </w:r>
    </w:p>
    <w:p>
      <w:pPr>
        <w:pStyle w:val="TextBody"/>
        <w:bidi w:val="0"/>
        <w:spacing w:before="60" w:after="120"/>
        <w:ind w:left="0" w:right="0" w:firstLine="720"/>
        <w:jc w:val="both"/>
        <w:rPr>
          <w:rFonts w:ascii="Arial Narrow" w:hAnsi="Arial Narrow"/>
          <w:sz w:val="20"/>
        </w:rPr>
      </w:pPr>
      <w:r>
        <w:rPr>
          <w:rFonts w:ascii="Arial Narrow" w:hAnsi="Arial Narrow"/>
          <w:sz w:val="20"/>
        </w:rPr>
        <w:t>The contractual operating dayrate may be higher than the actual dayrate we ultimately receive because an alternative contractual dayrate, such as a waiting-on-weather rate, repair rate, standby rate or force majeure rate, may apply under certain circumstances, or because of a number of factors, including rig downtime or suspension of operations.  In certain contracts, the actual dayrate may be reduced to zero if, for example, repairs extend beyond a stated period of time.</w:t>
      </w:r>
    </w:p>
    <w:p>
      <w:pPr>
        <w:pStyle w:val="TextBody"/>
        <w:bidi w:val="0"/>
        <w:spacing w:before="60" w:after="120"/>
        <w:ind w:left="0" w:right="0" w:firstLine="720"/>
        <w:jc w:val="both"/>
        <w:rPr>
          <w:rFonts w:ascii="Arial Narrow" w:hAnsi="Arial Narrow"/>
          <w:sz w:val="20"/>
        </w:rPr>
      </w:pPr>
      <w:r>
        <w:rPr>
          <w:rFonts w:ascii="Arial Narrow" w:hAnsi="Arial Narrow"/>
          <w:b/>
          <w:sz w:val="20"/>
        </w:rPr>
        <w:t>Average daily revenue</w:t>
      </w:r>
      <w:r>
        <w:rPr>
          <w:rFonts w:ascii="Arial Narrow" w:hAnsi="Arial Narrow"/>
          <w:sz w:val="20"/>
        </w:rPr>
        <w:t>—We believe average daily revenue provides a comparative measurement unit for our revenue-earning performance.  Average daily revenue is defined as operating revenues, excluding revenues for contract terminations, reimbursements and contract intangible amortization, earned per operating day.  An operating day is defined as a day for which a rig is contracted to earn a dayrate during the firm contract period after operations commence.  The average daily revenue for our fleet was as follows:</w:t>
      </w:r>
    </w:p>
    <w:tbl>
      <w:tblPr>
        <w:tblW w:w="5436" w:type="dxa"/>
        <w:jc w:val="left"/>
        <w:tblInd w:w="0" w:type="dxa"/>
        <w:tblLayout w:type="fixed"/>
        <w:tblCellMar>
          <w:top w:w="0" w:type="dxa"/>
          <w:left w:w="0" w:type="dxa"/>
          <w:bottom w:w="0" w:type="dxa"/>
          <w:right w:w="0" w:type="dxa"/>
        </w:tblCellMar>
      </w:tblPr>
      <w:tblGrid>
        <w:gridCol w:w="2161"/>
        <w:gridCol w:w="109"/>
        <w:gridCol w:w="187"/>
        <w:gridCol w:w="623"/>
        <w:gridCol w:w="146"/>
        <w:gridCol w:w="236"/>
        <w:gridCol w:w="784"/>
        <w:gridCol w:w="109"/>
        <w:gridCol w:w="187"/>
        <w:gridCol w:w="623"/>
        <w:gridCol w:w="27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72235" cy="175895"/>
                      <wp:effectExtent l="0" t="0" r="0" b="0"/>
                      <wp:wrapNone/>
                      <wp:docPr id="168" name="Frame167"/>
                      <a:graphic xmlns:a="http://schemas.openxmlformats.org/drawingml/2006/main">
                        <a:graphicData uri="http://schemas.microsoft.com/office/word/2010/wordprocessingShape">
                          <wps:wsp>
                            <wps:cNvSpPr txBox="1"/>
                            <wps:spPr>
                              <a:xfrm>
                                <a:off x="0" y="0"/>
                                <a:ext cx="1372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895"/>
                      <wp:effectExtent l="0" t="0" r="0" b="0"/>
                      <wp:wrapNone/>
                      <wp:docPr id="169" name="Frame16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18745" cy="175895"/>
                      <wp:effectExtent l="0" t="0" r="0" b="0"/>
                      <wp:wrapNone/>
                      <wp:docPr id="170" name="Frame169"/>
                      <a:graphic xmlns:a="http://schemas.openxmlformats.org/drawingml/2006/main">
                        <a:graphicData uri="http://schemas.microsoft.com/office/word/2010/wordprocessingShape">
                          <wps:wsp>
                            <wps:cNvSpPr txBox="1"/>
                            <wps:spPr>
                              <a:xfrm>
                                <a:off x="0" y="0"/>
                                <a:ext cx="1187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95605" cy="175895"/>
                      <wp:effectExtent l="0" t="0" r="0" b="0"/>
                      <wp:wrapNone/>
                      <wp:docPr id="171" name="Frame170"/>
                      <a:graphic xmlns:a="http://schemas.openxmlformats.org/drawingml/2006/main">
                        <a:graphicData uri="http://schemas.microsoft.com/office/word/2010/wordprocessingShape">
                          <wps:wsp>
                            <wps:cNvSpPr txBox="1"/>
                            <wps:spPr>
                              <a:xfrm>
                                <a:off x="0" y="0"/>
                                <a:ext cx="3956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2710" cy="175895"/>
                      <wp:effectExtent l="0" t="0" r="0" b="0"/>
                      <wp:wrapNone/>
                      <wp:docPr id="172" name="Frame171"/>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9860" cy="175895"/>
                      <wp:effectExtent l="0" t="0" r="0" b="0"/>
                      <wp:wrapNone/>
                      <wp:docPr id="173" name="Frame172"/>
                      <a:graphic xmlns:a="http://schemas.openxmlformats.org/drawingml/2006/main">
                        <a:graphicData uri="http://schemas.microsoft.com/office/word/2010/wordprocessingShape">
                          <wps:wsp>
                            <wps:cNvSpPr txBox="1"/>
                            <wps:spPr>
                              <a:xfrm>
                                <a:off x="0" y="0"/>
                                <a:ext cx="149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7840" cy="175895"/>
                      <wp:effectExtent l="0" t="0" r="0" b="0"/>
                      <wp:wrapNone/>
                      <wp:docPr id="174" name="Frame173"/>
                      <a:graphic xmlns:a="http://schemas.openxmlformats.org/drawingml/2006/main">
                        <a:graphicData uri="http://schemas.microsoft.com/office/word/2010/wordprocessingShape">
                          <wps:wsp>
                            <wps:cNvSpPr txBox="1"/>
                            <wps:spPr>
                              <a:xfrm>
                                <a:off x="0" y="0"/>
                                <a:ext cx="4978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895"/>
                      <wp:effectExtent l="0" t="0" r="0" b="0"/>
                      <wp:wrapNone/>
                      <wp:docPr id="175" name="Frame17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18745" cy="175895"/>
                      <wp:effectExtent l="0" t="0" r="0" b="0"/>
                      <wp:wrapNone/>
                      <wp:docPr id="176" name="Frame175"/>
                      <a:graphic xmlns:a="http://schemas.openxmlformats.org/drawingml/2006/main">
                        <a:graphicData uri="http://schemas.microsoft.com/office/word/2010/wordprocessingShape">
                          <wps:wsp>
                            <wps:cNvSpPr txBox="1"/>
                            <wps:spPr>
                              <a:xfrm>
                                <a:off x="0" y="0"/>
                                <a:ext cx="1187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95605" cy="175895"/>
                      <wp:effectExtent l="0" t="0" r="0" b="0"/>
                      <wp:wrapNone/>
                      <wp:docPr id="177" name="Frame176"/>
                      <a:graphic xmlns:a="http://schemas.openxmlformats.org/drawingml/2006/main">
                        <a:graphicData uri="http://schemas.microsoft.com/office/word/2010/wordprocessingShape">
                          <wps:wsp>
                            <wps:cNvSpPr txBox="1"/>
                            <wps:spPr>
                              <a:xfrm>
                                <a:off x="0" y="0"/>
                                <a:ext cx="3956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2085" cy="175895"/>
                      <wp:effectExtent l="0" t="0" r="0" b="0"/>
                      <wp:wrapNone/>
                      <wp:docPr id="178" name="Frame177"/>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2895"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271" w:type="dxa"/>
            <w:tcBorders/>
            <w:vAlign w:val="center"/>
          </w:tcPr>
          <w:p>
            <w:pPr>
              <w:pStyle w:val="TableContents"/>
              <w:bidi w:val="0"/>
              <w:spacing w:before="1" w:after="1"/>
              <w:ind w:left="0" w:right="0" w:hanging="0"/>
              <w:jc w:val="center"/>
              <w:rPr/>
            </w:pPr>
            <w:r>
              <w:rPr/>
              <w:t>​</w:t>
            </w:r>
          </w:p>
        </w:tc>
      </w:tr>
      <w:tr>
        <w:trPr/>
        <w:tc>
          <w:tcPr>
            <w:tcW w:w="21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1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146" w:type="dxa"/>
            <w:tcBorders/>
            <w:vAlign w:val="center"/>
          </w:tcPr>
          <w:p>
            <w:pPr>
              <w:pStyle w:val="TableContents"/>
              <w:bidi w:val="0"/>
              <w:spacing w:before="1" w:after="1"/>
              <w:ind w:left="0" w:right="0" w:hanging="0"/>
              <w:jc w:val="center"/>
              <w:rPr/>
            </w:pPr>
            <w:r>
              <w:rPr/>
              <w:t>​</w:t>
            </w:r>
          </w:p>
        </w:tc>
        <w:tc>
          <w:tcPr>
            <w:tcW w:w="102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December 31,</w:t>
            </w:r>
          </w:p>
        </w:tc>
        <w:tc>
          <w:tcPr>
            <w:tcW w:w="109" w:type="dxa"/>
            <w:tcBorders/>
            <w:vAlign w:val="center"/>
          </w:tcPr>
          <w:p>
            <w:pPr>
              <w:pStyle w:val="TableContents"/>
              <w:bidi w:val="0"/>
              <w:spacing w:before="1" w:after="1"/>
              <w:ind w:left="0" w:right="0" w:hanging="0"/>
              <w:jc w:val="center"/>
              <w:rPr/>
            </w:pPr>
            <w:r>
              <w:rPr/>
              <w:t>​</w:t>
            </w:r>
          </w:p>
        </w:tc>
        <w:tc>
          <w:tcPr>
            <w:tcW w:w="81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271" w:type="dxa"/>
            <w:tcBorders/>
            <w:vAlign w:val="center"/>
          </w:tcPr>
          <w:p>
            <w:pPr>
              <w:pStyle w:val="TableContents"/>
              <w:bidi w:val="0"/>
              <w:spacing w:before="1" w:after="1"/>
              <w:ind w:left="0" w:right="0" w:hanging="0"/>
              <w:jc w:val="center"/>
              <w:rPr/>
            </w:pPr>
            <w:r>
              <w:rPr/>
              <w:t>​</w:t>
            </w:r>
          </w:p>
        </w:tc>
      </w:tr>
      <w:tr>
        <w:trPr/>
        <w:tc>
          <w:tcPr>
            <w:tcW w:w="21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46" w:type="dxa"/>
            <w:tcBorders/>
            <w:vAlign w:val="center"/>
          </w:tcPr>
          <w:p>
            <w:pPr>
              <w:pStyle w:val="TableContents"/>
              <w:bidi w:val="0"/>
              <w:spacing w:before="1" w:after="1"/>
              <w:ind w:left="0" w:right="0" w:hanging="0"/>
              <w:jc w:val="center"/>
              <w:rPr/>
            </w:pPr>
            <w:r>
              <w:rPr/>
              <w:t>​</w:t>
            </w:r>
          </w:p>
        </w:tc>
        <w:tc>
          <w:tcPr>
            <w:tcW w:w="10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09" w:type="dxa"/>
            <w:tcBorders/>
            <w:vAlign w:val="center"/>
          </w:tcPr>
          <w:p>
            <w:pPr>
              <w:pStyle w:val="TableContents"/>
              <w:bidi w:val="0"/>
              <w:spacing w:before="1" w:after="1"/>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271" w:type="dxa"/>
            <w:tcBorders/>
            <w:vAlign w:val="center"/>
          </w:tcPr>
          <w:p>
            <w:pPr>
              <w:pStyle w:val="TableContents"/>
              <w:bidi w:val="0"/>
              <w:spacing w:before="1" w:after="1"/>
              <w:ind w:left="0" w:right="0" w:hanging="0"/>
              <w:jc w:val="center"/>
              <w:rPr/>
            </w:pPr>
            <w:r>
              <w:rPr/>
              <w:t>  ​</w:t>
            </w:r>
          </w:p>
        </w:tc>
      </w:tr>
      <w:tr>
        <w:trPr/>
        <w:tc>
          <w:tcPr>
            <w:tcW w:w="2161"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Average daily revenue</w:t>
            </w:r>
          </w:p>
        </w:tc>
        <w:tc>
          <w:tcPr>
            <w:tcW w:w="109" w:type="dxa"/>
            <w:tcBorders/>
            <w:vAlign w:val="center"/>
          </w:tcPr>
          <w:p>
            <w:pPr>
              <w:pStyle w:val="TableContents"/>
              <w:bidi w:val="0"/>
              <w:spacing w:before="1" w:after="1"/>
              <w:ind w:left="0" w:right="0" w:hanging="0"/>
              <w:jc w:val="left"/>
              <w:rPr/>
            </w:pPr>
            <w:r>
              <w:rPr/>
              <w:t>​</w:t>
            </w:r>
          </w:p>
        </w:tc>
        <w:tc>
          <w:tcPr>
            <w:tcW w:w="187" w:type="dxa"/>
            <w:tcBorders/>
            <w:vAlign w:val="center"/>
          </w:tcPr>
          <w:p>
            <w:pPr>
              <w:pStyle w:val="TableContents"/>
              <w:bidi w:val="0"/>
              <w:spacing w:before="1" w:after="1"/>
              <w:ind w:left="0" w:right="0" w:hanging="0"/>
              <w:jc w:val="center"/>
              <w:rPr/>
            </w:pPr>
            <w:r>
              <w:rPr/>
              <w:t>​</w:t>
            </w:r>
          </w:p>
        </w:tc>
        <w:tc>
          <w:tcPr>
            <w:tcW w:w="623"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left"/>
              <w:rPr/>
            </w:pPr>
            <w:r>
              <w:rPr/>
              <w:t>​</w:t>
            </w:r>
          </w:p>
        </w:tc>
        <w:tc>
          <w:tcPr>
            <w:tcW w:w="236" w:type="dxa"/>
            <w:tcBorders/>
            <w:vAlign w:val="center"/>
          </w:tcPr>
          <w:p>
            <w:pPr>
              <w:pStyle w:val="TableContents"/>
              <w:bidi w:val="0"/>
              <w:spacing w:before="1" w:after="1"/>
              <w:ind w:left="0" w:right="0" w:hanging="0"/>
              <w:jc w:val="center"/>
              <w:rPr/>
            </w:pPr>
            <w:r>
              <w:rPr/>
              <w:t>​</w:t>
            </w:r>
          </w:p>
        </w:tc>
        <w:tc>
          <w:tcPr>
            <w:tcW w:w="784"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87" w:type="dxa"/>
            <w:tcBorders/>
            <w:vAlign w:val="center"/>
          </w:tcPr>
          <w:p>
            <w:pPr>
              <w:pStyle w:val="TableContents"/>
              <w:bidi w:val="0"/>
              <w:spacing w:before="1" w:after="1"/>
              <w:ind w:left="0" w:right="0" w:hanging="0"/>
              <w:jc w:val="center"/>
              <w:rPr/>
            </w:pPr>
            <w:r>
              <w:rPr/>
              <w:t>​</w:t>
            </w:r>
          </w:p>
        </w:tc>
        <w:tc>
          <w:tcPr>
            <w:tcW w:w="623" w:type="dxa"/>
            <w:tcBorders/>
            <w:vAlign w:val="center"/>
          </w:tcPr>
          <w:p>
            <w:pPr>
              <w:pStyle w:val="TableContents"/>
              <w:bidi w:val="0"/>
              <w:spacing w:before="1" w:after="1"/>
              <w:ind w:left="0" w:right="0" w:hanging="0"/>
              <w:jc w:val="center"/>
              <w:rPr/>
            </w:pPr>
            <w:r>
              <w:rPr/>
              <w:t>​</w:t>
            </w:r>
          </w:p>
        </w:tc>
        <w:tc>
          <w:tcPr>
            <w:tcW w:w="271" w:type="dxa"/>
            <w:tcBorders/>
            <w:vAlign w:val="center"/>
          </w:tcPr>
          <w:p>
            <w:pPr>
              <w:pStyle w:val="TableContents"/>
              <w:bidi w:val="0"/>
              <w:spacing w:before="1" w:after="1"/>
              <w:ind w:left="0" w:right="0" w:hanging="0"/>
              <w:jc w:val="left"/>
              <w:rPr/>
            </w:pPr>
            <w:r>
              <w:rPr/>
              <w:t>​</w:t>
            </w:r>
          </w:p>
        </w:tc>
      </w:tr>
      <w:tr>
        <w:trPr/>
        <w:tc>
          <w:tcPr>
            <w:tcW w:w="21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09" w:type="dxa"/>
            <w:tcBorders/>
            <w:shd w:fill="CEDBE0" w:val="clear"/>
            <w:vAlign w:val="center"/>
          </w:tcPr>
          <w:p>
            <w:pPr>
              <w:pStyle w:val="TableContents"/>
              <w:bidi w:val="0"/>
              <w:spacing w:before="1" w:after="1"/>
              <w:ind w:left="0" w:right="0" w:hanging="0"/>
              <w:jc w:val="left"/>
              <w:rPr/>
            </w:pPr>
            <w:r>
              <w:rPr/>
              <w:t>​</w:t>
            </w:r>
          </w:p>
        </w:tc>
        <w:tc>
          <w:tcPr>
            <w:tcW w:w="18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2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480,700</w:t>
            </w:r>
          </w:p>
        </w:tc>
        <w:tc>
          <w:tcPr>
            <w:tcW w:w="146" w:type="dxa"/>
            <w:tcBorders/>
            <w:shd w:fill="CEDBE0" w:val="clear"/>
            <w:vAlign w:val="center"/>
          </w:tcPr>
          <w:p>
            <w:pPr>
              <w:pStyle w:val="TableContents"/>
              <w:bidi w:val="0"/>
              <w:spacing w:before="1" w:after="1"/>
              <w:ind w:left="0" w:right="0" w:hanging="0"/>
              <w:jc w:val="left"/>
              <w:rPr/>
            </w:pPr>
            <w:r>
              <w:rPr/>
              <w:t>​</w:t>
            </w:r>
          </w:p>
        </w:tc>
        <w:tc>
          <w:tcPr>
            <w:tcW w:w="23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78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466,000</w:t>
            </w:r>
          </w:p>
        </w:tc>
        <w:tc>
          <w:tcPr>
            <w:tcW w:w="109" w:type="dxa"/>
            <w:tcBorders/>
            <w:shd w:fill="CEDBE0" w:val="clear"/>
            <w:vAlign w:val="center"/>
          </w:tcPr>
          <w:p>
            <w:pPr>
              <w:pStyle w:val="TableContents"/>
              <w:bidi w:val="0"/>
              <w:spacing w:before="1" w:after="1"/>
              <w:ind w:left="0" w:right="0" w:hanging="0"/>
              <w:jc w:val="left"/>
              <w:rPr/>
            </w:pPr>
            <w:r>
              <w:rPr/>
              <w:t>​</w:t>
            </w:r>
          </w:p>
        </w:tc>
        <w:tc>
          <w:tcPr>
            <w:tcW w:w="18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2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443,600</w:t>
            </w:r>
          </w:p>
        </w:tc>
        <w:tc>
          <w:tcPr>
            <w:tcW w:w="271" w:type="dxa"/>
            <w:tcBorders/>
            <w:shd w:fill="CEDBE0" w:val="clear"/>
            <w:vAlign w:val="center"/>
          </w:tcPr>
          <w:p>
            <w:pPr>
              <w:pStyle w:val="TableContents"/>
              <w:bidi w:val="0"/>
              <w:spacing w:before="1" w:after="1"/>
              <w:ind w:left="0" w:right="0" w:hanging="0"/>
              <w:jc w:val="left"/>
              <w:rPr/>
            </w:pPr>
            <w:r>
              <w:rPr/>
              <w:t>​</w:t>
            </w:r>
          </w:p>
        </w:tc>
      </w:tr>
      <w:tr>
        <w:trPr/>
        <w:tc>
          <w:tcPr>
            <w:tcW w:w="21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09" w:type="dxa"/>
            <w:tcBorders/>
            <w:vAlign w:val="center"/>
          </w:tcPr>
          <w:p>
            <w:pPr>
              <w:pStyle w:val="TableContents"/>
              <w:bidi w:val="0"/>
              <w:spacing w:before="1" w:after="1"/>
              <w:ind w:left="0" w:right="0" w:hanging="0"/>
              <w:jc w:val="left"/>
              <w:rPr/>
            </w:pPr>
            <w:r>
              <w:rPr/>
              <w:t>​</w:t>
            </w:r>
          </w:p>
        </w:tc>
        <w:tc>
          <w:tcPr>
            <w:tcW w:w="187"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23"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463,800</w:t>
            </w:r>
          </w:p>
        </w:tc>
        <w:tc>
          <w:tcPr>
            <w:tcW w:w="146" w:type="dxa"/>
            <w:tcBorders/>
            <w:vAlign w:val="center"/>
          </w:tcPr>
          <w:p>
            <w:pPr>
              <w:pStyle w:val="TableContents"/>
              <w:bidi w:val="0"/>
              <w:spacing w:before="1" w:after="1"/>
              <w:ind w:left="0" w:right="0" w:hanging="0"/>
              <w:jc w:val="left"/>
              <w:rPr/>
            </w:pPr>
            <w:r>
              <w:rPr/>
              <w:t>​</w:t>
            </w:r>
          </w:p>
        </w:tc>
        <w:tc>
          <w:tcPr>
            <w:tcW w:w="23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78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449,800</w:t>
            </w:r>
          </w:p>
        </w:tc>
        <w:tc>
          <w:tcPr>
            <w:tcW w:w="109" w:type="dxa"/>
            <w:tcBorders/>
            <w:vAlign w:val="center"/>
          </w:tcPr>
          <w:p>
            <w:pPr>
              <w:pStyle w:val="TableContents"/>
              <w:bidi w:val="0"/>
              <w:spacing w:before="1" w:after="1"/>
              <w:ind w:left="0" w:right="0" w:hanging="0"/>
              <w:jc w:val="left"/>
              <w:rPr/>
            </w:pPr>
            <w:r>
              <w:rPr/>
              <w:t>​</w:t>
            </w:r>
          </w:p>
        </w:tc>
        <w:tc>
          <w:tcPr>
            <w:tcW w:w="187"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23"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443,600</w:t>
            </w:r>
          </w:p>
        </w:tc>
        <w:tc>
          <w:tcPr>
            <w:tcW w:w="271" w:type="dxa"/>
            <w:tcBorders/>
            <w:vAlign w:val="center"/>
          </w:tcPr>
          <w:p>
            <w:pPr>
              <w:pStyle w:val="TableContents"/>
              <w:bidi w:val="0"/>
              <w:spacing w:before="1" w:after="1"/>
              <w:ind w:left="0" w:right="0" w:hanging="0"/>
              <w:jc w:val="left"/>
              <w:rPr/>
            </w:pPr>
            <w:r>
              <w:rPr/>
              <w:t>​</w:t>
            </w:r>
          </w:p>
        </w:tc>
      </w:tr>
      <w:tr>
        <w:trPr/>
        <w:tc>
          <w:tcPr>
            <w:tcW w:w="21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fleet average daily revenue</w:t>
            </w:r>
          </w:p>
        </w:tc>
        <w:tc>
          <w:tcPr>
            <w:tcW w:w="109" w:type="dxa"/>
            <w:tcBorders/>
            <w:shd w:fill="CEDBE0" w:val="clear"/>
            <w:vAlign w:val="center"/>
          </w:tcPr>
          <w:p>
            <w:pPr>
              <w:pStyle w:val="TableContents"/>
              <w:bidi w:val="0"/>
              <w:spacing w:before="1" w:after="1"/>
              <w:ind w:left="0" w:right="0" w:hanging="0"/>
              <w:jc w:val="left"/>
              <w:rPr/>
            </w:pPr>
            <w:r>
              <w:rPr/>
              <w:t>​</w:t>
            </w:r>
          </w:p>
        </w:tc>
        <w:tc>
          <w:tcPr>
            <w:tcW w:w="18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2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475,600</w:t>
            </w:r>
          </w:p>
        </w:tc>
        <w:tc>
          <w:tcPr>
            <w:tcW w:w="146" w:type="dxa"/>
            <w:tcBorders/>
            <w:shd w:fill="CEDBE0" w:val="clear"/>
            <w:vAlign w:val="center"/>
          </w:tcPr>
          <w:p>
            <w:pPr>
              <w:pStyle w:val="TableContents"/>
              <w:bidi w:val="0"/>
              <w:spacing w:before="1" w:after="1"/>
              <w:ind w:left="0" w:right="0" w:hanging="0"/>
              <w:jc w:val="left"/>
              <w:rPr/>
            </w:pPr>
            <w:r>
              <w:rPr/>
              <w:t> </w:t>
            </w:r>
          </w:p>
        </w:tc>
        <w:tc>
          <w:tcPr>
            <w:tcW w:w="23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78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461,300</w:t>
            </w:r>
          </w:p>
        </w:tc>
        <w:tc>
          <w:tcPr>
            <w:tcW w:w="109" w:type="dxa"/>
            <w:tcBorders/>
            <w:shd w:fill="CEDBE0" w:val="clear"/>
            <w:vAlign w:val="center"/>
          </w:tcPr>
          <w:p>
            <w:pPr>
              <w:pStyle w:val="TableContents"/>
              <w:bidi w:val="0"/>
              <w:spacing w:before="1" w:after="1"/>
              <w:ind w:left="0" w:right="0" w:hanging="0"/>
              <w:jc w:val="left"/>
              <w:rPr/>
            </w:pPr>
            <w:r>
              <w:rPr/>
              <w:t>​</w:t>
            </w:r>
          </w:p>
        </w:tc>
        <w:tc>
          <w:tcPr>
            <w:tcW w:w="18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2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443,600</w:t>
            </w:r>
          </w:p>
        </w:tc>
        <w:tc>
          <w:tcPr>
            <w:tcW w:w="27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80" w:after="120"/>
        <w:ind w:left="0" w:right="0" w:firstLine="720"/>
        <w:jc w:val="both"/>
        <w:rPr>
          <w:rFonts w:ascii="Arial Narrow" w:hAnsi="Arial Narrow"/>
          <w:sz w:val="20"/>
        </w:rPr>
      </w:pPr>
      <w:r>
        <w:rPr>
          <w:rFonts w:ascii="Arial Narrow" w:hAnsi="Arial Narrow"/>
          <w:sz w:val="20"/>
        </w:rPr>
        <w:t>Our average daily revenue fluctuates relative to market conditions and our revenue efficiency.  The average daily revenue may be affected by incentive performance bonuses or penalties or demobilization fee revenues.  Revenues for a newbuild unit are included in the calculation when the rig commences operations upon acceptance by the customer.  We remove a rig from the calculation upon disposal or classification as held for sale, unless we continue to operate the rig, in which case we remove the rig upon completion or novation of the contract.</w:t>
      </w:r>
    </w:p>
    <w:p>
      <w:pPr>
        <w:pStyle w:val="TextBody"/>
        <w:bidi w:val="0"/>
        <w:spacing w:before="60" w:after="0"/>
        <w:ind w:left="0" w:right="0" w:firstLine="720"/>
        <w:jc w:val="both"/>
        <w:rPr>
          <w:rFonts w:ascii="Arial Narrow" w:hAnsi="Arial Narrow"/>
          <w:sz w:val="20"/>
        </w:rPr>
      </w:pPr>
      <w:r>
        <w:rPr>
          <w:rFonts w:ascii="Arial Narrow" w:hAnsi="Arial Narrow"/>
          <w:b/>
          <w:sz w:val="20"/>
        </w:rPr>
        <w:t>Revenue efficiency</w:t>
      </w:r>
      <w:r>
        <w:rPr>
          <w:rFonts w:ascii="Arial Narrow" w:hAnsi="Arial Narrow"/>
          <w:sz w:val="20"/>
        </w:rPr>
        <w:t xml:space="preserve">—We believe revenue efficiency measures our ability to ultimately convert our contract backlog into revenues.  Revenue efficiency is defined as actual operating revenues, excluding revenues for contract terminations and reimbursements, for the measurement period divided by the maximum revenue calculated for the measurement period, expressed as a percentage.  Maximum </w:t>
      </w:r>
    </w:p>
    <w:p>
      <w:pPr>
        <w:pStyle w:val="TextBody"/>
        <w:bidi w:val="0"/>
        <w:spacing w:before="0" w:after="0"/>
        <w:ind w:left="0" w:right="0" w:hanging="0"/>
        <w:jc w:val="center"/>
        <w:rPr>
          <w:rFonts w:ascii="Arial Narrow" w:hAnsi="Arial Narrow"/>
          <w:sz w:val="20"/>
        </w:rPr>
      </w:pPr>
      <w:r>
        <w:rPr>
          <w:rFonts w:ascii="Arial Narrow" w:hAnsi="Arial Narrow"/>
          <w:sz w:val="20"/>
        </w:rPr>
        <w:t>- 14 -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60"/>
        <w:ind w:left="0" w:right="0" w:hanging="0"/>
        <w:jc w:val="both"/>
        <w:rPr>
          <w:rFonts w:ascii="Arial Narrow" w:hAnsi="Arial Narrow"/>
          <w:sz w:val="20"/>
        </w:rPr>
      </w:pPr>
      <w:r>
        <w:rPr>
          <w:rFonts w:ascii="Arial Narrow" w:hAnsi="Arial Narrow"/>
          <w:sz w:val="20"/>
        </w:rPr>
        <w:t>revenue is defined as the greatest amount of contract drilling revenues the drilling unit could earn for the measurement period, excluding revenues for incentive provisions, reimbursements and contract terminations.  The revenue efficiency rates for our fleet were as follows:</w:t>
      </w:r>
    </w:p>
    <w:tbl>
      <w:tblPr>
        <w:tblW w:w="5927" w:type="dxa"/>
        <w:jc w:val="left"/>
        <w:tblInd w:w="0" w:type="dxa"/>
        <w:tblLayout w:type="fixed"/>
        <w:tblCellMar>
          <w:top w:w="0" w:type="dxa"/>
          <w:left w:w="0" w:type="dxa"/>
          <w:bottom w:w="0" w:type="dxa"/>
          <w:right w:w="0" w:type="dxa"/>
        </w:tblCellMar>
      </w:tblPr>
      <w:tblGrid>
        <w:gridCol w:w="2476"/>
        <w:gridCol w:w="109"/>
        <w:gridCol w:w="493"/>
        <w:gridCol w:w="317"/>
        <w:gridCol w:w="109"/>
        <w:gridCol w:w="376"/>
        <w:gridCol w:w="703"/>
        <w:gridCol w:w="109"/>
        <w:gridCol w:w="376"/>
        <w:gridCol w:w="559"/>
        <w:gridCol w:w="72"/>
        <w:gridCol w:w="74"/>
        <w:gridCol w:w="154"/>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72260" cy="175895"/>
                      <wp:effectExtent l="0" t="0" r="0" b="0"/>
                      <wp:wrapNone/>
                      <wp:docPr id="179" name="Frame178"/>
                      <a:graphic xmlns:a="http://schemas.openxmlformats.org/drawingml/2006/main">
                        <a:graphicData uri="http://schemas.microsoft.com/office/word/2010/wordprocessingShape">
                          <wps:wsp>
                            <wps:cNvSpPr txBox="1"/>
                            <wps:spPr>
                              <a:xfrm>
                                <a:off x="0" y="0"/>
                                <a:ext cx="1572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895"/>
                      <wp:effectExtent l="0" t="0" r="0" b="0"/>
                      <wp:wrapNone/>
                      <wp:docPr id="180" name="Frame17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13055" cy="175895"/>
                      <wp:effectExtent l="0" t="0" r="0" b="0"/>
                      <wp:wrapNone/>
                      <wp:docPr id="181" name="Frame180"/>
                      <a:graphic xmlns:a="http://schemas.openxmlformats.org/drawingml/2006/main">
                        <a:graphicData uri="http://schemas.microsoft.com/office/word/2010/wordprocessingShape">
                          <wps:wsp>
                            <wps:cNvSpPr txBox="1"/>
                            <wps:spPr>
                              <a:xfrm>
                                <a:off x="0" y="0"/>
                                <a:ext cx="3130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1295" cy="175895"/>
                      <wp:effectExtent l="0" t="0" r="0" b="0"/>
                      <wp:wrapNone/>
                      <wp:docPr id="182" name="Frame181"/>
                      <a:graphic xmlns:a="http://schemas.openxmlformats.org/drawingml/2006/main">
                        <a:graphicData uri="http://schemas.microsoft.com/office/word/2010/wordprocessingShape">
                          <wps:wsp>
                            <wps:cNvSpPr txBox="1"/>
                            <wps:spPr>
                              <a:xfrm>
                                <a:off x="0" y="0"/>
                                <a:ext cx="2012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895"/>
                      <wp:effectExtent l="0" t="0" r="0" b="0"/>
                      <wp:wrapNone/>
                      <wp:docPr id="183" name="Frame18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38760" cy="175895"/>
                      <wp:effectExtent l="0" t="0" r="0" b="0"/>
                      <wp:wrapNone/>
                      <wp:docPr id="184" name="Frame183"/>
                      <a:graphic xmlns:a="http://schemas.openxmlformats.org/drawingml/2006/main">
                        <a:graphicData uri="http://schemas.microsoft.com/office/word/2010/wordprocessingShape">
                          <wps:wsp>
                            <wps:cNvSpPr txBox="1"/>
                            <wps:spPr>
                              <a:xfrm>
                                <a:off x="0" y="0"/>
                                <a:ext cx="238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46405" cy="175895"/>
                      <wp:effectExtent l="0" t="0" r="0" b="0"/>
                      <wp:wrapNone/>
                      <wp:docPr id="185" name="Frame184"/>
                      <a:graphic xmlns:a="http://schemas.openxmlformats.org/drawingml/2006/main">
                        <a:graphicData uri="http://schemas.microsoft.com/office/word/2010/wordprocessingShape">
                          <wps:wsp>
                            <wps:cNvSpPr txBox="1"/>
                            <wps:spPr>
                              <a:xfrm>
                                <a:off x="0" y="0"/>
                                <a:ext cx="4464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895"/>
                      <wp:effectExtent l="0" t="0" r="0" b="0"/>
                      <wp:wrapNone/>
                      <wp:docPr id="186" name="Frame18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38760" cy="175895"/>
                      <wp:effectExtent l="0" t="0" r="0" b="0"/>
                      <wp:wrapNone/>
                      <wp:docPr id="187" name="Frame186"/>
                      <a:graphic xmlns:a="http://schemas.openxmlformats.org/drawingml/2006/main">
                        <a:graphicData uri="http://schemas.microsoft.com/office/word/2010/wordprocessingShape">
                          <wps:wsp>
                            <wps:cNvSpPr txBox="1"/>
                            <wps:spPr>
                              <a:xfrm>
                                <a:off x="0" y="0"/>
                                <a:ext cx="238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54965" cy="175895"/>
                      <wp:effectExtent l="0" t="0" r="0" b="0"/>
                      <wp:wrapNone/>
                      <wp:docPr id="188" name="Frame187"/>
                      <a:graphic xmlns:a="http://schemas.openxmlformats.org/drawingml/2006/main">
                        <a:graphicData uri="http://schemas.microsoft.com/office/word/2010/wordprocessingShape">
                          <wps:wsp>
                            <wps:cNvSpPr txBox="1"/>
                            <wps:spPr>
                              <a:xfrm>
                                <a:off x="0" y="0"/>
                                <a:ext cx="3549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92710" cy="175895"/>
                      <wp:effectExtent l="0" t="0" r="0" b="0"/>
                      <wp:wrapNone/>
                      <wp:docPr id="189" name="Frame188"/>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3114" w:type="dxa"/>
            <w:gridSpan w:val="9"/>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228" w:type="dxa"/>
            <w:gridSpan w:val="2"/>
            <w:tcBorders/>
            <w:vAlign w:val="center"/>
          </w:tcPr>
          <w:p>
            <w:pPr>
              <w:pStyle w:val="TableContents"/>
              <w:bidi w:val="0"/>
              <w:spacing w:before="1" w:after="1"/>
              <w:ind w:left="0" w:right="0" w:hanging="0"/>
              <w:jc w:val="center"/>
              <w:rPr/>
            </w:pPr>
            <w:r>
              <w:rPr/>
              <w:t>​</w:t>
            </w:r>
          </w:p>
        </w:tc>
      </w:tr>
      <w:tr>
        <w:trPr/>
        <w:tc>
          <w:tcPr>
            <w:tcW w:w="24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1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109" w:type="dxa"/>
            <w:tcBorders/>
            <w:vAlign w:val="center"/>
          </w:tcPr>
          <w:p>
            <w:pPr>
              <w:pStyle w:val="TableContents"/>
              <w:bidi w:val="0"/>
              <w:spacing w:before="1" w:after="1"/>
              <w:ind w:left="0" w:right="0" w:hanging="0"/>
              <w:jc w:val="center"/>
              <w:rPr/>
            </w:pPr>
            <w:r>
              <w:rPr/>
              <w:t>​</w:t>
            </w:r>
          </w:p>
        </w:tc>
        <w:tc>
          <w:tcPr>
            <w:tcW w:w="1079"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December 31,</w:t>
            </w:r>
          </w:p>
        </w:tc>
        <w:tc>
          <w:tcPr>
            <w:tcW w:w="109" w:type="dxa"/>
            <w:tcBorders/>
            <w:vAlign w:val="center"/>
          </w:tcPr>
          <w:p>
            <w:pPr>
              <w:pStyle w:val="TableContents"/>
              <w:bidi w:val="0"/>
              <w:spacing w:before="1" w:after="1"/>
              <w:ind w:left="0" w:right="0" w:hanging="0"/>
              <w:jc w:val="center"/>
              <w:rPr/>
            </w:pPr>
            <w:r>
              <w:rPr/>
              <w:t>​</w:t>
            </w:r>
          </w:p>
        </w:tc>
        <w:tc>
          <w:tcPr>
            <w:tcW w:w="935"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146" w:type="dxa"/>
            <w:gridSpan w:val="2"/>
            <w:tcBorders/>
            <w:vAlign w:val="center"/>
          </w:tcPr>
          <w:p>
            <w:pPr>
              <w:pStyle w:val="TableContents"/>
              <w:bidi w:val="0"/>
              <w:spacing w:before="1" w:after="1"/>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1079"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09" w:type="dxa"/>
            <w:tcBorders/>
            <w:vAlign w:val="center"/>
          </w:tcPr>
          <w:p>
            <w:pPr>
              <w:pStyle w:val="TableContents"/>
              <w:bidi w:val="0"/>
              <w:spacing w:before="1" w:after="1"/>
              <w:ind w:left="0" w:right="0" w:hanging="0"/>
              <w:jc w:val="center"/>
              <w:rPr/>
            </w:pPr>
            <w:r>
              <w:rPr/>
              <w:t>​</w:t>
            </w:r>
          </w:p>
        </w:tc>
        <w:tc>
          <w:tcPr>
            <w:tcW w:w="93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46" w:type="dxa"/>
            <w:gridSpan w:val="2"/>
            <w:tcBorders/>
            <w:vAlign w:val="center"/>
          </w:tcPr>
          <w:p>
            <w:pPr>
              <w:pStyle w:val="TableContents"/>
              <w:bidi w:val="0"/>
              <w:spacing w:before="1" w:after="1"/>
              <w:ind w:left="0" w:right="0" w:hanging="0"/>
              <w:jc w:val="center"/>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1" w:after="1"/>
              <w:ind w:left="0" w:right="0" w:hanging="0"/>
              <w:jc w:val="both"/>
              <w:rPr>
                <w:rFonts w:ascii="Arial Narrow" w:hAnsi="Arial Narrow"/>
                <w:b/>
                <w:sz w:val="18"/>
              </w:rPr>
            </w:pPr>
            <w:r>
              <w:rPr>
                <w:rFonts w:ascii="Arial Narrow" w:hAnsi="Arial Narrow"/>
                <w:b/>
                <w:sz w:val="18"/>
              </w:rPr>
              <w:t>Revenue efficiency</w:t>
            </w:r>
          </w:p>
        </w:tc>
        <w:tc>
          <w:tcPr>
            <w:tcW w:w="109"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center"/>
              <w:rPr/>
            </w:pPr>
            <w:r>
              <w:rPr/>
              <w:t>​</w:t>
            </w:r>
          </w:p>
        </w:tc>
        <w:tc>
          <w:tcPr>
            <w:tcW w:w="317"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center"/>
              <w:rPr/>
            </w:pPr>
            <w:r>
              <w:rPr/>
              <w:t>​</w:t>
            </w:r>
          </w:p>
        </w:tc>
        <w:tc>
          <w:tcPr>
            <w:tcW w:w="70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center"/>
              <w:rPr/>
            </w:pPr>
            <w:r>
              <w:rPr/>
              <w:t>​</w:t>
            </w:r>
          </w:p>
        </w:tc>
        <w:tc>
          <w:tcPr>
            <w:tcW w:w="559" w:type="dxa"/>
            <w:tcBorders/>
            <w:vAlign w:val="center"/>
          </w:tcPr>
          <w:p>
            <w:pPr>
              <w:pStyle w:val="TableContents"/>
              <w:bidi w:val="0"/>
              <w:spacing w:before="1" w:after="1"/>
              <w:ind w:left="0" w:right="0" w:hanging="0"/>
              <w:jc w:val="center"/>
              <w:rPr/>
            </w:pPr>
            <w:r>
              <w:rPr/>
              <w:t>​</w:t>
            </w:r>
          </w:p>
        </w:tc>
        <w:tc>
          <w:tcPr>
            <w:tcW w:w="146" w:type="dxa"/>
            <w:gridSpan w:val="2"/>
            <w:tcBorders/>
            <w:vAlign w:val="center"/>
          </w:tcPr>
          <w:p>
            <w:pPr>
              <w:pStyle w:val="TableContents"/>
              <w:bidi w:val="0"/>
              <w:spacing w:before="1" w:after="1"/>
              <w:ind w:left="0" w:right="0" w:hanging="0"/>
              <w:jc w:val="left"/>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09" w:type="dxa"/>
            <w:tcBorders/>
            <w:shd w:fill="CEDBE0" w:val="clear"/>
            <w:vAlign w:val="center"/>
          </w:tcPr>
          <w:p>
            <w:pPr>
              <w:pStyle w:val="TableContents"/>
              <w:bidi w:val="0"/>
              <w:spacing w:before="1" w:after="1"/>
              <w:ind w:left="0" w:right="0" w:hanging="0"/>
              <w:jc w:val="left"/>
              <w:rPr/>
            </w:pPr>
            <w:r>
              <w:rPr/>
              <w:t>​</w:t>
            </w:r>
          </w:p>
        </w:tc>
        <w:tc>
          <w:tcPr>
            <w:tcW w:w="49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97.6</w:t>
            </w:r>
          </w:p>
        </w:tc>
        <w:tc>
          <w:tcPr>
            <w:tcW w:w="31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95.7</w:t>
            </w:r>
          </w:p>
        </w:tc>
        <w:tc>
          <w:tcPr>
            <w:tcW w:w="70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94.3</w:t>
            </w:r>
          </w:p>
        </w:tc>
        <w:tc>
          <w:tcPr>
            <w:tcW w:w="55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46" w:type="dxa"/>
            <w:gridSpan w:val="2"/>
            <w:tcBorders/>
            <w:shd w:fill="CEDBE0" w:val="clear"/>
            <w:vAlign w:val="center"/>
          </w:tcPr>
          <w:p>
            <w:pPr>
              <w:pStyle w:val="TableContents"/>
              <w:bidi w:val="0"/>
              <w:spacing w:before="1"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09"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96.7</w:t>
            </w:r>
          </w:p>
        </w:tc>
        <w:tc>
          <w:tcPr>
            <w:tcW w:w="317"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97.2</w:t>
            </w:r>
          </w:p>
        </w:tc>
        <w:tc>
          <w:tcPr>
            <w:tcW w:w="703"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99.3</w:t>
            </w:r>
          </w:p>
        </w:tc>
        <w:tc>
          <w:tcPr>
            <w:tcW w:w="559"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46" w:type="dxa"/>
            <w:gridSpan w:val="2"/>
            <w:tcBorders/>
            <w:vAlign w:val="center"/>
          </w:tcPr>
          <w:p>
            <w:pPr>
              <w:pStyle w:val="TableContents"/>
              <w:bidi w:val="0"/>
              <w:spacing w:before="1"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fleet average revenue efficiency</w:t>
            </w:r>
          </w:p>
        </w:tc>
        <w:tc>
          <w:tcPr>
            <w:tcW w:w="109" w:type="dxa"/>
            <w:tcBorders/>
            <w:shd w:fill="CEDBE0" w:val="clear"/>
            <w:vAlign w:val="center"/>
          </w:tcPr>
          <w:p>
            <w:pPr>
              <w:pStyle w:val="TableContents"/>
              <w:bidi w:val="0"/>
              <w:spacing w:before="1" w:after="1"/>
              <w:ind w:left="0" w:right="0" w:hanging="0"/>
              <w:jc w:val="left"/>
              <w:rPr/>
            </w:pPr>
            <w:r>
              <w:rPr/>
              <w:t>​</w:t>
            </w:r>
          </w:p>
        </w:tc>
        <w:tc>
          <w:tcPr>
            <w:tcW w:w="49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97.3</w:t>
            </w:r>
          </w:p>
        </w:tc>
        <w:tc>
          <w:tcPr>
            <w:tcW w:w="31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96.2</w:t>
            </w:r>
          </w:p>
        </w:tc>
        <w:tc>
          <w:tcPr>
            <w:tcW w:w="70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95.5</w:t>
            </w:r>
          </w:p>
        </w:tc>
        <w:tc>
          <w:tcPr>
            <w:tcW w:w="55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46" w:type="dxa"/>
            <w:gridSpan w:val="2"/>
            <w:tcBorders/>
            <w:shd w:fill="CEDBE0" w:val="clear"/>
            <w:vAlign w:val="center"/>
          </w:tcPr>
          <w:p>
            <w:pPr>
              <w:pStyle w:val="TableContents"/>
              <w:bidi w:val="0"/>
              <w:spacing w:before="1" w:after="1"/>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ind w:left="0" w:right="0" w:firstLine="720"/>
        <w:jc w:val="both"/>
        <w:rPr>
          <w:rFonts w:ascii="Arial Narrow" w:hAnsi="Arial Narrow"/>
          <w:sz w:val="20"/>
        </w:rPr>
      </w:pPr>
      <w:r>
        <w:rPr>
          <w:rFonts w:ascii="Arial Narrow" w:hAnsi="Arial Narrow"/>
          <w:sz w:val="20"/>
        </w:rPr>
        <w:t>Our revenue efficiency rate varies due to revenues earned under alternative contractual dayrates, such as a waiting-on-weather rate, repair rate, standby rate, force majeure rate or zero rate, that may apply under certain circumstances.  Our revenue efficiency rate is also affected by incentive performance bonuses or penalties.  We include newbuilds in the calculation when the rigs commence operations upon acceptance by the customer.  We exclude rigs that are not operating under contract, such as those that are stacked.</w:t>
      </w:r>
    </w:p>
    <w:p>
      <w:pPr>
        <w:pStyle w:val="TextBody"/>
        <w:bidi w:val="0"/>
        <w:spacing w:before="60" w:after="60"/>
        <w:ind w:left="0" w:right="0" w:firstLine="720"/>
        <w:jc w:val="both"/>
        <w:rPr>
          <w:rFonts w:ascii="Arial Narrow" w:hAnsi="Arial Narrow"/>
          <w:sz w:val="20"/>
        </w:rPr>
      </w:pPr>
      <w:r>
        <w:rPr>
          <w:rFonts w:ascii="Arial Narrow" w:hAnsi="Arial Narrow"/>
          <w:b/>
          <w:sz w:val="20"/>
        </w:rPr>
        <w:t>Rig utilization</w:t>
      </w:r>
      <w:r>
        <w:rPr>
          <w:rFonts w:ascii="Arial Narrow" w:hAnsi="Arial Narrow"/>
          <w:sz w:val="20"/>
        </w:rPr>
        <w:t>—We present our rig utilization as an indicator of our ability to secure work for our fleet.  Rig utilization is defined as the total number of operating days divided by the total number of rig calendar days in the measurement period, expressed as a percentage.  The rig utilization rates for our fleet were as follows:</w:t>
      </w:r>
    </w:p>
    <w:tbl>
      <w:tblPr>
        <w:tblW w:w="5567" w:type="dxa"/>
        <w:jc w:val="left"/>
        <w:tblInd w:w="0" w:type="dxa"/>
        <w:tblLayout w:type="fixed"/>
        <w:tblCellMar>
          <w:top w:w="0" w:type="dxa"/>
          <w:left w:w="0" w:type="dxa"/>
          <w:bottom w:w="0" w:type="dxa"/>
          <w:right w:w="0" w:type="dxa"/>
        </w:tblCellMar>
      </w:tblPr>
      <w:tblGrid>
        <w:gridCol w:w="2116"/>
        <w:gridCol w:w="109"/>
        <w:gridCol w:w="527"/>
        <w:gridCol w:w="283"/>
        <w:gridCol w:w="109"/>
        <w:gridCol w:w="376"/>
        <w:gridCol w:w="703"/>
        <w:gridCol w:w="109"/>
        <w:gridCol w:w="376"/>
        <w:gridCol w:w="559"/>
        <w:gridCol w:w="72"/>
        <w:gridCol w:w="74"/>
        <w:gridCol w:w="154"/>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43660" cy="175895"/>
                      <wp:effectExtent l="0" t="0" r="0" b="0"/>
                      <wp:wrapNone/>
                      <wp:docPr id="190" name="Frame189"/>
                      <a:graphic xmlns:a="http://schemas.openxmlformats.org/drawingml/2006/main">
                        <a:graphicData uri="http://schemas.microsoft.com/office/word/2010/wordprocessingShape">
                          <wps:wsp>
                            <wps:cNvSpPr txBox="1"/>
                            <wps:spPr>
                              <a:xfrm>
                                <a:off x="0" y="0"/>
                                <a:ext cx="1343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895"/>
                      <wp:effectExtent l="0" t="0" r="0" b="0"/>
                      <wp:wrapNone/>
                      <wp:docPr id="191" name="Frame19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34645" cy="175895"/>
                      <wp:effectExtent l="0" t="0" r="0" b="0"/>
                      <wp:wrapNone/>
                      <wp:docPr id="192" name="Frame191"/>
                      <a:graphic xmlns:a="http://schemas.openxmlformats.org/drawingml/2006/main">
                        <a:graphicData uri="http://schemas.microsoft.com/office/word/2010/wordprocessingShape">
                          <wps:wsp>
                            <wps:cNvSpPr txBox="1"/>
                            <wps:spPr>
                              <a:xfrm>
                                <a:off x="0" y="0"/>
                                <a:ext cx="3346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79705" cy="175895"/>
                      <wp:effectExtent l="0" t="0" r="0" b="0"/>
                      <wp:wrapNone/>
                      <wp:docPr id="193" name="Frame192"/>
                      <a:graphic xmlns:a="http://schemas.openxmlformats.org/drawingml/2006/main">
                        <a:graphicData uri="http://schemas.microsoft.com/office/word/2010/wordprocessingShape">
                          <wps:wsp>
                            <wps:cNvSpPr txBox="1"/>
                            <wps:spPr>
                              <a:xfrm>
                                <a:off x="0" y="0"/>
                                <a:ext cx="1797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895"/>
                      <wp:effectExtent l="0" t="0" r="0" b="0"/>
                      <wp:wrapNone/>
                      <wp:docPr id="194" name="Frame19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38760" cy="175895"/>
                      <wp:effectExtent l="0" t="0" r="0" b="0"/>
                      <wp:wrapNone/>
                      <wp:docPr id="195" name="Frame194"/>
                      <a:graphic xmlns:a="http://schemas.openxmlformats.org/drawingml/2006/main">
                        <a:graphicData uri="http://schemas.microsoft.com/office/word/2010/wordprocessingShape">
                          <wps:wsp>
                            <wps:cNvSpPr txBox="1"/>
                            <wps:spPr>
                              <a:xfrm>
                                <a:off x="0" y="0"/>
                                <a:ext cx="238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46405" cy="175895"/>
                      <wp:effectExtent l="0" t="0" r="0" b="0"/>
                      <wp:wrapNone/>
                      <wp:docPr id="196" name="Frame195"/>
                      <a:graphic xmlns:a="http://schemas.openxmlformats.org/drawingml/2006/main">
                        <a:graphicData uri="http://schemas.microsoft.com/office/word/2010/wordprocessingShape">
                          <wps:wsp>
                            <wps:cNvSpPr txBox="1"/>
                            <wps:spPr>
                              <a:xfrm>
                                <a:off x="0" y="0"/>
                                <a:ext cx="4464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895"/>
                      <wp:effectExtent l="0" t="0" r="0" b="0"/>
                      <wp:wrapNone/>
                      <wp:docPr id="197" name="Frame19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38760" cy="175895"/>
                      <wp:effectExtent l="0" t="0" r="0" b="0"/>
                      <wp:wrapNone/>
                      <wp:docPr id="198" name="Frame197"/>
                      <a:graphic xmlns:a="http://schemas.openxmlformats.org/drawingml/2006/main">
                        <a:graphicData uri="http://schemas.microsoft.com/office/word/2010/wordprocessingShape">
                          <wps:wsp>
                            <wps:cNvSpPr txBox="1"/>
                            <wps:spPr>
                              <a:xfrm>
                                <a:off x="0" y="0"/>
                                <a:ext cx="238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54965" cy="175895"/>
                      <wp:effectExtent l="0" t="0" r="0" b="0"/>
                      <wp:wrapNone/>
                      <wp:docPr id="199" name="Frame198"/>
                      <a:graphic xmlns:a="http://schemas.openxmlformats.org/drawingml/2006/main">
                        <a:graphicData uri="http://schemas.microsoft.com/office/word/2010/wordprocessingShape">
                          <wps:wsp>
                            <wps:cNvSpPr txBox="1"/>
                            <wps:spPr>
                              <a:xfrm>
                                <a:off x="0" y="0"/>
                                <a:ext cx="3549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2710" cy="175895"/>
                      <wp:effectExtent l="0" t="0" r="0" b="0"/>
                      <wp:wrapNone/>
                      <wp:docPr id="200" name="Frame199"/>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3114" w:type="dxa"/>
            <w:gridSpan w:val="9"/>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228" w:type="dxa"/>
            <w:gridSpan w:val="2"/>
            <w:tcBorders/>
            <w:vAlign w:val="center"/>
          </w:tcPr>
          <w:p>
            <w:pPr>
              <w:pStyle w:val="TableContents"/>
              <w:bidi w:val="0"/>
              <w:spacing w:before="1" w:after="1"/>
              <w:ind w:left="0" w:right="0" w:hanging="0"/>
              <w:jc w:val="center"/>
              <w:rPr/>
            </w:pPr>
            <w:r>
              <w:rPr/>
              <w:t>​</w:t>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1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109" w:type="dxa"/>
            <w:tcBorders/>
            <w:vAlign w:val="center"/>
          </w:tcPr>
          <w:p>
            <w:pPr>
              <w:pStyle w:val="TableContents"/>
              <w:bidi w:val="0"/>
              <w:spacing w:before="1" w:after="1"/>
              <w:ind w:left="0" w:right="0" w:hanging="0"/>
              <w:jc w:val="center"/>
              <w:rPr/>
            </w:pPr>
            <w:r>
              <w:rPr/>
              <w:t>​</w:t>
            </w:r>
          </w:p>
        </w:tc>
        <w:tc>
          <w:tcPr>
            <w:tcW w:w="1079"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December 31,</w:t>
            </w:r>
          </w:p>
        </w:tc>
        <w:tc>
          <w:tcPr>
            <w:tcW w:w="109" w:type="dxa"/>
            <w:tcBorders/>
            <w:vAlign w:val="center"/>
          </w:tcPr>
          <w:p>
            <w:pPr>
              <w:pStyle w:val="TableContents"/>
              <w:bidi w:val="0"/>
              <w:spacing w:before="1" w:after="1"/>
              <w:ind w:left="0" w:right="0" w:hanging="0"/>
              <w:jc w:val="center"/>
              <w:rPr/>
            </w:pPr>
            <w:r>
              <w:rPr/>
              <w:t>​</w:t>
            </w:r>
          </w:p>
        </w:tc>
        <w:tc>
          <w:tcPr>
            <w:tcW w:w="935"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146" w:type="dxa"/>
            <w:gridSpan w:val="2"/>
            <w:tcBorders/>
            <w:vAlign w:val="center"/>
          </w:tcPr>
          <w:p>
            <w:pPr>
              <w:pStyle w:val="TableContents"/>
              <w:bidi w:val="0"/>
              <w:spacing w:before="1" w:after="1"/>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1079"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09" w:type="dxa"/>
            <w:tcBorders/>
            <w:vAlign w:val="center"/>
          </w:tcPr>
          <w:p>
            <w:pPr>
              <w:pStyle w:val="TableContents"/>
              <w:bidi w:val="0"/>
              <w:spacing w:before="1" w:after="1"/>
              <w:ind w:left="0" w:right="0" w:hanging="0"/>
              <w:jc w:val="center"/>
              <w:rPr/>
            </w:pPr>
            <w:r>
              <w:rPr/>
              <w:t>​</w:t>
            </w:r>
          </w:p>
        </w:tc>
        <w:tc>
          <w:tcPr>
            <w:tcW w:w="93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46" w:type="dxa"/>
            <w:gridSpan w:val="2"/>
            <w:tcBorders/>
            <w:vAlign w:val="center"/>
          </w:tcPr>
          <w:p>
            <w:pPr>
              <w:pStyle w:val="TableContents"/>
              <w:bidi w:val="0"/>
              <w:spacing w:before="1" w:after="1"/>
              <w:ind w:left="0" w:right="0" w:hanging="0"/>
              <w:jc w:val="center"/>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1" w:after="1"/>
              <w:ind w:left="0" w:right="0" w:hanging="0"/>
              <w:jc w:val="both"/>
              <w:rPr>
                <w:rFonts w:ascii="Arial Narrow" w:hAnsi="Arial Narrow"/>
                <w:b/>
                <w:sz w:val="18"/>
              </w:rPr>
            </w:pPr>
            <w:r>
              <w:rPr>
                <w:rFonts w:ascii="Arial Narrow" w:hAnsi="Arial Narrow"/>
                <w:b/>
                <w:sz w:val="18"/>
              </w:rPr>
              <w:t>Rig utilization</w:t>
            </w:r>
          </w:p>
        </w:tc>
        <w:tc>
          <w:tcPr>
            <w:tcW w:w="109" w:type="dxa"/>
            <w:tcBorders/>
            <w:vAlign w:val="center"/>
          </w:tcPr>
          <w:p>
            <w:pPr>
              <w:pStyle w:val="TableContents"/>
              <w:bidi w:val="0"/>
              <w:spacing w:before="1" w:after="1"/>
              <w:ind w:left="0" w:right="0" w:hanging="0"/>
              <w:jc w:val="left"/>
              <w:rPr/>
            </w:pPr>
            <w:r>
              <w:rPr/>
              <w:t>​</w:t>
            </w:r>
          </w:p>
        </w:tc>
        <w:tc>
          <w:tcPr>
            <w:tcW w:w="527" w:type="dxa"/>
            <w:tcBorders/>
            <w:vAlign w:val="center"/>
          </w:tcPr>
          <w:p>
            <w:pPr>
              <w:pStyle w:val="TableContents"/>
              <w:bidi w:val="0"/>
              <w:spacing w:before="1" w:after="1"/>
              <w:ind w:left="0" w:right="0" w:hanging="0"/>
              <w:jc w:val="center"/>
              <w:rPr/>
            </w:pPr>
            <w:r>
              <w:rPr/>
              <w:t>​</w:t>
            </w:r>
          </w:p>
        </w:tc>
        <w:tc>
          <w:tcPr>
            <w:tcW w:w="28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center"/>
              <w:rPr/>
            </w:pPr>
            <w:r>
              <w:rPr/>
              <w:t>​</w:t>
            </w:r>
          </w:p>
        </w:tc>
        <w:tc>
          <w:tcPr>
            <w:tcW w:w="70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center"/>
              <w:rPr/>
            </w:pPr>
            <w:r>
              <w:rPr/>
              <w:t>​</w:t>
            </w:r>
          </w:p>
        </w:tc>
        <w:tc>
          <w:tcPr>
            <w:tcW w:w="559" w:type="dxa"/>
            <w:tcBorders/>
            <w:vAlign w:val="center"/>
          </w:tcPr>
          <w:p>
            <w:pPr>
              <w:pStyle w:val="TableContents"/>
              <w:bidi w:val="0"/>
              <w:spacing w:before="1" w:after="1"/>
              <w:ind w:left="0" w:right="0" w:hanging="0"/>
              <w:jc w:val="center"/>
              <w:rPr/>
            </w:pPr>
            <w:r>
              <w:rPr/>
              <w:t>​</w:t>
            </w:r>
          </w:p>
        </w:tc>
        <w:tc>
          <w:tcPr>
            <w:tcW w:w="146" w:type="dxa"/>
            <w:gridSpan w:val="2"/>
            <w:tcBorders/>
            <w:vAlign w:val="center"/>
          </w:tcPr>
          <w:p>
            <w:pPr>
              <w:pStyle w:val="TableContents"/>
              <w:bidi w:val="0"/>
              <w:spacing w:before="1" w:after="1"/>
              <w:ind w:left="0" w:right="0" w:hanging="0"/>
              <w:jc w:val="left"/>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09" w:type="dxa"/>
            <w:tcBorders/>
            <w:shd w:fill="CEDBE0" w:val="clear"/>
            <w:vAlign w:val="center"/>
          </w:tcPr>
          <w:p>
            <w:pPr>
              <w:pStyle w:val="TableContents"/>
              <w:bidi w:val="0"/>
              <w:spacing w:before="1" w:after="1"/>
              <w:ind w:left="0" w:right="0" w:hanging="0"/>
              <w:jc w:val="left"/>
              <w:rPr/>
            </w:pPr>
            <w:r>
              <w:rPr/>
              <w:t>​</w:t>
            </w:r>
          </w:p>
        </w:tc>
        <w:tc>
          <w:tcPr>
            <w:tcW w:w="527"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82.1</w:t>
            </w:r>
          </w:p>
        </w:tc>
        <w:tc>
          <w:tcPr>
            <w:tcW w:w="28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82.1</w:t>
            </w:r>
          </w:p>
        </w:tc>
        <w:tc>
          <w:tcPr>
            <w:tcW w:w="70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61.5</w:t>
            </w:r>
          </w:p>
        </w:tc>
        <w:tc>
          <w:tcPr>
            <w:tcW w:w="55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46" w:type="dxa"/>
            <w:gridSpan w:val="2"/>
            <w:tcBorders/>
            <w:shd w:fill="CEDBE0" w:val="clear"/>
            <w:vAlign w:val="center"/>
          </w:tcPr>
          <w:p>
            <w:pPr>
              <w:pStyle w:val="TableContents"/>
              <w:bidi w:val="0"/>
              <w:spacing w:before="1"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09" w:type="dxa"/>
            <w:tcBorders/>
            <w:vAlign w:val="center"/>
          </w:tcPr>
          <w:p>
            <w:pPr>
              <w:pStyle w:val="TableContents"/>
              <w:bidi w:val="0"/>
              <w:spacing w:before="1" w:after="1"/>
              <w:ind w:left="0" w:right="0" w:hanging="0"/>
              <w:jc w:val="left"/>
              <w:rPr/>
            </w:pPr>
            <w:r>
              <w:rPr/>
              <w:t>​</w:t>
            </w:r>
          </w:p>
        </w:tc>
        <w:tc>
          <w:tcPr>
            <w:tcW w:w="527"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100.0</w:t>
            </w:r>
          </w:p>
        </w:tc>
        <w:tc>
          <w:tcPr>
            <w:tcW w:w="283"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96.6</w:t>
            </w:r>
          </w:p>
        </w:tc>
        <w:tc>
          <w:tcPr>
            <w:tcW w:w="703"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69.5</w:t>
            </w:r>
          </w:p>
        </w:tc>
        <w:tc>
          <w:tcPr>
            <w:tcW w:w="559"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46" w:type="dxa"/>
            <w:gridSpan w:val="2"/>
            <w:tcBorders/>
            <w:vAlign w:val="center"/>
          </w:tcPr>
          <w:p>
            <w:pPr>
              <w:pStyle w:val="TableContents"/>
              <w:bidi w:val="0"/>
              <w:spacing w:before="1"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fleet average rig utilization</w:t>
            </w:r>
          </w:p>
        </w:tc>
        <w:tc>
          <w:tcPr>
            <w:tcW w:w="109" w:type="dxa"/>
            <w:tcBorders/>
            <w:shd w:fill="CEDBE0" w:val="clear"/>
            <w:vAlign w:val="center"/>
          </w:tcPr>
          <w:p>
            <w:pPr>
              <w:pStyle w:val="TableContents"/>
              <w:bidi w:val="0"/>
              <w:spacing w:before="1" w:after="1"/>
              <w:ind w:left="0" w:right="0" w:hanging="0"/>
              <w:jc w:val="left"/>
              <w:rPr/>
            </w:pPr>
            <w:r>
              <w:rPr/>
              <w:t>​</w:t>
            </w:r>
          </w:p>
        </w:tc>
        <w:tc>
          <w:tcPr>
            <w:tcW w:w="527"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86.7</w:t>
            </w:r>
          </w:p>
        </w:tc>
        <w:tc>
          <w:tcPr>
            <w:tcW w:w="28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85.8</w:t>
            </w:r>
          </w:p>
        </w:tc>
        <w:tc>
          <w:tcPr>
            <w:tcW w:w="70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63.4</w:t>
            </w:r>
          </w:p>
        </w:tc>
        <w:tc>
          <w:tcPr>
            <w:tcW w:w="55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46" w:type="dxa"/>
            <w:gridSpan w:val="2"/>
            <w:tcBorders/>
            <w:shd w:fill="CEDBE0" w:val="clear"/>
            <w:vAlign w:val="center"/>
          </w:tcPr>
          <w:p>
            <w:pPr>
              <w:pStyle w:val="TableContents"/>
              <w:bidi w:val="0"/>
              <w:spacing w:before="1" w:after="1"/>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ind w:left="0" w:right="0" w:firstLine="720"/>
        <w:jc w:val="both"/>
        <w:rPr>
          <w:rFonts w:ascii="Arial Narrow" w:hAnsi="Arial Narrow"/>
          <w:sz w:val="20"/>
        </w:rPr>
      </w:pPr>
      <w:r>
        <w:rPr>
          <w:rFonts w:ascii="Arial Narrow" w:hAnsi="Arial Narrow"/>
          <w:sz w:val="20"/>
        </w:rPr>
        <w:t>Our rig utilization rate declines as a result of idle and stacked rigs and during shipyard, contract preparation and mobilization periods.  We include newbuilds in the calculation when the rigs commence operations upon acceptance by the customer.  We remove a rig from the calculation upon disposal or classification as held for sale, unless we continue to operate the rig, in which case we remove the rig upon completion or novation of the contract.  Accordingly, our rig utilization can increase when we remove idle or stacked units from our fleet.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670" w:name="OperatingResults"/>
      <w:bookmarkEnd w:id="670"/>
      <w:r>
        <w:rPr>
          <w:rFonts w:ascii="Arial Narrow" w:hAnsi="Arial Narrow"/>
          <w:b/>
          <w:caps/>
          <w:color w:val="00556F"/>
          <w:sz w:val="22"/>
        </w:rPr>
        <w:t>Operating Results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Three months ended March 31, 2026 compared to the three months ended March 31, 2025</w:t>
      </w:r>
    </w:p>
    <w:p>
      <w:pPr>
        <w:pStyle w:val="TextBody"/>
        <w:bidi w:val="0"/>
        <w:spacing w:before="60" w:after="0"/>
        <w:ind w:left="0" w:right="0" w:firstLine="720"/>
        <w:jc w:val="both"/>
        <w:rPr/>
      </w:pPr>
      <w:r>
        <w:rPr>
          <w:rFonts w:ascii="Arial Narrow" w:hAnsi="Arial Narrow"/>
          <w:sz w:val="20"/>
        </w:rPr>
        <w:t>The following is an analysis of our operating results.  See “—</w:t>
      </w:r>
      <w:hyperlink w:anchor="PerformanceAndOtherKeyIndicators">
        <w:r>
          <w:rPr>
            <w:rStyle w:val="InternetLink"/>
            <w:rFonts w:ascii="Arial Narrow" w:hAnsi="Arial Narrow"/>
            <w:b w:val="false"/>
            <w:i w:val="false"/>
            <w:caps w:val="false"/>
            <w:smallCaps w:val="false"/>
            <w:sz w:val="20"/>
          </w:rPr>
          <w:t>Performance and Other Key Indicators</w:t>
        </w:r>
      </w:hyperlink>
      <w:r>
        <w:rPr>
          <w:rFonts w:ascii="Arial Narrow" w:hAnsi="Arial Narrow"/>
          <w:sz w:val="20"/>
        </w:rPr>
        <w:t>” for definitions of operating days, average daily revenue, revenue efficiency and rig utilization.</w:t>
      </w:r>
    </w:p>
    <w:tbl>
      <w:tblPr>
        <w:tblW w:w="7818" w:type="dxa"/>
        <w:jc w:val="left"/>
        <w:tblInd w:w="0" w:type="dxa"/>
        <w:tblLayout w:type="fixed"/>
        <w:tblCellMar>
          <w:top w:w="0" w:type="dxa"/>
          <w:left w:w="0" w:type="dxa"/>
          <w:bottom w:w="0" w:type="dxa"/>
          <w:right w:w="0" w:type="dxa"/>
        </w:tblCellMar>
      </w:tblPr>
      <w:tblGrid>
        <w:gridCol w:w="2551"/>
        <w:gridCol w:w="346"/>
        <w:gridCol w:w="181"/>
        <w:gridCol w:w="601"/>
        <w:gridCol w:w="331"/>
        <w:gridCol w:w="346"/>
        <w:gridCol w:w="181"/>
        <w:gridCol w:w="601"/>
        <w:gridCol w:w="331"/>
        <w:gridCol w:w="346"/>
        <w:gridCol w:w="181"/>
        <w:gridCol w:w="526"/>
        <w:gridCol w:w="346"/>
        <w:gridCol w:w="442"/>
        <w:gridCol w:w="354"/>
        <w:gridCol w:w="154"/>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19885" cy="175260"/>
                      <wp:effectExtent l="0" t="0" r="0" b="0"/>
                      <wp:wrapNone/>
                      <wp:docPr id="201" name="Frame200"/>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14935" cy="175260"/>
                      <wp:effectExtent l="0" t="0" r="0" b="0"/>
                      <wp:wrapNone/>
                      <wp:docPr id="203" name="Frame20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81635" cy="175260"/>
                      <wp:effectExtent l="0" t="0" r="0" b="0"/>
                      <wp:wrapNone/>
                      <wp:docPr id="204" name="Frame2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0185" cy="175260"/>
                      <wp:effectExtent l="0" t="0" r="0" b="0"/>
                      <wp:wrapNone/>
                      <wp:docPr id="205" name="Frame20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14935" cy="175260"/>
                      <wp:effectExtent l="0" t="0" r="0" b="0"/>
                      <wp:wrapNone/>
                      <wp:docPr id="207" name="Frame2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81635" cy="175260"/>
                      <wp:effectExtent l="0" t="0" r="0" b="0"/>
                      <wp:wrapNone/>
                      <wp:docPr id="208" name="Frame20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0185" cy="175260"/>
                      <wp:effectExtent l="0" t="0" r="0" b="0"/>
                      <wp:wrapNone/>
                      <wp:docPr id="209" name="Frame20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14935" cy="175260"/>
                      <wp:effectExtent l="0" t="0" r="0" b="0"/>
                      <wp:wrapNone/>
                      <wp:docPr id="211" name="Frame21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34010" cy="175260"/>
                      <wp:effectExtent l="0" t="0" r="0" b="0"/>
                      <wp:wrapNone/>
                      <wp:docPr id="212" name="Frame21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80670" cy="175260"/>
                      <wp:effectExtent l="0" t="0" r="0" b="0"/>
                      <wp:wrapNone/>
                      <wp:docPr id="214" name="Frame21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4790" cy="175260"/>
                      <wp:effectExtent l="0" t="0" r="0" b="0"/>
                      <wp:wrapNone/>
                      <wp:docPr id="215" name="Frame214"/>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7790" cy="175260"/>
                      <wp:effectExtent l="0" t="0" r="0" b="0"/>
                      <wp:wrapNone/>
                      <wp:docPr id="216" name="Frame2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Three months ended March 31,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54"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2026</w:t>
            </w:r>
          </w:p>
        </w:tc>
        <w:tc>
          <w:tcPr>
            <w:tcW w:w="346" w:type="dxa"/>
            <w:tcBorders/>
            <w:vAlign w:val="center"/>
          </w:tcPr>
          <w:p>
            <w:pPr>
              <w:pStyle w:val="TableContents"/>
              <w:bidi w:val="0"/>
              <w:spacing w:before="0" w:after="1"/>
              <w:ind w:left="0" w:right="0" w:hanging="0"/>
              <w:jc w:val="center"/>
              <w:rPr/>
            </w:pPr>
            <w:r>
              <w:rPr/>
              <w:t>  ​ ​ ​</w:t>
            </w:r>
          </w:p>
        </w:tc>
        <w:tc>
          <w:tcPr>
            <w:tcW w:w="11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2025</w:t>
            </w:r>
          </w:p>
        </w:tc>
        <w:tc>
          <w:tcPr>
            <w:tcW w:w="346" w:type="dxa"/>
            <w:tcBorders/>
            <w:vAlign w:val="center"/>
          </w:tcPr>
          <w:p>
            <w:pPr>
              <w:pStyle w:val="TableContents"/>
              <w:bidi w:val="0"/>
              <w:spacing w:before="0" w:after="1"/>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Change</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 Change</w:t>
            </w:r>
          </w:p>
        </w:tc>
        <w:tc>
          <w:tcPr>
            <w:tcW w:w="154" w:type="dxa"/>
            <w:tcBorders/>
            <w:vAlign w:val="center"/>
          </w:tcPr>
          <w:p>
            <w:pPr>
              <w:pStyle w:val="TableContents"/>
              <w:bidi w:val="0"/>
              <w:spacing w:before="0" w:after="1"/>
              <w:ind w:left="0" w:right="0" w:hanging="0"/>
              <w:jc w:val="center"/>
              <w:rPr/>
            </w:pPr>
            <w:r>
              <w:rPr/>
              <w:t>​</w:t>
            </w:r>
          </w:p>
        </w:tc>
      </w:tr>
      <w:tr>
        <w:trPr/>
        <w:tc>
          <w:tcPr>
            <w:tcW w:w="7818"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413" w:type="dxa"/>
            <w:gridSpan w:val="12"/>
            <w:tcBorders/>
            <w:vAlign w:val="center"/>
          </w:tcPr>
          <w:p>
            <w:pPr>
              <w:pStyle w:val="TableContents"/>
              <w:bidi w:val="0"/>
              <w:spacing w:before="0" w:after="1"/>
              <w:ind w:left="0" w:right="0" w:hanging="0"/>
              <w:jc w:val="center"/>
              <w:rPr>
                <w:rFonts w:ascii="Arial Narrow" w:hAnsi="Arial Narrow"/>
                <w:b/>
                <w:sz w:val="14"/>
              </w:rPr>
            </w:pPr>
            <w:r>
              <w:rPr>
                <w:rFonts w:ascii="Arial Narrow" w:hAnsi="Arial Narrow"/>
                <w:b/>
                <w:sz w:val="14"/>
              </w:rPr>
              <w:t>(in millions, except day amounts and percentages)</w:t>
            </w:r>
          </w:p>
        </w:tc>
        <w:tc>
          <w:tcPr>
            <w:tcW w:w="354"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Operating days</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2,108</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 </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1,940</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168</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w:t>
            </w:r>
          </w:p>
        </w:tc>
        <w:tc>
          <w:tcPr>
            <w:tcW w:w="354"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Average daily revenue</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475,600</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443,600</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32,000</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7</w:t>
            </w:r>
          </w:p>
        </w:tc>
        <w:tc>
          <w:tcPr>
            <w:tcW w:w="354"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xml:space="preserve">Revenue efficiency </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97.3</w:t>
            </w:r>
          </w:p>
        </w:tc>
        <w:tc>
          <w:tcPr>
            <w:tcW w:w="33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95.5</w:t>
            </w:r>
          </w:p>
        </w:tc>
        <w:tc>
          <w:tcPr>
            <w:tcW w:w="33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pPr>
            <w:r>
              <w:rPr/>
              <w:t>​</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Rig utilization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86.7</w:t>
            </w:r>
          </w:p>
        </w:tc>
        <w:tc>
          <w:tcPr>
            <w:tcW w:w="33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63.4</w:t>
            </w:r>
          </w:p>
        </w:tc>
        <w:tc>
          <w:tcPr>
            <w:tcW w:w="33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Contract drilling revenues</w:t>
            </w:r>
          </w:p>
        </w:tc>
        <w:tc>
          <w:tcPr>
            <w:tcW w:w="346" w:type="dxa"/>
            <w:tcBorders/>
            <w:shd w:fill="CEDBE0" w:val="clear"/>
            <w:vAlign w:val="center"/>
          </w:tcPr>
          <w:p>
            <w:pPr>
              <w:pStyle w:val="TableContents"/>
              <w:bidi w:val="0"/>
              <w:spacing w:before="0" w:after="1"/>
              <w:ind w:left="0" w:right="0" w:hanging="0"/>
              <w:jc w:val="left"/>
              <w:rPr/>
            </w:pPr>
            <w:r>
              <w:rPr/>
              <w:t> </w:t>
            </w:r>
          </w:p>
        </w:tc>
        <w:tc>
          <w:tcPr>
            <w:tcW w:w="18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1,081</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906</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175</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19</w:t>
            </w:r>
          </w:p>
        </w:tc>
        <w:tc>
          <w:tcPr>
            <w:tcW w:w="354"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Operating and maintenance expense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(606)</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(618)</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12</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54"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Depreciation and amortization expense</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(143)</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(176)</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33</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19</w:t>
            </w:r>
          </w:p>
        </w:tc>
        <w:tc>
          <w:tcPr>
            <w:tcW w:w="354"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General and administrative expense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(49)</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(50)</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54"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Gain on disposal of assets, net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Operating income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287</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64</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223</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Other income (expense), net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Interest income</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10</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8</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25</w:t>
            </w:r>
          </w:p>
        </w:tc>
        <w:tc>
          <w:tcPr>
            <w:tcW w:w="354"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Interest expense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(276)</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(116)</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(160)</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Loss on retirement of debt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pPr>
            <w:r>
              <w:rPr/>
              <w:t>—</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Other, net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7</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3</w:t>
            </w:r>
          </w:p>
        </w:tc>
        <w:tc>
          <w:tcPr>
            <w:tcW w:w="346" w:type="dxa"/>
            <w:tcBorders/>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75</w:t>
            </w:r>
          </w:p>
        </w:tc>
        <w:tc>
          <w:tcPr>
            <w:tcW w:w="354"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Income (loss) before income taxes</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17</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(40)</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57</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Income tax (expense) benefit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54</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(39)</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93</w:t>
            </w:r>
          </w:p>
        </w:tc>
        <w:tc>
          <w:tcPr>
            <w:tcW w:w="346" w:type="dxa"/>
            <w:tcBorders/>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Net income (loss)</w:t>
            </w:r>
          </w:p>
        </w:tc>
        <w:tc>
          <w:tcPr>
            <w:tcW w:w="346" w:type="dxa"/>
            <w:tcBorders/>
            <w:shd w:fill="CEDBE0" w:val="clear"/>
            <w:vAlign w:val="center"/>
          </w:tcPr>
          <w:p>
            <w:pPr>
              <w:pStyle w:val="TableContents"/>
              <w:bidi w:val="0"/>
              <w:spacing w:before="0" w:after="1"/>
              <w:ind w:left="0" w:right="0" w:hanging="0"/>
              <w:jc w:val="left"/>
              <w:rPr/>
            </w:pPr>
            <w:r>
              <w:rPr/>
              <w:t> </w:t>
            </w:r>
          </w:p>
        </w:tc>
        <w:tc>
          <w:tcPr>
            <w:tcW w:w="181" w:type="dxa"/>
            <w:tcBorders>
              <w:bottom w:val="single" w:sz="12" w:space="0" w:color="000000"/>
            </w:tcBorders>
            <w:shd w:fill="CEDBE0" w:val="clear"/>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71</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(79)</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526" w:type="dxa"/>
            <w:tcBorders>
              <w:bottom w:val="single" w:sz="1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150</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bottom w:val="single" w:sz="1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bl>
    <w:p>
      <w:pPr>
        <w:pStyle w:val="TextBody"/>
        <w:pBdr/>
        <w:bidi w:val="0"/>
        <w:spacing w:before="0" w:after="60"/>
        <w:ind w:left="0" w:right="0" w:hanging="360"/>
        <w:jc w:val="both"/>
        <w:rPr/>
      </w:pPr>
      <w:r>
        <w:rPr/>
        <w:t>“</w:t>
      </w:r>
      <w:r>
        <w:rPr>
          <w:rFonts w:ascii="Arial Narrow" w:hAnsi="Arial Narrow"/>
          <w:sz w:val="18"/>
        </w:rPr>
        <w:t>nm” means not meaningful.</w:t>
      </w:r>
    </w:p>
    <w:p>
      <w:pPr>
        <w:pStyle w:val="TextBody"/>
        <w:bidi w:val="0"/>
        <w:spacing w:before="0" w:after="0"/>
        <w:ind w:left="0" w:right="0" w:hanging="0"/>
        <w:jc w:val="center"/>
        <w:rPr>
          <w:rFonts w:ascii="Arial Narrow" w:hAnsi="Arial Narrow"/>
          <w:sz w:val="20"/>
        </w:rPr>
      </w:pPr>
      <w:r>
        <w:rPr>
          <w:rFonts w:ascii="Arial Narrow" w:hAnsi="Arial Narrow"/>
          <w:sz w:val="20"/>
        </w:rPr>
        <w:t>- 15 -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firstLine="720"/>
        <w:jc w:val="both"/>
        <w:rPr>
          <w:rFonts w:ascii="Arial Narrow" w:hAnsi="Arial Narrow"/>
          <w:sz w:val="20"/>
        </w:rPr>
      </w:pPr>
      <w:r>
        <w:rPr>
          <w:rFonts w:ascii="Arial Narrow" w:hAnsi="Arial Narrow"/>
          <w:b/>
          <w:sz w:val="20"/>
        </w:rPr>
        <w:t>Contract drilling revenues</w:t>
      </w:r>
      <w:r>
        <w:rPr>
          <w:rFonts w:ascii="Arial Narrow" w:hAnsi="Arial Narrow"/>
          <w:sz w:val="20"/>
        </w:rPr>
        <w:t>—Contract drilling revenues increased for the three months ended March 31, 2026, compared to the three months ended March 31, 2025, primarily due to the following: (a) approximately $80 million resulting from increased utilization, (b) approximately $65 million resulting from higher average daily revenues, (c) approximately $15 million resulting from increased reimbursement revenues, and (d) approximately $15 million resulting from increased revenue efficiency for the active fleet.</w:t>
      </w:r>
    </w:p>
    <w:p>
      <w:pPr>
        <w:pStyle w:val="TextBody"/>
        <w:bidi w:val="0"/>
        <w:spacing w:before="60" w:after="120"/>
        <w:ind w:left="0" w:right="0" w:firstLine="720"/>
        <w:jc w:val="both"/>
        <w:rPr>
          <w:rFonts w:ascii="Arial Narrow" w:hAnsi="Arial Narrow"/>
          <w:sz w:val="20"/>
        </w:rPr>
      </w:pPr>
      <w:r>
        <w:rPr>
          <w:rFonts w:ascii="Arial Narrow" w:hAnsi="Arial Narrow"/>
          <w:b/>
          <w:sz w:val="20"/>
        </w:rPr>
        <w:t>Costs and expenses</w:t>
      </w:r>
      <w:r>
        <w:rPr>
          <w:rFonts w:ascii="Arial Narrow" w:hAnsi="Arial Narrow"/>
          <w:sz w:val="20"/>
        </w:rPr>
        <w:t>—Operating and maintenance costs and expenses decreased for the three months ended March 31, 2026, compared to the three months ended March 31, 2025, primarily due to the following: (a) a non-cash loss of $34 million in the earlier year resulting from an unfavorable legal outcome, (b) approximately $5 million resulting from rigs sold, and (c) approximately $5 million resulting from lower in-service costs related to additional services.  These decreases were partially offset by the following increases: (a) approximately $15 million resulting from reimbursable costs, (b) approximately $10 million resulting from increased personnel costs, (c) approximately $5 million resulting from increased utilization, and (d) approximately $5 million resulting from severance costs.</w:t>
      </w:r>
    </w:p>
    <w:p>
      <w:pPr>
        <w:pStyle w:val="TextBody"/>
        <w:bidi w:val="0"/>
        <w:spacing w:before="60" w:after="120"/>
        <w:ind w:left="0" w:right="0" w:firstLine="720"/>
        <w:jc w:val="both"/>
        <w:rPr>
          <w:rFonts w:ascii="Arial Narrow" w:hAnsi="Arial Narrow"/>
          <w:sz w:val="20"/>
        </w:rPr>
      </w:pPr>
      <w:r>
        <w:rPr>
          <w:rFonts w:ascii="Arial Narrow" w:hAnsi="Arial Narrow"/>
          <w:sz w:val="20"/>
        </w:rPr>
        <w:t>Depreciation and amortization expense decreased for the three months ended March 31, 2026, compared to the three months ended March 31, 2025, primarily due to $34 million resulting from rigs sold or classified as held for sale.</w:t>
      </w:r>
    </w:p>
    <w:p>
      <w:pPr>
        <w:pStyle w:val="TextBody"/>
        <w:bidi w:val="0"/>
        <w:spacing w:before="60" w:after="120"/>
        <w:ind w:left="0" w:right="0" w:firstLine="720"/>
        <w:jc w:val="both"/>
        <w:rPr>
          <w:rFonts w:ascii="Arial Narrow" w:hAnsi="Arial Narrow"/>
          <w:sz w:val="20"/>
        </w:rPr>
      </w:pPr>
      <w:r>
        <w:rPr>
          <w:rFonts w:ascii="Arial Narrow" w:hAnsi="Arial Narrow"/>
          <w:b/>
          <w:sz w:val="20"/>
        </w:rPr>
        <w:t>Other income and expense</w:t>
      </w:r>
      <w:r>
        <w:rPr>
          <w:rFonts w:ascii="Arial Narrow" w:hAnsi="Arial Narrow"/>
          <w:sz w:val="20"/>
        </w:rPr>
        <w:t>—Interest expense increased in the three months ended March 31, 2026, compared to the three months ended March 31, 2025, primarily due to the following: (a) $189 million increased interest resulting from changes to the fair value of the bifurcated compound exchange feature embedded in the indenture governing the 4.625% senior guaranteed exchangeable bonds due September 2029 and (b) $10 million increased interest resulting from debt issued in the earlier year, partially offset by (c) $34 million decreased interest resulting from debt repaid as scheduled or early retired.</w:t>
      </w:r>
    </w:p>
    <w:p>
      <w:pPr>
        <w:pStyle w:val="TextBody"/>
        <w:bidi w:val="0"/>
        <w:spacing w:before="60" w:after="120"/>
        <w:ind w:left="0" w:right="0" w:firstLine="720"/>
        <w:jc w:val="both"/>
        <w:rPr>
          <w:rFonts w:ascii="Arial Narrow" w:hAnsi="Arial Narrow"/>
          <w:sz w:val="20"/>
        </w:rPr>
      </w:pPr>
      <w:r>
        <w:rPr>
          <w:rFonts w:ascii="Arial Narrow" w:hAnsi="Arial Narrow"/>
          <w:sz w:val="20"/>
        </w:rPr>
        <w:t>In the three months ended March 31, 2026, we recognized a loss on retirement of debt associated with the retirement of the 8.375% Senior Secured Notes.</w:t>
      </w:r>
    </w:p>
    <w:p>
      <w:pPr>
        <w:pStyle w:val="TextBody"/>
        <w:bidi w:val="0"/>
        <w:spacing w:before="60" w:after="120"/>
        <w:ind w:left="0" w:right="0" w:firstLine="720"/>
        <w:jc w:val="both"/>
        <w:rPr>
          <w:rFonts w:ascii="Arial Narrow" w:hAnsi="Arial Narrow"/>
          <w:sz w:val="20"/>
        </w:rPr>
      </w:pPr>
      <w:r>
        <w:rPr>
          <w:rFonts w:ascii="Arial Narrow" w:hAnsi="Arial Narrow"/>
          <w:b/>
          <w:sz w:val="20"/>
        </w:rPr>
        <w:t>Income tax expense or benefit</w:t>
      </w:r>
      <w:r>
        <w:rPr>
          <w:rFonts w:ascii="Arial Narrow" w:hAnsi="Arial Narrow"/>
          <w:sz w:val="20"/>
        </w:rPr>
        <w:t>—In the three months ended March 31, 2026 and 2025, our effective tax rate was (335.3)% percent and (95.8) percent, respectively, based on income or loss before income taxes.  In the three months ended March 31, 2026 and 2025, the effect of various discrete period tax items was a net tax benefit of $113 million and a net tax expense of $14 million, respectively.  In the three months ended March 31, 2026, such discrete items included changes to operating structures, various uncertain tax positions and valuation allowances.  In the three months ended March 31, 2025, such discrete items included changes to various uncertain tax positions and valuation allowances.  In the three months ended March 31, 2026 and 2025, our effective tax rate, excluding discrete items, was 192.0 percent and (62.3) percent, respectively, based on income or loss before income taxes.</w:t>
      </w:r>
    </w:p>
    <w:p>
      <w:pPr>
        <w:pStyle w:val="TextBody"/>
        <w:bidi w:val="0"/>
        <w:spacing w:before="60" w:after="120"/>
        <w:ind w:left="0" w:right="0" w:firstLine="720"/>
        <w:jc w:val="both"/>
        <w:rPr>
          <w:rFonts w:ascii="Arial Narrow" w:hAnsi="Arial Narrow"/>
          <w:sz w:val="20"/>
        </w:rPr>
      </w:pPr>
      <w:r>
        <w:rPr>
          <w:rFonts w:ascii="Arial Narrow" w:hAnsi="Arial Narrow"/>
          <w:sz w:val="20"/>
        </w:rPr>
        <w:t>Due to our operating activities and organizational structure, our income tax expense or benefit does not change proportionally with our income or loss before income taxes.  We may have subsidiaries with tax expense on taxable earnings that exceeds the tax benefits in other jurisdictions, or vice versa, which sometimes results in a negative effective tax rate or unusually large effective tax rates relative to consolidated income or loss before income tax expense or benefit.  Our earnings are unevenly distributed across jurisdictions and may experience variability in timing among interim periods throughout the year, and such variability may influence the allocation of income tax expense or benefit to the respective interim period.  The annual effective tax rate used to allocate income tax expense or benefit to interim periods may also be influenced by the removal of loss jurisdictions from the calculations.  Our rig operating structures further complicate our tax calculations, especially in instances where we have more than one operating structure for the taxing jurisdiction and, thus, more than one method of calculating taxes depending on the operating structure utilized by the rig under the contract.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671" w:name="LiquidityAndCapitalResources"/>
      <w:bookmarkEnd w:id="671"/>
      <w:r>
        <w:rPr>
          <w:rFonts w:ascii="Arial Narrow" w:hAnsi="Arial Narrow"/>
          <w:b/>
          <w:caps/>
          <w:color w:val="00556F"/>
          <w:sz w:val="22"/>
        </w:rPr>
        <w:t>Liquidity and Capital Resources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Sources and uses of cash</w:t>
      </w:r>
    </w:p>
    <w:p>
      <w:pPr>
        <w:pStyle w:val="TextBody"/>
        <w:bidi w:val="0"/>
        <w:spacing w:before="60" w:after="120"/>
        <w:ind w:left="0" w:right="0" w:firstLine="720"/>
        <w:jc w:val="both"/>
        <w:rPr>
          <w:rFonts w:ascii="Arial Narrow" w:hAnsi="Arial Narrow"/>
          <w:sz w:val="20"/>
        </w:rPr>
      </w:pPr>
      <w:r>
        <w:rPr>
          <w:rFonts w:ascii="Arial Narrow" w:hAnsi="Arial Narrow"/>
          <w:sz w:val="20"/>
        </w:rPr>
        <w:t>In the three months ended March 31, 2026, our primary source of cash was net cash provided by operating activities.  Our primary uses of cash were debt repayments and capital expenditures.</w:t>
      </w:r>
    </w:p>
    <w:tbl>
      <w:tblPr>
        <w:tblW w:w="5983" w:type="dxa"/>
        <w:jc w:val="left"/>
        <w:tblInd w:w="0" w:type="dxa"/>
        <w:tblLayout w:type="fixed"/>
        <w:tblCellMar>
          <w:top w:w="0" w:type="dxa"/>
          <w:left w:w="0" w:type="dxa"/>
          <w:bottom w:w="0" w:type="dxa"/>
          <w:right w:w="0" w:type="dxa"/>
        </w:tblCellMar>
      </w:tblPr>
      <w:tblGrid>
        <w:gridCol w:w="3031"/>
        <w:gridCol w:w="286"/>
        <w:gridCol w:w="199"/>
        <w:gridCol w:w="464"/>
        <w:gridCol w:w="315"/>
        <w:gridCol w:w="199"/>
        <w:gridCol w:w="381"/>
        <w:gridCol w:w="286"/>
        <w:gridCol w:w="223"/>
        <w:gridCol w:w="408"/>
        <w:gridCol w:w="19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924685" cy="175895"/>
                      <wp:effectExtent l="0" t="0" r="0" b="0"/>
                      <wp:wrapNone/>
                      <wp:docPr id="217" name="Frame216"/>
                      <a:graphic xmlns:a="http://schemas.openxmlformats.org/drawingml/2006/main">
                        <a:graphicData uri="http://schemas.microsoft.com/office/word/2010/wordprocessingShape">
                          <wps:wsp>
                            <wps:cNvSpPr txBox="1"/>
                            <wps:spPr>
                              <a:xfrm>
                                <a:off x="0" y="0"/>
                                <a:ext cx="1924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1610" cy="175895"/>
                      <wp:effectExtent l="0" t="0" r="0" b="0"/>
                      <wp:wrapNone/>
                      <wp:docPr id="218" name="Frame217"/>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26365" cy="175895"/>
                      <wp:effectExtent l="0" t="0" r="0" b="0"/>
                      <wp:wrapNone/>
                      <wp:docPr id="219" name="Frame218"/>
                      <a:graphic xmlns:a="http://schemas.openxmlformats.org/drawingml/2006/main">
                        <a:graphicData uri="http://schemas.microsoft.com/office/word/2010/wordprocessingShape">
                          <wps:wsp>
                            <wps:cNvSpPr txBox="1"/>
                            <wps:spPr>
                              <a:xfrm>
                                <a:off x="0" y="0"/>
                                <a:ext cx="1263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94640" cy="175895"/>
                      <wp:effectExtent l="0" t="0" r="0" b="0"/>
                      <wp:wrapNone/>
                      <wp:docPr id="220" name="Frame219"/>
                      <a:graphic xmlns:a="http://schemas.openxmlformats.org/drawingml/2006/main">
                        <a:graphicData uri="http://schemas.microsoft.com/office/word/2010/wordprocessingShape">
                          <wps:wsp>
                            <wps:cNvSpPr txBox="1"/>
                            <wps:spPr>
                              <a:xfrm>
                                <a:off x="0" y="0"/>
                                <a:ext cx="2946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0025" cy="175895"/>
                      <wp:effectExtent l="0" t="0" r="0" b="0"/>
                      <wp:wrapNone/>
                      <wp:docPr id="221" name="Frame220"/>
                      <a:graphic xmlns:a="http://schemas.openxmlformats.org/drawingml/2006/main">
                        <a:graphicData uri="http://schemas.microsoft.com/office/word/2010/wordprocessingShape">
                          <wps:wsp>
                            <wps:cNvSpPr txBox="1"/>
                            <wps:spPr>
                              <a:xfrm>
                                <a:off x="0" y="0"/>
                                <a:ext cx="2000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6365" cy="175895"/>
                      <wp:effectExtent l="0" t="0" r="0" b="0"/>
                      <wp:wrapNone/>
                      <wp:docPr id="222" name="Frame221"/>
                      <a:graphic xmlns:a="http://schemas.openxmlformats.org/drawingml/2006/main">
                        <a:graphicData uri="http://schemas.microsoft.com/office/word/2010/wordprocessingShape">
                          <wps:wsp>
                            <wps:cNvSpPr txBox="1"/>
                            <wps:spPr>
                              <a:xfrm>
                                <a:off x="0" y="0"/>
                                <a:ext cx="1263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41935" cy="175895"/>
                      <wp:effectExtent l="0" t="0" r="0" b="0"/>
                      <wp:wrapNone/>
                      <wp:docPr id="223" name="Frame222"/>
                      <a:graphic xmlns:a="http://schemas.openxmlformats.org/drawingml/2006/main">
                        <a:graphicData uri="http://schemas.microsoft.com/office/word/2010/wordprocessingShape">
                          <wps:wsp>
                            <wps:cNvSpPr txBox="1"/>
                            <wps:spPr>
                              <a:xfrm>
                                <a:off x="0" y="0"/>
                                <a:ext cx="241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1610" cy="175895"/>
                      <wp:effectExtent l="0" t="0" r="0" b="0"/>
                      <wp:wrapNone/>
                      <wp:docPr id="224" name="Frame223"/>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41605" cy="175895"/>
                      <wp:effectExtent l="0" t="0" r="0" b="0"/>
                      <wp:wrapNone/>
                      <wp:docPr id="225" name="Frame224"/>
                      <a:graphic xmlns:a="http://schemas.openxmlformats.org/drawingml/2006/main">
                        <a:graphicData uri="http://schemas.microsoft.com/office/word/2010/wordprocessingShape">
                          <wps:wsp>
                            <wps:cNvSpPr txBox="1"/>
                            <wps:spPr>
                              <a:xfrm>
                                <a:off x="0" y="0"/>
                                <a:ext cx="1416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59080" cy="175895"/>
                      <wp:effectExtent l="0" t="0" r="0" b="0"/>
                      <wp:wrapNone/>
                      <wp:docPr id="226" name="Frame225"/>
                      <a:graphic xmlns:a="http://schemas.openxmlformats.org/drawingml/2006/main">
                        <a:graphicData uri="http://schemas.microsoft.com/office/word/2010/wordprocessingShape">
                          <wps:wsp>
                            <wps:cNvSpPr txBox="1"/>
                            <wps:spPr>
                              <a:xfrm>
                                <a:off x="0" y="0"/>
                                <a:ext cx="2590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21285" cy="175895"/>
                      <wp:effectExtent l="0" t="0" r="0" b="0"/>
                      <wp:wrapNone/>
                      <wp:docPr id="227" name="Frame226"/>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1558"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28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left"/>
              <w:rPr/>
            </w:pPr>
            <w:r>
              <w:rPr/>
              <w:t>​</w:t>
            </w:r>
          </w:p>
        </w:tc>
        <w:tc>
          <w:tcPr>
            <w:tcW w:w="408"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155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286" w:type="dxa"/>
            <w:tcBorders/>
            <w:vAlign w:val="center"/>
          </w:tcPr>
          <w:p>
            <w:pPr>
              <w:pStyle w:val="TableContents"/>
              <w:bidi w:val="0"/>
              <w:spacing w:before="1" w:after="1"/>
              <w:ind w:left="0" w:right="0" w:hanging="0"/>
              <w:jc w:val="center"/>
              <w:rPr/>
            </w:pPr>
            <w:r>
              <w:rPr/>
              <w:t>​</w:t>
            </w:r>
          </w:p>
        </w:tc>
        <w:tc>
          <w:tcPr>
            <w:tcW w:w="223" w:type="dxa"/>
            <w:tcBorders/>
            <w:vAlign w:val="center"/>
          </w:tcPr>
          <w:p>
            <w:pPr>
              <w:pStyle w:val="TableContents"/>
              <w:bidi w:val="0"/>
              <w:spacing w:before="1" w:after="1"/>
              <w:ind w:left="0" w:right="0" w:hanging="0"/>
              <w:jc w:val="center"/>
              <w:rPr/>
            </w:pPr>
            <w:r>
              <w:rPr/>
              <w:t>​</w:t>
            </w:r>
          </w:p>
        </w:tc>
        <w:tc>
          <w:tcPr>
            <w:tcW w:w="408"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  ​ ​</w:t>
            </w:r>
          </w:p>
        </w:tc>
        <w:tc>
          <w:tcPr>
            <w:tcW w:w="66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315" w:type="dxa"/>
            <w:tcBorders/>
            <w:vAlign w:val="center"/>
          </w:tcPr>
          <w:p>
            <w:pPr>
              <w:pStyle w:val="TableContents"/>
              <w:bidi w:val="0"/>
              <w:spacing w:before="1" w:after="1"/>
              <w:ind w:left="0" w:right="0" w:hanging="0"/>
              <w:jc w:val="center"/>
              <w:rPr/>
            </w:pPr>
            <w:r>
              <w:rPr/>
              <w:t>  ​ ​</w:t>
            </w:r>
          </w:p>
        </w:tc>
        <w:tc>
          <w:tcPr>
            <w:tcW w:w="58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286" w:type="dxa"/>
            <w:tcBorders/>
            <w:vAlign w:val="center"/>
          </w:tcPr>
          <w:p>
            <w:pPr>
              <w:pStyle w:val="TableContents"/>
              <w:bidi w:val="0"/>
              <w:spacing w:before="1" w:after="1"/>
              <w:ind w:left="0" w:right="0" w:hanging="0"/>
              <w:jc w:val="center"/>
              <w:rPr/>
            </w:pPr>
            <w:r>
              <w:rPr/>
              <w:t>  ​ ​</w:t>
            </w:r>
          </w:p>
        </w:tc>
        <w:tc>
          <w:tcPr>
            <w:tcW w:w="6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Change</w:t>
            </w:r>
          </w:p>
        </w:tc>
        <w:tc>
          <w:tcPr>
            <w:tcW w:w="191" w:type="dxa"/>
            <w:tcBorders/>
            <w:vAlign w:val="center"/>
          </w:tcPr>
          <w:p>
            <w:pPr>
              <w:pStyle w:val="TableContents"/>
              <w:bidi w:val="0"/>
              <w:spacing w:before="1" w:after="1"/>
              <w:ind w:left="0" w:right="0" w:hanging="0"/>
              <w:jc w:val="center"/>
              <w:rPr/>
            </w:pPr>
            <w:r>
              <w:rPr/>
              <w:t> </w:t>
            </w:r>
          </w:p>
        </w:tc>
      </w:tr>
      <w:tr>
        <w:trPr/>
        <w:tc>
          <w:tcPr>
            <w:tcW w:w="5983"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2475" w:type="dxa"/>
            <w:gridSpan w:val="8"/>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(in millions)</w:t>
            </w:r>
          </w:p>
        </w:tc>
        <w:tc>
          <w:tcPr>
            <w:tcW w:w="191" w:type="dxa"/>
            <w:tcBorders/>
            <w:vAlign w:val="center"/>
          </w:tcPr>
          <w:p>
            <w:pPr>
              <w:pStyle w:val="TableContents"/>
              <w:bidi w:val="0"/>
              <w:spacing w:before="1" w:after="1"/>
              <w:ind w:left="0" w:right="0" w:hanging="0"/>
              <w:jc w:val="center"/>
              <w:rPr/>
            </w:pPr>
            <w:r>
              <w:rPr/>
              <w:t>​</w:t>
            </w:r>
          </w:p>
        </w:tc>
      </w:tr>
      <w:tr>
        <w:trPr/>
        <w:tc>
          <w:tcPr>
            <w:tcW w:w="3031"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Cash flows from operating activities</w:t>
            </w:r>
          </w:p>
        </w:tc>
        <w:tc>
          <w:tcPr>
            <w:tcW w:w="286" w:type="dxa"/>
            <w:tcBorders/>
            <w:vAlign w:val="center"/>
          </w:tcPr>
          <w:p>
            <w:pPr>
              <w:pStyle w:val="TableContents"/>
              <w:bidi w:val="0"/>
              <w:spacing w:before="1" w:after="1"/>
              <w:ind w:left="0" w:right="0" w:hanging="0"/>
              <w:jc w:val="left"/>
              <w:rPr/>
            </w:pPr>
            <w:r>
              <w:rPr/>
              <w:t>​</w:t>
            </w:r>
          </w:p>
        </w:tc>
        <w:tc>
          <w:tcPr>
            <w:tcW w:w="199" w:type="dxa"/>
            <w:tcBorders/>
            <w:vAlign w:val="center"/>
          </w:tcPr>
          <w:p>
            <w:pPr>
              <w:pStyle w:val="TableContents"/>
              <w:bidi w:val="0"/>
              <w:spacing w:before="1" w:after="1"/>
              <w:ind w:left="0" w:right="0" w:hanging="0"/>
              <w:jc w:val="center"/>
              <w:rPr/>
            </w:pPr>
            <w:r>
              <w:rPr/>
              <w:t>​</w:t>
            </w:r>
          </w:p>
        </w:tc>
        <w:tc>
          <w:tcPr>
            <w:tcW w:w="464" w:type="dxa"/>
            <w:tcBorders/>
            <w:vAlign w:val="center"/>
          </w:tcPr>
          <w:p>
            <w:pPr>
              <w:pStyle w:val="TableContents"/>
              <w:bidi w:val="0"/>
              <w:spacing w:before="1" w:after="1"/>
              <w:ind w:left="0" w:right="0" w:hanging="0"/>
              <w:jc w:val="center"/>
              <w:rPr/>
            </w:pPr>
            <w:r>
              <w:rPr/>
              <w:t>​</w:t>
            </w:r>
          </w:p>
        </w:tc>
        <w:tc>
          <w:tcPr>
            <w:tcW w:w="315" w:type="dxa"/>
            <w:tcBorders/>
            <w:vAlign w:val="center"/>
          </w:tcPr>
          <w:p>
            <w:pPr>
              <w:pStyle w:val="TableContents"/>
              <w:bidi w:val="0"/>
              <w:spacing w:before="1" w:after="1"/>
              <w:ind w:left="0" w:right="0" w:hanging="0"/>
              <w:jc w:val="left"/>
              <w:rPr/>
            </w:pPr>
            <w:r>
              <w:rPr/>
              <w:t>​</w:t>
            </w:r>
          </w:p>
        </w:tc>
        <w:tc>
          <w:tcPr>
            <w:tcW w:w="199" w:type="dxa"/>
            <w:tcBorders/>
            <w:vAlign w:val="center"/>
          </w:tcPr>
          <w:p>
            <w:pPr>
              <w:pStyle w:val="TableContents"/>
              <w:bidi w:val="0"/>
              <w:spacing w:before="1" w:after="1"/>
              <w:ind w:left="0" w:right="0" w:hanging="0"/>
              <w:jc w:val="center"/>
              <w:rPr/>
            </w:pPr>
            <w:r>
              <w:rPr/>
              <w:t>​</w:t>
            </w:r>
          </w:p>
        </w:tc>
        <w:tc>
          <w:tcPr>
            <w:tcW w:w="381" w:type="dxa"/>
            <w:tcBorders/>
            <w:vAlign w:val="center"/>
          </w:tcPr>
          <w:p>
            <w:pPr>
              <w:pStyle w:val="TableContents"/>
              <w:bidi w:val="0"/>
              <w:spacing w:before="1" w:after="1"/>
              <w:ind w:left="0" w:right="0" w:hanging="0"/>
              <w:jc w:val="center"/>
              <w:rPr/>
            </w:pPr>
            <w:r>
              <w:rPr/>
              <w:t>​</w:t>
            </w:r>
          </w:p>
        </w:tc>
        <w:tc>
          <w:tcPr>
            <w:tcW w:w="28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center"/>
              <w:rPr/>
            </w:pPr>
            <w:r>
              <w:rPr/>
              <w:t>​</w:t>
            </w:r>
          </w:p>
        </w:tc>
        <w:tc>
          <w:tcPr>
            <w:tcW w:w="408"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left"/>
              <w:rPr/>
            </w:pPr>
            <w:r>
              <w:rPr/>
              <w:t>​</w:t>
            </w:r>
          </w:p>
        </w:tc>
      </w:tr>
      <w:tr>
        <w:trPr/>
        <w:tc>
          <w:tcPr>
            <w:tcW w:w="303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Net income (loss)</w:t>
            </w:r>
          </w:p>
        </w:tc>
        <w:tc>
          <w:tcPr>
            <w:tcW w:w="286" w:type="dxa"/>
            <w:tcBorders/>
            <w:shd w:fill="CEDBE0" w:val="clear"/>
            <w:vAlign w:val="center"/>
          </w:tcPr>
          <w:p>
            <w:pPr>
              <w:pStyle w:val="TableContents"/>
              <w:bidi w:val="0"/>
              <w:spacing w:before="1" w:after="1"/>
              <w:ind w:left="0" w:right="0" w:hanging="0"/>
              <w:jc w:val="left"/>
              <w:rPr/>
            </w:pPr>
            <w:r>
              <w:rPr/>
              <w:t> </w:t>
            </w:r>
          </w:p>
        </w:tc>
        <w:tc>
          <w:tcPr>
            <w:tcW w:w="19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71</w:t>
            </w:r>
          </w:p>
        </w:tc>
        <w:tc>
          <w:tcPr>
            <w:tcW w:w="315" w:type="dxa"/>
            <w:tcBorders/>
            <w:shd w:fill="CEDBE0" w:val="clear"/>
            <w:vAlign w:val="center"/>
          </w:tcPr>
          <w:p>
            <w:pPr>
              <w:pStyle w:val="TableContents"/>
              <w:bidi w:val="0"/>
              <w:spacing w:before="1" w:after="1"/>
              <w:ind w:left="0" w:right="0" w:hanging="0"/>
              <w:jc w:val="left"/>
              <w:rPr/>
            </w:pPr>
            <w:r>
              <w:rPr/>
              <w:t> </w:t>
            </w:r>
          </w:p>
        </w:tc>
        <w:tc>
          <w:tcPr>
            <w:tcW w:w="19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8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(79)</w:t>
            </w:r>
          </w:p>
        </w:tc>
        <w:tc>
          <w:tcPr>
            <w:tcW w:w="286" w:type="dxa"/>
            <w:tcBorders/>
            <w:shd w:fill="CEDBE0" w:val="clear"/>
            <w:vAlign w:val="center"/>
          </w:tcPr>
          <w:p>
            <w:pPr>
              <w:pStyle w:val="TableContents"/>
              <w:bidi w:val="0"/>
              <w:spacing w:before="1" w:after="1"/>
              <w:ind w:left="0" w:right="0" w:hanging="0"/>
              <w:jc w:val="left"/>
              <w:rPr/>
            </w:pPr>
            <w:r>
              <w:rPr/>
              <w:t> </w:t>
            </w:r>
          </w:p>
        </w:tc>
        <w:tc>
          <w:tcPr>
            <w:tcW w:w="22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0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150</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30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Non-cash items, net</w:t>
            </w:r>
          </w:p>
        </w:tc>
        <w:tc>
          <w:tcPr>
            <w:tcW w:w="286" w:type="dxa"/>
            <w:tcBorders/>
            <w:vAlign w:val="center"/>
          </w:tcPr>
          <w:p>
            <w:pPr>
              <w:pStyle w:val="TableContents"/>
              <w:bidi w:val="0"/>
              <w:spacing w:before="1" w:after="1"/>
              <w:ind w:left="0" w:right="0" w:hanging="0"/>
              <w:jc w:val="left"/>
              <w:rPr/>
            </w:pPr>
            <w:r>
              <w:rPr/>
              <w:t>​</w:t>
            </w:r>
          </w:p>
        </w:tc>
        <w:tc>
          <w:tcPr>
            <w:tcW w:w="199" w:type="dxa"/>
            <w:tcBorders/>
            <w:vAlign w:val="center"/>
          </w:tcPr>
          <w:p>
            <w:pPr>
              <w:pStyle w:val="TableContents"/>
              <w:bidi w:val="0"/>
              <w:spacing w:before="1" w:after="1"/>
              <w:ind w:left="0" w:right="0" w:hanging="0"/>
              <w:jc w:val="left"/>
              <w:rPr/>
            </w:pPr>
            <w:r>
              <w:rPr/>
              <w:t>​</w:t>
            </w:r>
          </w:p>
        </w:tc>
        <w:tc>
          <w:tcPr>
            <w:tcW w:w="46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247</w:t>
            </w:r>
          </w:p>
        </w:tc>
        <w:tc>
          <w:tcPr>
            <w:tcW w:w="315" w:type="dxa"/>
            <w:tcBorders/>
            <w:vAlign w:val="center"/>
          </w:tcPr>
          <w:p>
            <w:pPr>
              <w:pStyle w:val="TableContents"/>
              <w:bidi w:val="0"/>
              <w:spacing w:before="1" w:after="1"/>
              <w:ind w:left="0" w:right="0" w:hanging="0"/>
              <w:jc w:val="left"/>
              <w:rPr/>
            </w:pPr>
            <w:r>
              <w:rPr/>
              <w:t>​</w:t>
            </w:r>
          </w:p>
        </w:tc>
        <w:tc>
          <w:tcPr>
            <w:tcW w:w="199" w:type="dxa"/>
            <w:tcBorders/>
            <w:vAlign w:val="center"/>
          </w:tcPr>
          <w:p>
            <w:pPr>
              <w:pStyle w:val="TableContents"/>
              <w:bidi w:val="0"/>
              <w:spacing w:before="1" w:after="1"/>
              <w:ind w:left="0" w:right="0" w:hanging="0"/>
              <w:jc w:val="left"/>
              <w:rPr/>
            </w:pPr>
            <w:r>
              <w:rPr/>
              <w:t>​</w:t>
            </w:r>
          </w:p>
        </w:tc>
        <w:tc>
          <w:tcPr>
            <w:tcW w:w="38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178</w:t>
            </w:r>
          </w:p>
        </w:tc>
        <w:tc>
          <w:tcPr>
            <w:tcW w:w="28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left"/>
              <w:rPr/>
            </w:pPr>
            <w:r>
              <w:rPr/>
              <w:t>​</w:t>
            </w:r>
          </w:p>
        </w:tc>
        <w:tc>
          <w:tcPr>
            <w:tcW w:w="408"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69</w:t>
            </w:r>
          </w:p>
        </w:tc>
        <w:tc>
          <w:tcPr>
            <w:tcW w:w="191" w:type="dxa"/>
            <w:tcBorders/>
            <w:vAlign w:val="center"/>
          </w:tcPr>
          <w:p>
            <w:pPr>
              <w:pStyle w:val="TableContents"/>
              <w:bidi w:val="0"/>
              <w:spacing w:before="1" w:after="1"/>
              <w:ind w:left="0" w:right="0" w:hanging="0"/>
              <w:jc w:val="left"/>
              <w:rPr/>
            </w:pPr>
            <w:r>
              <w:rPr/>
              <w:t>​</w:t>
            </w:r>
          </w:p>
        </w:tc>
      </w:tr>
      <w:tr>
        <w:trPr/>
        <w:tc>
          <w:tcPr>
            <w:tcW w:w="303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Changes in operating assets and liabilities, net</w:t>
            </w:r>
          </w:p>
        </w:tc>
        <w:tc>
          <w:tcPr>
            <w:tcW w:w="286" w:type="dxa"/>
            <w:tcBorders/>
            <w:shd w:fill="CEDBE0" w:val="clear"/>
            <w:vAlign w:val="center"/>
          </w:tcPr>
          <w:p>
            <w:pPr>
              <w:pStyle w:val="TableContents"/>
              <w:bidi w:val="0"/>
              <w:spacing w:before="1" w:after="1"/>
              <w:ind w:left="0" w:right="0" w:hanging="0"/>
              <w:jc w:val="left"/>
              <w:rPr/>
            </w:pPr>
            <w:r>
              <w:rPr/>
              <w:t>​</w:t>
            </w:r>
          </w:p>
        </w:tc>
        <w:tc>
          <w:tcPr>
            <w:tcW w:w="199"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64"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(154)</w:t>
            </w:r>
          </w:p>
        </w:tc>
        <w:tc>
          <w:tcPr>
            <w:tcW w:w="315" w:type="dxa"/>
            <w:tcBorders/>
            <w:shd w:fill="CEDBE0" w:val="clear"/>
            <w:vAlign w:val="center"/>
          </w:tcPr>
          <w:p>
            <w:pPr>
              <w:pStyle w:val="TableContents"/>
              <w:bidi w:val="0"/>
              <w:spacing w:before="1" w:after="1"/>
              <w:ind w:left="0" w:right="0" w:hanging="0"/>
              <w:jc w:val="left"/>
              <w:rPr/>
            </w:pPr>
            <w:r>
              <w:rPr/>
              <w:t>​</w:t>
            </w:r>
          </w:p>
        </w:tc>
        <w:tc>
          <w:tcPr>
            <w:tcW w:w="199"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38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(73)</w:t>
            </w:r>
          </w:p>
        </w:tc>
        <w:tc>
          <w:tcPr>
            <w:tcW w:w="286" w:type="dxa"/>
            <w:tcBorders/>
            <w:shd w:fill="CEDBE0" w:val="clear"/>
            <w:vAlign w:val="center"/>
          </w:tcPr>
          <w:p>
            <w:pPr>
              <w:pStyle w:val="TableContents"/>
              <w:bidi w:val="0"/>
              <w:spacing w:before="1" w:after="1"/>
              <w:ind w:left="0" w:right="0" w:hanging="0"/>
              <w:jc w:val="left"/>
              <w:rPr/>
            </w:pPr>
            <w:r>
              <w:rPr/>
              <w:t>​</w:t>
            </w:r>
          </w:p>
        </w:tc>
        <w:tc>
          <w:tcPr>
            <w:tcW w:w="223"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08"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(81)</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left"/>
              <w:rPr/>
            </w:pPr>
            <w:r>
              <w:rPr/>
              <w:t> </w:t>
            </w:r>
          </w:p>
        </w:tc>
        <w:tc>
          <w:tcPr>
            <w:tcW w:w="199"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4"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164</w:t>
            </w:r>
          </w:p>
        </w:tc>
        <w:tc>
          <w:tcPr>
            <w:tcW w:w="315" w:type="dxa"/>
            <w:tcBorders/>
            <w:vAlign w:val="center"/>
          </w:tcPr>
          <w:p>
            <w:pPr>
              <w:pStyle w:val="TableContents"/>
              <w:bidi w:val="0"/>
              <w:spacing w:before="1" w:after="1"/>
              <w:ind w:left="0" w:right="0" w:hanging="0"/>
              <w:jc w:val="left"/>
              <w:rPr/>
            </w:pPr>
            <w:r>
              <w:rPr/>
              <w:t> </w:t>
            </w:r>
          </w:p>
        </w:tc>
        <w:tc>
          <w:tcPr>
            <w:tcW w:w="199"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81"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26</w:t>
            </w:r>
          </w:p>
        </w:tc>
        <w:tc>
          <w:tcPr>
            <w:tcW w:w="286" w:type="dxa"/>
            <w:tcBorders/>
            <w:vAlign w:val="center"/>
          </w:tcPr>
          <w:p>
            <w:pPr>
              <w:pStyle w:val="TableContents"/>
              <w:bidi w:val="0"/>
              <w:spacing w:before="1" w:after="1"/>
              <w:ind w:left="0" w:right="0" w:hanging="0"/>
              <w:jc w:val="left"/>
              <w:rPr/>
            </w:pPr>
            <w:r>
              <w:rPr/>
              <w:t> </w:t>
            </w:r>
          </w:p>
        </w:tc>
        <w:tc>
          <w:tcPr>
            <w:tcW w:w="223"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08"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138</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120" w:after="180"/>
        <w:ind w:left="0" w:right="0" w:firstLine="720"/>
        <w:jc w:val="both"/>
        <w:rPr>
          <w:rFonts w:ascii="Arial Narrow" w:hAnsi="Arial Narrow"/>
          <w:sz w:val="20"/>
        </w:rPr>
      </w:pPr>
      <w:r>
        <w:rPr>
          <w:rFonts w:ascii="Arial Narrow" w:hAnsi="Arial Narrow"/>
          <w:sz w:val="20"/>
        </w:rPr>
        <w:t>Net cash provided by operating activities increased primarily due to (a) increased cash received from customers and (b) reduced cash paid for interest.</w:t>
      </w:r>
    </w:p>
    <w:p>
      <w:pPr>
        <w:pStyle w:val="TextBody"/>
        <w:bidi w:val="0"/>
        <w:spacing w:before="0" w:after="0"/>
        <w:ind w:left="0" w:right="0" w:hanging="0"/>
        <w:jc w:val="center"/>
        <w:rPr>
          <w:rFonts w:ascii="Arial Narrow" w:hAnsi="Arial Narrow"/>
          <w:sz w:val="20"/>
        </w:rPr>
      </w:pPr>
      <w:r>
        <w:rPr>
          <w:rFonts w:ascii="Arial Narrow" w:hAnsi="Arial Narrow"/>
          <w:sz w:val="20"/>
        </w:rPr>
        <w:t>- 16 -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tbl>
      <w:tblPr>
        <w:tblW w:w="8399" w:type="dxa"/>
        <w:jc w:val="left"/>
        <w:tblInd w:w="0" w:type="dxa"/>
        <w:tblLayout w:type="fixed"/>
        <w:tblCellMar>
          <w:top w:w="0" w:type="dxa"/>
          <w:left w:w="0" w:type="dxa"/>
          <w:bottom w:w="0" w:type="dxa"/>
          <w:right w:w="0" w:type="dxa"/>
        </w:tblCellMar>
      </w:tblPr>
      <w:tblGrid>
        <w:gridCol w:w="5446"/>
        <w:gridCol w:w="286"/>
        <w:gridCol w:w="210"/>
        <w:gridCol w:w="403"/>
        <w:gridCol w:w="333"/>
        <w:gridCol w:w="210"/>
        <w:gridCol w:w="403"/>
        <w:gridCol w:w="286"/>
        <w:gridCol w:w="261"/>
        <w:gridCol w:w="370"/>
        <w:gridCol w:w="19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458210" cy="175895"/>
                      <wp:effectExtent l="0" t="0" r="0" b="0"/>
                      <wp:wrapNone/>
                      <wp:docPr id="228" name="Frame227"/>
                      <a:graphic xmlns:a="http://schemas.openxmlformats.org/drawingml/2006/main">
                        <a:graphicData uri="http://schemas.microsoft.com/office/word/2010/wordprocessingShape">
                          <wps:wsp>
                            <wps:cNvSpPr txBox="1"/>
                            <wps:spPr>
                              <a:xfrm>
                                <a:off x="0" y="0"/>
                                <a:ext cx="34582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81610" cy="175895"/>
                      <wp:effectExtent l="0" t="0" r="0" b="0"/>
                      <wp:wrapNone/>
                      <wp:docPr id="229" name="Frame228"/>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350" cy="175895"/>
                      <wp:effectExtent l="0" t="0" r="0" b="0"/>
                      <wp:wrapNone/>
                      <wp:docPr id="230" name="Frame229"/>
                      <a:graphic xmlns:a="http://schemas.openxmlformats.org/drawingml/2006/main">
                        <a:graphicData uri="http://schemas.microsoft.com/office/word/2010/wordprocessingShape">
                          <wps:wsp>
                            <wps:cNvSpPr txBox="1"/>
                            <wps:spPr>
                              <a:xfrm>
                                <a:off x="0" y="0"/>
                                <a:ext cx="1333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55905" cy="175895"/>
                      <wp:effectExtent l="0" t="0" r="0" b="0"/>
                      <wp:wrapNone/>
                      <wp:docPr id="231" name="Frame230"/>
                      <a:graphic xmlns:a="http://schemas.openxmlformats.org/drawingml/2006/main">
                        <a:graphicData uri="http://schemas.microsoft.com/office/word/2010/wordprocessingShape">
                          <wps:wsp>
                            <wps:cNvSpPr txBox="1"/>
                            <wps:spPr>
                              <a:xfrm>
                                <a:off x="0" y="0"/>
                                <a:ext cx="2559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1455" cy="175895"/>
                      <wp:effectExtent l="0" t="0" r="0" b="0"/>
                      <wp:wrapNone/>
                      <wp:docPr id="232" name="Frame231"/>
                      <a:graphic xmlns:a="http://schemas.openxmlformats.org/drawingml/2006/main">
                        <a:graphicData uri="http://schemas.microsoft.com/office/word/2010/wordprocessingShape">
                          <wps:wsp>
                            <wps:cNvSpPr txBox="1"/>
                            <wps:spPr>
                              <a:xfrm>
                                <a:off x="0" y="0"/>
                                <a:ext cx="2114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350" cy="175895"/>
                      <wp:effectExtent l="0" t="0" r="0" b="0"/>
                      <wp:wrapNone/>
                      <wp:docPr id="233" name="Frame232"/>
                      <a:graphic xmlns:a="http://schemas.openxmlformats.org/drawingml/2006/main">
                        <a:graphicData uri="http://schemas.microsoft.com/office/word/2010/wordprocessingShape">
                          <wps:wsp>
                            <wps:cNvSpPr txBox="1"/>
                            <wps:spPr>
                              <a:xfrm>
                                <a:off x="0" y="0"/>
                                <a:ext cx="1333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55905" cy="175895"/>
                      <wp:effectExtent l="0" t="0" r="0" b="0"/>
                      <wp:wrapNone/>
                      <wp:docPr id="234" name="Frame233"/>
                      <a:graphic xmlns:a="http://schemas.openxmlformats.org/drawingml/2006/main">
                        <a:graphicData uri="http://schemas.microsoft.com/office/word/2010/wordprocessingShape">
                          <wps:wsp>
                            <wps:cNvSpPr txBox="1"/>
                            <wps:spPr>
                              <a:xfrm>
                                <a:off x="0" y="0"/>
                                <a:ext cx="2559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81610" cy="175895"/>
                      <wp:effectExtent l="0" t="0" r="0" b="0"/>
                      <wp:wrapNone/>
                      <wp:docPr id="235" name="Frame234"/>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5735" cy="175895"/>
                      <wp:effectExtent l="0" t="0" r="0" b="0"/>
                      <wp:wrapNone/>
                      <wp:docPr id="236" name="Frame235"/>
                      <a:graphic xmlns:a="http://schemas.openxmlformats.org/drawingml/2006/main">
                        <a:graphicData uri="http://schemas.microsoft.com/office/word/2010/wordprocessingShape">
                          <wps:wsp>
                            <wps:cNvSpPr txBox="1"/>
                            <wps:spPr>
                              <a:xfrm>
                                <a:off x="0" y="0"/>
                                <a:ext cx="165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34950" cy="175895"/>
                      <wp:effectExtent l="0" t="0" r="0" b="0"/>
                      <wp:wrapNone/>
                      <wp:docPr id="237" name="Frame236"/>
                      <a:graphic xmlns:a="http://schemas.openxmlformats.org/drawingml/2006/main">
                        <a:graphicData uri="http://schemas.microsoft.com/office/word/2010/wordprocessingShape">
                          <wps:wsp>
                            <wps:cNvSpPr txBox="1"/>
                            <wps:spPr>
                              <a:xfrm>
                                <a:off x="0" y="0"/>
                                <a:ext cx="2349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1285" cy="175895"/>
                      <wp:effectExtent l="0" t="0" r="0" b="0"/>
                      <wp:wrapNone/>
                      <wp:docPr id="238" name="Frame237"/>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1559"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286" w:type="dxa"/>
            <w:tcBorders/>
            <w:vAlign w:val="center"/>
          </w:tcPr>
          <w:p>
            <w:pPr>
              <w:pStyle w:val="TableContents"/>
              <w:bidi w:val="0"/>
              <w:spacing w:before="1" w:after="1"/>
              <w:ind w:left="0" w:right="0" w:hanging="0"/>
              <w:jc w:val="center"/>
              <w:rPr/>
            </w:pPr>
            <w:r>
              <w:rPr/>
              <w:t>​</w:t>
            </w:r>
          </w:p>
        </w:tc>
        <w:tc>
          <w:tcPr>
            <w:tcW w:w="261" w:type="dxa"/>
            <w:tcBorders/>
            <w:vAlign w:val="center"/>
          </w:tcPr>
          <w:p>
            <w:pPr>
              <w:pStyle w:val="TableContents"/>
              <w:bidi w:val="0"/>
              <w:spacing w:before="1" w:after="1"/>
              <w:ind w:left="0" w:right="0" w:hanging="0"/>
              <w:jc w:val="center"/>
              <w:rPr/>
            </w:pPr>
            <w:r>
              <w:rPr/>
              <w:t>​</w:t>
            </w:r>
          </w:p>
        </w:tc>
        <w:tc>
          <w:tcPr>
            <w:tcW w:w="370"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544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1559"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286" w:type="dxa"/>
            <w:tcBorders/>
            <w:vAlign w:val="center"/>
          </w:tcPr>
          <w:p>
            <w:pPr>
              <w:pStyle w:val="TableContents"/>
              <w:bidi w:val="0"/>
              <w:spacing w:before="1" w:after="1"/>
              <w:ind w:left="0" w:right="0" w:hanging="0"/>
              <w:jc w:val="center"/>
              <w:rPr/>
            </w:pPr>
            <w:r>
              <w:rPr/>
              <w:t>​</w:t>
            </w:r>
          </w:p>
        </w:tc>
        <w:tc>
          <w:tcPr>
            <w:tcW w:w="261" w:type="dxa"/>
            <w:tcBorders/>
            <w:vAlign w:val="center"/>
          </w:tcPr>
          <w:p>
            <w:pPr>
              <w:pStyle w:val="TableContents"/>
              <w:bidi w:val="0"/>
              <w:spacing w:before="1" w:after="1"/>
              <w:ind w:left="0" w:right="0" w:hanging="0"/>
              <w:jc w:val="center"/>
              <w:rPr/>
            </w:pPr>
            <w:r>
              <w:rPr/>
              <w:t>​</w:t>
            </w:r>
          </w:p>
        </w:tc>
        <w:tc>
          <w:tcPr>
            <w:tcW w:w="370"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544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  ​ ​</w:t>
            </w:r>
          </w:p>
        </w:tc>
        <w:tc>
          <w:tcPr>
            <w:tcW w:w="61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333" w:type="dxa"/>
            <w:tcBorders/>
            <w:vAlign w:val="center"/>
          </w:tcPr>
          <w:p>
            <w:pPr>
              <w:pStyle w:val="TableContents"/>
              <w:bidi w:val="0"/>
              <w:spacing w:before="1" w:after="1"/>
              <w:ind w:left="0" w:right="0" w:hanging="0"/>
              <w:jc w:val="center"/>
              <w:rPr/>
            </w:pPr>
            <w:r>
              <w:rPr/>
              <w:t>  ​ ​</w:t>
            </w:r>
          </w:p>
        </w:tc>
        <w:tc>
          <w:tcPr>
            <w:tcW w:w="61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286" w:type="dxa"/>
            <w:tcBorders/>
            <w:vAlign w:val="center"/>
          </w:tcPr>
          <w:p>
            <w:pPr>
              <w:pStyle w:val="TableContents"/>
              <w:bidi w:val="0"/>
              <w:spacing w:before="1" w:after="1"/>
              <w:ind w:left="0" w:right="0" w:hanging="0"/>
              <w:jc w:val="center"/>
              <w:rPr/>
            </w:pPr>
            <w:r>
              <w:rPr/>
              <w:t>  ​ ​</w:t>
            </w:r>
          </w:p>
        </w:tc>
        <w:tc>
          <w:tcPr>
            <w:tcW w:w="6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Change</w:t>
            </w:r>
          </w:p>
        </w:tc>
        <w:tc>
          <w:tcPr>
            <w:tcW w:w="191" w:type="dxa"/>
            <w:tcBorders/>
            <w:vAlign w:val="center"/>
          </w:tcPr>
          <w:p>
            <w:pPr>
              <w:pStyle w:val="TableContents"/>
              <w:bidi w:val="0"/>
              <w:spacing w:before="1" w:after="1"/>
              <w:ind w:left="0" w:right="0" w:hanging="0"/>
              <w:jc w:val="center"/>
              <w:rPr/>
            </w:pPr>
            <w:r>
              <w:rPr/>
              <w:t> </w:t>
            </w:r>
          </w:p>
        </w:tc>
      </w:tr>
      <w:tr>
        <w:trPr/>
        <w:tc>
          <w:tcPr>
            <w:tcW w:w="8399"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44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2476" w:type="dxa"/>
            <w:gridSpan w:val="8"/>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(in millions)</w:t>
            </w:r>
          </w:p>
        </w:tc>
        <w:tc>
          <w:tcPr>
            <w:tcW w:w="191" w:type="dxa"/>
            <w:tcBorders/>
            <w:vAlign w:val="center"/>
          </w:tcPr>
          <w:p>
            <w:pPr>
              <w:pStyle w:val="TableContents"/>
              <w:bidi w:val="0"/>
              <w:spacing w:before="1" w:after="1"/>
              <w:ind w:left="0" w:right="0" w:hanging="0"/>
              <w:jc w:val="center"/>
              <w:rPr/>
            </w:pPr>
            <w:r>
              <w:rPr/>
              <w:t>​</w:t>
            </w:r>
          </w:p>
        </w:tc>
      </w:tr>
      <w:tr>
        <w:trPr/>
        <w:tc>
          <w:tcPr>
            <w:tcW w:w="544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Cash flows from investing activities</w:t>
            </w:r>
          </w:p>
        </w:tc>
        <w:tc>
          <w:tcPr>
            <w:tcW w:w="286" w:type="dxa"/>
            <w:tcBorders/>
            <w:vAlign w:val="center"/>
          </w:tcPr>
          <w:p>
            <w:pPr>
              <w:pStyle w:val="TableContents"/>
              <w:bidi w:val="0"/>
              <w:spacing w:before="1" w:after="1"/>
              <w:ind w:left="0" w:right="0" w:hanging="0"/>
              <w:jc w:val="left"/>
              <w:rPr/>
            </w:pPr>
            <w:r>
              <w:rPr/>
              <w:t>​</w:t>
            </w:r>
          </w:p>
        </w:tc>
        <w:tc>
          <w:tcPr>
            <w:tcW w:w="210" w:type="dxa"/>
            <w:tcBorders/>
            <w:vAlign w:val="center"/>
          </w:tcPr>
          <w:p>
            <w:pPr>
              <w:pStyle w:val="TableContents"/>
              <w:bidi w:val="0"/>
              <w:spacing w:before="1" w:after="1"/>
              <w:ind w:left="0" w:right="0" w:hanging="0"/>
              <w:jc w:val="center"/>
              <w:rPr/>
            </w:pPr>
            <w:r>
              <w:rPr/>
              <w:t>​</w:t>
            </w:r>
          </w:p>
        </w:tc>
        <w:tc>
          <w:tcPr>
            <w:tcW w:w="403" w:type="dxa"/>
            <w:tcBorders/>
            <w:vAlign w:val="center"/>
          </w:tcPr>
          <w:p>
            <w:pPr>
              <w:pStyle w:val="TableContents"/>
              <w:bidi w:val="0"/>
              <w:spacing w:before="1" w:after="1"/>
              <w:ind w:left="0" w:right="0" w:hanging="0"/>
              <w:jc w:val="center"/>
              <w:rPr/>
            </w:pPr>
            <w:r>
              <w:rPr/>
              <w:t>​</w:t>
            </w:r>
          </w:p>
        </w:tc>
        <w:tc>
          <w:tcPr>
            <w:tcW w:w="333" w:type="dxa"/>
            <w:tcBorders/>
            <w:vAlign w:val="center"/>
          </w:tcPr>
          <w:p>
            <w:pPr>
              <w:pStyle w:val="TableContents"/>
              <w:bidi w:val="0"/>
              <w:spacing w:before="1" w:after="1"/>
              <w:ind w:left="0" w:right="0" w:hanging="0"/>
              <w:jc w:val="left"/>
              <w:rPr/>
            </w:pPr>
            <w:r>
              <w:rPr/>
              <w:t>​</w:t>
            </w:r>
          </w:p>
        </w:tc>
        <w:tc>
          <w:tcPr>
            <w:tcW w:w="210" w:type="dxa"/>
            <w:tcBorders/>
            <w:vAlign w:val="center"/>
          </w:tcPr>
          <w:p>
            <w:pPr>
              <w:pStyle w:val="TableContents"/>
              <w:bidi w:val="0"/>
              <w:spacing w:before="1" w:after="1"/>
              <w:ind w:left="0" w:right="0" w:hanging="0"/>
              <w:jc w:val="center"/>
              <w:rPr/>
            </w:pPr>
            <w:r>
              <w:rPr/>
              <w:t>​</w:t>
            </w:r>
          </w:p>
        </w:tc>
        <w:tc>
          <w:tcPr>
            <w:tcW w:w="403" w:type="dxa"/>
            <w:tcBorders/>
            <w:vAlign w:val="center"/>
          </w:tcPr>
          <w:p>
            <w:pPr>
              <w:pStyle w:val="TableContents"/>
              <w:bidi w:val="0"/>
              <w:spacing w:before="1" w:after="1"/>
              <w:ind w:left="0" w:right="0" w:hanging="0"/>
              <w:jc w:val="center"/>
              <w:rPr/>
            </w:pPr>
            <w:r>
              <w:rPr/>
              <w:t>​</w:t>
            </w:r>
          </w:p>
        </w:tc>
        <w:tc>
          <w:tcPr>
            <w:tcW w:w="286"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center"/>
              <w:rPr/>
            </w:pPr>
            <w:r>
              <w:rPr/>
              <w:t>​</w:t>
            </w:r>
          </w:p>
        </w:tc>
        <w:tc>
          <w:tcPr>
            <w:tcW w:w="370"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left"/>
              <w:rPr/>
            </w:pPr>
            <w:r>
              <w:rPr/>
              <w:t>​</w:t>
            </w:r>
          </w:p>
        </w:tc>
      </w:tr>
      <w:tr>
        <w:trPr/>
        <w:tc>
          <w:tcPr>
            <w:tcW w:w="544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Capital expenditures</w:t>
            </w:r>
          </w:p>
        </w:tc>
        <w:tc>
          <w:tcPr>
            <w:tcW w:w="286" w:type="dxa"/>
            <w:tcBorders/>
            <w:shd w:fill="CEDBE0" w:val="clear"/>
            <w:vAlign w:val="center"/>
          </w:tcPr>
          <w:p>
            <w:pPr>
              <w:pStyle w:val="TableContents"/>
              <w:bidi w:val="0"/>
              <w:spacing w:before="1" w:after="1"/>
              <w:ind w:left="0" w:right="0" w:hanging="0"/>
              <w:jc w:val="left"/>
              <w:rPr/>
            </w:pPr>
            <w:r>
              <w:rPr/>
              <w:t> </w:t>
            </w:r>
          </w:p>
        </w:tc>
        <w:tc>
          <w:tcPr>
            <w:tcW w:w="210"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0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(28)</w:t>
            </w:r>
          </w:p>
        </w:tc>
        <w:tc>
          <w:tcPr>
            <w:tcW w:w="333" w:type="dxa"/>
            <w:tcBorders/>
            <w:shd w:fill="CEDBE0" w:val="clear"/>
            <w:vAlign w:val="center"/>
          </w:tcPr>
          <w:p>
            <w:pPr>
              <w:pStyle w:val="TableContents"/>
              <w:bidi w:val="0"/>
              <w:spacing w:before="1" w:after="1"/>
              <w:ind w:left="0" w:right="0" w:hanging="0"/>
              <w:jc w:val="left"/>
              <w:rPr/>
            </w:pPr>
            <w:r>
              <w:rPr/>
              <w:t> </w:t>
            </w:r>
          </w:p>
        </w:tc>
        <w:tc>
          <w:tcPr>
            <w:tcW w:w="210"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0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(60)</w:t>
            </w:r>
          </w:p>
        </w:tc>
        <w:tc>
          <w:tcPr>
            <w:tcW w:w="286" w:type="dxa"/>
            <w:tcBorders/>
            <w:shd w:fill="CEDBE0" w:val="clear"/>
            <w:vAlign w:val="center"/>
          </w:tcPr>
          <w:p>
            <w:pPr>
              <w:pStyle w:val="TableContents"/>
              <w:bidi w:val="0"/>
              <w:spacing w:before="1" w:after="1"/>
              <w:ind w:left="0" w:right="0" w:hanging="0"/>
              <w:jc w:val="left"/>
              <w:rPr/>
            </w:pPr>
            <w:r>
              <w:rPr/>
              <w:t> </w:t>
            </w:r>
          </w:p>
        </w:tc>
        <w:tc>
          <w:tcPr>
            <w:tcW w:w="2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32</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544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Proceeds from disposal of assets, net of costs to sell</w:t>
            </w:r>
          </w:p>
        </w:tc>
        <w:tc>
          <w:tcPr>
            <w:tcW w:w="286" w:type="dxa"/>
            <w:tcBorders/>
            <w:vAlign w:val="center"/>
          </w:tcPr>
          <w:p>
            <w:pPr>
              <w:pStyle w:val="TableContents"/>
              <w:bidi w:val="0"/>
              <w:spacing w:before="1" w:after="1"/>
              <w:ind w:left="0" w:right="0" w:hanging="0"/>
              <w:jc w:val="left"/>
              <w:rPr/>
            </w:pPr>
            <w:r>
              <w:rPr/>
              <w:t>​</w:t>
            </w:r>
          </w:p>
        </w:tc>
        <w:tc>
          <w:tcPr>
            <w:tcW w:w="210" w:type="dxa"/>
            <w:tcBorders/>
            <w:vAlign w:val="center"/>
          </w:tcPr>
          <w:p>
            <w:pPr>
              <w:pStyle w:val="TableContents"/>
              <w:bidi w:val="0"/>
              <w:spacing w:before="1" w:after="1"/>
              <w:ind w:left="0" w:right="0" w:hanging="0"/>
              <w:jc w:val="left"/>
              <w:rPr/>
            </w:pPr>
            <w:r>
              <w:rPr/>
              <w:t>​</w:t>
            </w:r>
          </w:p>
        </w:tc>
        <w:tc>
          <w:tcPr>
            <w:tcW w:w="403"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25</w:t>
            </w:r>
          </w:p>
        </w:tc>
        <w:tc>
          <w:tcPr>
            <w:tcW w:w="333" w:type="dxa"/>
            <w:tcBorders/>
            <w:vAlign w:val="center"/>
          </w:tcPr>
          <w:p>
            <w:pPr>
              <w:pStyle w:val="TableContents"/>
              <w:bidi w:val="0"/>
              <w:spacing w:before="1" w:after="1"/>
              <w:ind w:left="0" w:right="0" w:hanging="0"/>
              <w:jc w:val="left"/>
              <w:rPr/>
            </w:pPr>
            <w:r>
              <w:rPr/>
              <w:t>​</w:t>
            </w:r>
          </w:p>
        </w:tc>
        <w:tc>
          <w:tcPr>
            <w:tcW w:w="210" w:type="dxa"/>
            <w:tcBorders/>
            <w:vAlign w:val="center"/>
          </w:tcPr>
          <w:p>
            <w:pPr>
              <w:pStyle w:val="TableContents"/>
              <w:bidi w:val="0"/>
              <w:spacing w:before="1" w:after="1"/>
              <w:ind w:left="0" w:right="0" w:hanging="0"/>
              <w:jc w:val="left"/>
              <w:rPr/>
            </w:pPr>
            <w:r>
              <w:rPr/>
              <w:t>​</w:t>
            </w:r>
          </w:p>
        </w:tc>
        <w:tc>
          <w:tcPr>
            <w:tcW w:w="403"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w:t>
            </w:r>
          </w:p>
        </w:tc>
        <w:tc>
          <w:tcPr>
            <w:tcW w:w="286"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left"/>
              <w:rPr/>
            </w:pPr>
            <w:r>
              <w:rPr/>
              <w:t>​</w:t>
            </w:r>
          </w:p>
        </w:tc>
        <w:tc>
          <w:tcPr>
            <w:tcW w:w="37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23</w:t>
            </w:r>
          </w:p>
        </w:tc>
        <w:tc>
          <w:tcPr>
            <w:tcW w:w="191" w:type="dxa"/>
            <w:tcBorders/>
            <w:vAlign w:val="center"/>
          </w:tcPr>
          <w:p>
            <w:pPr>
              <w:pStyle w:val="TableContents"/>
              <w:bidi w:val="0"/>
              <w:spacing w:before="1" w:after="1"/>
              <w:ind w:left="0" w:right="0" w:hanging="0"/>
              <w:jc w:val="left"/>
              <w:rPr/>
            </w:pPr>
            <w:r>
              <w:rPr/>
              <w:t>​</w:t>
            </w:r>
          </w:p>
        </w:tc>
      </w:tr>
      <w:tr>
        <w:trPr/>
        <w:tc>
          <w:tcPr>
            <w:tcW w:w="544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Proceeds from disposal of investment in note receivable from unconsolidated affiliate</w:t>
            </w:r>
          </w:p>
        </w:tc>
        <w:tc>
          <w:tcPr>
            <w:tcW w:w="286" w:type="dxa"/>
            <w:tcBorders/>
            <w:shd w:fill="CEDBE0" w:val="clear"/>
            <w:vAlign w:val="center"/>
          </w:tcPr>
          <w:p>
            <w:pPr>
              <w:pStyle w:val="TableContents"/>
              <w:bidi w:val="0"/>
              <w:spacing w:before="1" w:after="1"/>
              <w:ind w:left="0" w:right="0" w:hanging="0"/>
              <w:jc w:val="left"/>
              <w:rPr/>
            </w:pPr>
            <w:r>
              <w:rPr/>
              <w:t>​</w:t>
            </w:r>
          </w:p>
        </w:tc>
        <w:tc>
          <w:tcPr>
            <w:tcW w:w="210"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03"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w:t>
            </w:r>
          </w:p>
        </w:tc>
        <w:tc>
          <w:tcPr>
            <w:tcW w:w="333" w:type="dxa"/>
            <w:tcBorders/>
            <w:shd w:fill="CEDBE0" w:val="clear"/>
            <w:vAlign w:val="center"/>
          </w:tcPr>
          <w:p>
            <w:pPr>
              <w:pStyle w:val="TableContents"/>
              <w:bidi w:val="0"/>
              <w:spacing w:before="1" w:after="1"/>
              <w:ind w:left="0" w:right="0" w:hanging="0"/>
              <w:jc w:val="left"/>
              <w:rPr/>
            </w:pPr>
            <w:r>
              <w:rPr/>
              <w:t>​</w:t>
            </w:r>
          </w:p>
        </w:tc>
        <w:tc>
          <w:tcPr>
            <w:tcW w:w="210"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03"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286" w:type="dxa"/>
            <w:tcBorders/>
            <w:shd w:fill="CEDBE0" w:val="clear"/>
            <w:vAlign w:val="center"/>
          </w:tcPr>
          <w:p>
            <w:pPr>
              <w:pStyle w:val="TableContents"/>
              <w:bidi w:val="0"/>
              <w:spacing w:before="1" w:after="1"/>
              <w:ind w:left="0" w:right="0" w:hanging="0"/>
              <w:jc w:val="left"/>
              <w:rPr/>
            </w:pPr>
            <w:r>
              <w:rPr/>
              <w:t>​</w:t>
            </w:r>
          </w:p>
        </w:tc>
        <w:tc>
          <w:tcPr>
            <w:tcW w:w="26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370"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544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left"/>
              <w:rPr/>
            </w:pPr>
            <w:r>
              <w:rPr/>
              <w:t> </w:t>
            </w:r>
          </w:p>
        </w:tc>
        <w:tc>
          <w:tcPr>
            <w:tcW w:w="210"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03"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w:t>
            </w:r>
          </w:p>
        </w:tc>
        <w:tc>
          <w:tcPr>
            <w:tcW w:w="333" w:type="dxa"/>
            <w:tcBorders/>
            <w:vAlign w:val="center"/>
          </w:tcPr>
          <w:p>
            <w:pPr>
              <w:pStyle w:val="TableContents"/>
              <w:bidi w:val="0"/>
              <w:spacing w:before="1" w:after="1"/>
              <w:ind w:left="0" w:right="0" w:hanging="0"/>
              <w:jc w:val="left"/>
              <w:rPr/>
            </w:pPr>
            <w:r>
              <w:rPr/>
              <w:t> </w:t>
            </w:r>
          </w:p>
        </w:tc>
        <w:tc>
          <w:tcPr>
            <w:tcW w:w="210"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03"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(58)</w:t>
            </w:r>
          </w:p>
        </w:tc>
        <w:tc>
          <w:tcPr>
            <w:tcW w:w="286" w:type="dxa"/>
            <w:tcBorders/>
            <w:vAlign w:val="center"/>
          </w:tcPr>
          <w:p>
            <w:pPr>
              <w:pStyle w:val="TableContents"/>
              <w:bidi w:val="0"/>
              <w:spacing w:before="1" w:after="1"/>
              <w:ind w:left="0" w:right="0" w:hanging="0"/>
              <w:jc w:val="left"/>
              <w:rPr/>
            </w:pPr>
            <w:r>
              <w:rPr/>
              <w:t> </w:t>
            </w:r>
          </w:p>
        </w:tc>
        <w:tc>
          <w:tcPr>
            <w:tcW w:w="261"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0"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68</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120" w:after="180"/>
        <w:ind w:left="0" w:right="0" w:firstLine="720"/>
        <w:jc w:val="both"/>
        <w:rPr>
          <w:rFonts w:ascii="Arial Narrow" w:hAnsi="Arial Narrow"/>
          <w:sz w:val="20"/>
        </w:rPr>
      </w:pPr>
      <w:r>
        <w:rPr>
          <w:rFonts w:ascii="Arial Narrow" w:hAnsi="Arial Narrow"/>
          <w:sz w:val="20"/>
        </w:rPr>
        <w:t>Net cash provided by investing activities increased primarily due to (a) decreased capital expenditures, (b) increased proceeds from disposal of assets, primarily resulting from the completion of the sale of two ultra-deepwater floaters in the current-year period, and (c) proceeds from disposal of an investment in a note receivable from an unconsolidated affiliate.</w:t>
      </w:r>
    </w:p>
    <w:tbl>
      <w:tblPr>
        <w:tblW w:w="5668" w:type="dxa"/>
        <w:jc w:val="left"/>
        <w:tblInd w:w="0" w:type="dxa"/>
        <w:tblLayout w:type="fixed"/>
        <w:tblCellMar>
          <w:top w:w="0" w:type="dxa"/>
          <w:left w:w="0" w:type="dxa"/>
          <w:bottom w:w="0" w:type="dxa"/>
          <w:right w:w="0" w:type="dxa"/>
        </w:tblCellMar>
      </w:tblPr>
      <w:tblGrid>
        <w:gridCol w:w="2596"/>
        <w:gridCol w:w="346"/>
        <w:gridCol w:w="182"/>
        <w:gridCol w:w="423"/>
        <w:gridCol w:w="348"/>
        <w:gridCol w:w="182"/>
        <w:gridCol w:w="423"/>
        <w:gridCol w:w="346"/>
        <w:gridCol w:w="205"/>
        <w:gridCol w:w="426"/>
        <w:gridCol w:w="1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648460" cy="175895"/>
                      <wp:effectExtent l="0" t="0" r="0" b="0"/>
                      <wp:wrapNone/>
                      <wp:docPr id="239" name="Frame238"/>
                      <a:graphic xmlns:a="http://schemas.openxmlformats.org/drawingml/2006/main">
                        <a:graphicData uri="http://schemas.microsoft.com/office/word/2010/wordprocessingShape">
                          <wps:wsp>
                            <wps:cNvSpPr txBox="1"/>
                            <wps:spPr>
                              <a:xfrm>
                                <a:off x="0" y="0"/>
                                <a:ext cx="1648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895"/>
                      <wp:effectExtent l="0" t="0" r="0" b="0"/>
                      <wp:wrapNone/>
                      <wp:docPr id="240" name="Frame23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15570" cy="175895"/>
                      <wp:effectExtent l="0" t="0" r="0" b="0"/>
                      <wp:wrapNone/>
                      <wp:docPr id="241" name="Frame240"/>
                      <a:graphic xmlns:a="http://schemas.openxmlformats.org/drawingml/2006/main">
                        <a:graphicData uri="http://schemas.microsoft.com/office/word/2010/wordprocessingShape">
                          <wps:wsp>
                            <wps:cNvSpPr txBox="1"/>
                            <wps:spPr>
                              <a:xfrm>
                                <a:off x="0" y="0"/>
                                <a:ext cx="1155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68605" cy="175895"/>
                      <wp:effectExtent l="0" t="0" r="0" b="0"/>
                      <wp:wrapNone/>
                      <wp:docPr id="242" name="Frame241"/>
                      <a:graphic xmlns:a="http://schemas.openxmlformats.org/drawingml/2006/main">
                        <a:graphicData uri="http://schemas.microsoft.com/office/word/2010/wordprocessingShape">
                          <wps:wsp>
                            <wps:cNvSpPr txBox="1"/>
                            <wps:spPr>
                              <a:xfrm>
                                <a:off x="0" y="0"/>
                                <a:ext cx="2686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0980" cy="175895"/>
                      <wp:effectExtent l="0" t="0" r="0" b="0"/>
                      <wp:wrapNone/>
                      <wp:docPr id="243" name="Frame242"/>
                      <a:graphic xmlns:a="http://schemas.openxmlformats.org/drawingml/2006/main">
                        <a:graphicData uri="http://schemas.microsoft.com/office/word/2010/wordprocessingShape">
                          <wps:wsp>
                            <wps:cNvSpPr txBox="1"/>
                            <wps:spPr>
                              <a:xfrm>
                                <a:off x="0" y="0"/>
                                <a:ext cx="2209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15570" cy="175895"/>
                      <wp:effectExtent l="0" t="0" r="0" b="0"/>
                      <wp:wrapNone/>
                      <wp:docPr id="244" name="Frame243"/>
                      <a:graphic xmlns:a="http://schemas.openxmlformats.org/drawingml/2006/main">
                        <a:graphicData uri="http://schemas.microsoft.com/office/word/2010/wordprocessingShape">
                          <wps:wsp>
                            <wps:cNvSpPr txBox="1"/>
                            <wps:spPr>
                              <a:xfrm>
                                <a:off x="0" y="0"/>
                                <a:ext cx="1155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68605" cy="175895"/>
                      <wp:effectExtent l="0" t="0" r="0" b="0"/>
                      <wp:wrapNone/>
                      <wp:docPr id="245" name="Frame244"/>
                      <a:graphic xmlns:a="http://schemas.openxmlformats.org/drawingml/2006/main">
                        <a:graphicData uri="http://schemas.microsoft.com/office/word/2010/wordprocessingShape">
                          <wps:wsp>
                            <wps:cNvSpPr txBox="1"/>
                            <wps:spPr>
                              <a:xfrm>
                                <a:off x="0" y="0"/>
                                <a:ext cx="2686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895"/>
                      <wp:effectExtent l="0" t="0" r="0" b="0"/>
                      <wp:wrapNone/>
                      <wp:docPr id="246" name="Frame24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0175" cy="175895"/>
                      <wp:effectExtent l="0" t="0" r="0" b="0"/>
                      <wp:wrapNone/>
                      <wp:docPr id="247" name="Frame246"/>
                      <a:graphic xmlns:a="http://schemas.openxmlformats.org/drawingml/2006/main">
                        <a:graphicData uri="http://schemas.microsoft.com/office/word/2010/wordprocessingShape">
                          <wps:wsp>
                            <wps:cNvSpPr txBox="1"/>
                            <wps:spPr>
                              <a:xfrm>
                                <a:off x="0" y="0"/>
                                <a:ext cx="1301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70510" cy="175895"/>
                      <wp:effectExtent l="0" t="0" r="0" b="0"/>
                      <wp:wrapNone/>
                      <wp:docPr id="248" name="Frame247"/>
                      <a:graphic xmlns:a="http://schemas.openxmlformats.org/drawingml/2006/main">
                        <a:graphicData uri="http://schemas.microsoft.com/office/word/2010/wordprocessingShape">
                          <wps:wsp>
                            <wps:cNvSpPr txBox="1"/>
                            <wps:spPr>
                              <a:xfrm>
                                <a:off x="0" y="0"/>
                                <a:ext cx="270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21285" cy="175895"/>
                      <wp:effectExtent l="0" t="0" r="0" b="0"/>
                      <wp:wrapNone/>
                      <wp:docPr id="249" name="Frame24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1558"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346" w:type="dxa"/>
            <w:tcBorders/>
            <w:vAlign w:val="center"/>
          </w:tcPr>
          <w:p>
            <w:pPr>
              <w:pStyle w:val="TableContents"/>
              <w:bidi w:val="0"/>
              <w:spacing w:before="1" w:after="1"/>
              <w:ind w:left="0" w:right="0" w:hanging="0"/>
              <w:jc w:val="center"/>
              <w:rPr/>
            </w:pPr>
            <w:r>
              <w:rPr/>
              <w:t>​</w:t>
            </w:r>
          </w:p>
        </w:tc>
        <w:tc>
          <w:tcPr>
            <w:tcW w:w="205" w:type="dxa"/>
            <w:tcBorders/>
            <w:vAlign w:val="center"/>
          </w:tcPr>
          <w:p>
            <w:pPr>
              <w:pStyle w:val="TableContents"/>
              <w:bidi w:val="0"/>
              <w:spacing w:before="1" w:after="1"/>
              <w:ind w:left="0" w:right="0" w:hanging="0"/>
              <w:jc w:val="center"/>
              <w:rPr/>
            </w:pPr>
            <w:r>
              <w:rPr/>
              <w:t>​</w:t>
            </w:r>
          </w:p>
        </w:tc>
        <w:tc>
          <w:tcPr>
            <w:tcW w:w="426"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25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155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 </w:t>
            </w:r>
          </w:p>
        </w:tc>
        <w:tc>
          <w:tcPr>
            <w:tcW w:w="346" w:type="dxa"/>
            <w:tcBorders/>
            <w:vAlign w:val="center"/>
          </w:tcPr>
          <w:p>
            <w:pPr>
              <w:pStyle w:val="TableContents"/>
              <w:bidi w:val="0"/>
              <w:spacing w:before="1" w:after="1"/>
              <w:ind w:left="0" w:right="0" w:hanging="0"/>
              <w:jc w:val="center"/>
              <w:rPr/>
            </w:pPr>
            <w:r>
              <w:rPr/>
              <w:t>​</w:t>
            </w:r>
          </w:p>
        </w:tc>
        <w:tc>
          <w:tcPr>
            <w:tcW w:w="205" w:type="dxa"/>
            <w:tcBorders/>
            <w:vAlign w:val="center"/>
          </w:tcPr>
          <w:p>
            <w:pPr>
              <w:pStyle w:val="TableContents"/>
              <w:bidi w:val="0"/>
              <w:spacing w:before="1" w:after="1"/>
              <w:ind w:left="0" w:right="0" w:hanging="0"/>
              <w:jc w:val="center"/>
              <w:rPr/>
            </w:pPr>
            <w:r>
              <w:rPr/>
              <w:t>​</w:t>
            </w:r>
          </w:p>
        </w:tc>
        <w:tc>
          <w:tcPr>
            <w:tcW w:w="426"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25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60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348" w:type="dxa"/>
            <w:tcBorders/>
            <w:vAlign w:val="center"/>
          </w:tcPr>
          <w:p>
            <w:pPr>
              <w:pStyle w:val="TableContents"/>
              <w:bidi w:val="0"/>
              <w:spacing w:before="1" w:after="1"/>
              <w:ind w:left="0" w:right="0" w:hanging="0"/>
              <w:jc w:val="center"/>
              <w:rPr/>
            </w:pPr>
            <w:r>
              <w:rPr/>
              <w:t>  ​ ​ ​</w:t>
            </w:r>
          </w:p>
        </w:tc>
        <w:tc>
          <w:tcPr>
            <w:tcW w:w="60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346" w:type="dxa"/>
            <w:tcBorders/>
            <w:vAlign w:val="center"/>
          </w:tcPr>
          <w:p>
            <w:pPr>
              <w:pStyle w:val="TableContents"/>
              <w:bidi w:val="0"/>
              <w:spacing w:before="1"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Change</w:t>
            </w:r>
          </w:p>
        </w:tc>
        <w:tc>
          <w:tcPr>
            <w:tcW w:w="191" w:type="dxa"/>
            <w:tcBorders/>
            <w:vAlign w:val="center"/>
          </w:tcPr>
          <w:p>
            <w:pPr>
              <w:pStyle w:val="TableContents"/>
              <w:bidi w:val="0"/>
              <w:spacing w:before="1" w:after="1"/>
              <w:ind w:left="0" w:right="0" w:hanging="0"/>
              <w:jc w:val="center"/>
              <w:rPr/>
            </w:pPr>
            <w:r>
              <w:rPr/>
              <w:t> </w:t>
            </w:r>
          </w:p>
        </w:tc>
      </w:tr>
      <w:tr>
        <w:trPr/>
        <w:tc>
          <w:tcPr>
            <w:tcW w:w="5668"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535" w:type="dxa"/>
            <w:gridSpan w:val="8"/>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(in millions)</w:t>
            </w:r>
          </w:p>
        </w:tc>
        <w:tc>
          <w:tcPr>
            <w:tcW w:w="191" w:type="dxa"/>
            <w:tcBorders/>
            <w:vAlign w:val="center"/>
          </w:tcPr>
          <w:p>
            <w:pPr>
              <w:pStyle w:val="TableContents"/>
              <w:bidi w:val="0"/>
              <w:spacing w:before="1" w:after="1"/>
              <w:ind w:left="0" w:right="0" w:hanging="0"/>
              <w:jc w:val="center"/>
              <w:rPr/>
            </w:pPr>
            <w:r>
              <w:rPr/>
              <w:t>​</w:t>
            </w:r>
          </w:p>
        </w:tc>
      </w:tr>
      <w:tr>
        <w:trPr/>
        <w:tc>
          <w:tcPr>
            <w:tcW w:w="259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Cash flows from financing activities</w:t>
            </w:r>
          </w:p>
        </w:tc>
        <w:tc>
          <w:tcPr>
            <w:tcW w:w="346" w:type="dxa"/>
            <w:tcBorders/>
            <w:vAlign w:val="center"/>
          </w:tcPr>
          <w:p>
            <w:pPr>
              <w:pStyle w:val="TableContents"/>
              <w:bidi w:val="0"/>
              <w:spacing w:before="1" w:after="1"/>
              <w:ind w:left="0" w:right="0" w:hanging="0"/>
              <w:jc w:val="left"/>
              <w:rPr/>
            </w:pPr>
            <w:r>
              <w:rPr/>
              <w:t>​</w:t>
            </w:r>
          </w:p>
        </w:tc>
        <w:tc>
          <w:tcPr>
            <w:tcW w:w="182" w:type="dxa"/>
            <w:tcBorders/>
            <w:vAlign w:val="center"/>
          </w:tcPr>
          <w:p>
            <w:pPr>
              <w:pStyle w:val="TableContents"/>
              <w:bidi w:val="0"/>
              <w:spacing w:before="1" w:after="1"/>
              <w:ind w:left="0" w:right="0" w:hanging="0"/>
              <w:jc w:val="left"/>
              <w:rPr/>
            </w:pPr>
            <w:r>
              <w:rPr/>
              <w:t>​</w:t>
            </w:r>
          </w:p>
        </w:tc>
        <w:tc>
          <w:tcPr>
            <w:tcW w:w="423" w:type="dxa"/>
            <w:tcBorders/>
            <w:vAlign w:val="center"/>
          </w:tcPr>
          <w:p>
            <w:pPr>
              <w:pStyle w:val="TableContents"/>
              <w:bidi w:val="0"/>
              <w:spacing w:before="1" w:after="1"/>
              <w:ind w:left="0" w:right="0" w:hanging="0"/>
              <w:jc w:val="right"/>
              <w:rPr/>
            </w:pPr>
            <w:r>
              <w:rPr/>
              <w:t>​</w:t>
            </w:r>
          </w:p>
        </w:tc>
        <w:tc>
          <w:tcPr>
            <w:tcW w:w="348" w:type="dxa"/>
            <w:tcBorders/>
            <w:vAlign w:val="center"/>
          </w:tcPr>
          <w:p>
            <w:pPr>
              <w:pStyle w:val="TableContents"/>
              <w:bidi w:val="0"/>
              <w:spacing w:before="1" w:after="1"/>
              <w:ind w:left="0" w:right="0" w:hanging="0"/>
              <w:jc w:val="left"/>
              <w:rPr/>
            </w:pPr>
            <w:r>
              <w:rPr/>
              <w:t>​</w:t>
            </w:r>
          </w:p>
        </w:tc>
        <w:tc>
          <w:tcPr>
            <w:tcW w:w="182" w:type="dxa"/>
            <w:tcBorders/>
            <w:vAlign w:val="center"/>
          </w:tcPr>
          <w:p>
            <w:pPr>
              <w:pStyle w:val="TableContents"/>
              <w:bidi w:val="0"/>
              <w:spacing w:before="1" w:after="1"/>
              <w:ind w:left="0" w:right="0" w:hanging="0"/>
              <w:jc w:val="left"/>
              <w:rPr/>
            </w:pPr>
            <w:r>
              <w:rPr/>
              <w:t>​</w:t>
            </w:r>
          </w:p>
        </w:tc>
        <w:tc>
          <w:tcPr>
            <w:tcW w:w="423"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5" w:type="dxa"/>
            <w:tcBorders/>
            <w:vAlign w:val="center"/>
          </w:tcPr>
          <w:p>
            <w:pPr>
              <w:pStyle w:val="TableContents"/>
              <w:bidi w:val="0"/>
              <w:spacing w:before="1" w:after="1"/>
              <w:ind w:left="0" w:right="0" w:hanging="0"/>
              <w:jc w:val="left"/>
              <w:rPr/>
            </w:pPr>
            <w:r>
              <w:rPr/>
              <w:t>​</w:t>
            </w:r>
          </w:p>
        </w:tc>
        <w:tc>
          <w:tcPr>
            <w:tcW w:w="426"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259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Repayments of debt</w:t>
            </w:r>
          </w:p>
        </w:tc>
        <w:tc>
          <w:tcPr>
            <w:tcW w:w="346" w:type="dxa"/>
            <w:tcBorders/>
            <w:shd w:fill="CEDBE0" w:val="clear"/>
            <w:vAlign w:val="center"/>
          </w:tcPr>
          <w:p>
            <w:pPr>
              <w:pStyle w:val="TableContents"/>
              <w:bidi w:val="0"/>
              <w:spacing w:before="1" w:after="1"/>
              <w:ind w:left="0" w:right="0" w:hanging="0"/>
              <w:jc w:val="left"/>
              <w:rPr/>
            </w:pPr>
            <w:r>
              <w:rPr/>
              <w:t>​</w:t>
            </w:r>
          </w:p>
        </w:tc>
        <w:tc>
          <w:tcPr>
            <w:tcW w:w="1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(556)</w:t>
            </w:r>
          </w:p>
        </w:tc>
        <w:tc>
          <w:tcPr>
            <w:tcW w:w="348" w:type="dxa"/>
            <w:tcBorders/>
            <w:shd w:fill="CEDBE0" w:val="clear"/>
            <w:vAlign w:val="center"/>
          </w:tcPr>
          <w:p>
            <w:pPr>
              <w:pStyle w:val="TableContents"/>
              <w:bidi w:val="0"/>
              <w:spacing w:before="1" w:after="1"/>
              <w:ind w:left="0" w:right="0" w:hanging="0"/>
              <w:jc w:val="left"/>
              <w:rPr/>
            </w:pPr>
            <w:r>
              <w:rPr/>
              <w:t>​</w:t>
            </w:r>
          </w:p>
        </w:tc>
        <w:tc>
          <w:tcPr>
            <w:tcW w:w="1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(210)</w:t>
            </w:r>
          </w:p>
        </w:tc>
        <w:tc>
          <w:tcPr>
            <w:tcW w:w="346" w:type="dxa"/>
            <w:tcBorders/>
            <w:shd w:fill="CEDBE0" w:val="clear"/>
            <w:vAlign w:val="center"/>
          </w:tcPr>
          <w:p>
            <w:pPr>
              <w:pStyle w:val="TableContents"/>
              <w:bidi w:val="0"/>
              <w:spacing w:before="1" w:after="1"/>
              <w:ind w:left="0" w:right="0" w:hanging="0"/>
              <w:jc w:val="left"/>
              <w:rPr/>
            </w:pPr>
            <w:r>
              <w:rPr/>
              <w:t>​</w:t>
            </w:r>
          </w:p>
        </w:tc>
        <w:tc>
          <w:tcPr>
            <w:tcW w:w="205"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(346)</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259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Other, net</w:t>
            </w:r>
          </w:p>
        </w:tc>
        <w:tc>
          <w:tcPr>
            <w:tcW w:w="346" w:type="dxa"/>
            <w:tcBorders/>
            <w:vAlign w:val="center"/>
          </w:tcPr>
          <w:p>
            <w:pPr>
              <w:pStyle w:val="TableContents"/>
              <w:bidi w:val="0"/>
              <w:spacing w:before="1" w:after="1"/>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8" w:type="dxa"/>
            <w:tcBorders/>
            <w:vAlign w:val="center"/>
          </w:tcPr>
          <w:p>
            <w:pPr>
              <w:pStyle w:val="TableContents"/>
              <w:bidi w:val="0"/>
              <w:spacing w:before="1" w:after="1"/>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w:t>
            </w:r>
          </w:p>
        </w:tc>
        <w:tc>
          <w:tcPr>
            <w:tcW w:w="346" w:type="dxa"/>
            <w:tcBorders/>
            <w:vAlign w:val="center"/>
          </w:tcPr>
          <w:p>
            <w:pPr>
              <w:pStyle w:val="TableContents"/>
              <w:bidi w:val="0"/>
              <w:spacing w:before="1"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w:t>
            </w:r>
          </w:p>
        </w:tc>
        <w:tc>
          <w:tcPr>
            <w:tcW w:w="191" w:type="dxa"/>
            <w:tcBorders/>
            <w:vAlign w:val="center"/>
          </w:tcPr>
          <w:p>
            <w:pPr>
              <w:pStyle w:val="TableContents"/>
              <w:bidi w:val="0"/>
              <w:spacing w:before="1" w:after="1"/>
              <w:ind w:left="0" w:right="0" w:hanging="0"/>
              <w:jc w:val="left"/>
              <w:rPr/>
            </w:pPr>
            <w:r>
              <w:rPr/>
              <w:t>​</w:t>
            </w:r>
          </w:p>
        </w:tc>
      </w:tr>
      <w:tr>
        <w:trPr/>
        <w:tc>
          <w:tcPr>
            <w:tcW w:w="2596" w:type="dxa"/>
            <w:tcBorders/>
            <w:shd w:fill="CEDBE0" w:val="clear"/>
            <w:vAlign w:val="center"/>
          </w:tcPr>
          <w:p>
            <w:pPr>
              <w:pStyle w:val="TableContents"/>
              <w:bidi w:val="0"/>
              <w:spacing w:before="1" w:after="1"/>
              <w:ind w:left="0" w:right="0" w:hanging="0"/>
              <w:jc w:val="left"/>
              <w:rPr/>
            </w:pPr>
            <w:r>
              <w:rPr/>
              <w:t>​</w:t>
            </w:r>
          </w:p>
        </w:tc>
        <w:tc>
          <w:tcPr>
            <w:tcW w:w="346" w:type="dxa"/>
            <w:tcBorders/>
            <w:shd w:fill="CEDBE0" w:val="clear"/>
            <w:vAlign w:val="center"/>
          </w:tcPr>
          <w:p>
            <w:pPr>
              <w:pStyle w:val="TableContents"/>
              <w:bidi w:val="0"/>
              <w:spacing w:before="1" w:after="1"/>
              <w:ind w:left="0" w:right="0" w:hanging="0"/>
              <w:jc w:val="left"/>
              <w:rPr/>
            </w:pPr>
            <w:r>
              <w:rPr/>
              <w:t> </w:t>
            </w:r>
          </w:p>
        </w:tc>
        <w:tc>
          <w:tcPr>
            <w:tcW w:w="182"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3"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(556)</w:t>
            </w:r>
          </w:p>
        </w:tc>
        <w:tc>
          <w:tcPr>
            <w:tcW w:w="348" w:type="dxa"/>
            <w:tcBorders/>
            <w:shd w:fill="CEDBE0" w:val="clear"/>
            <w:vAlign w:val="center"/>
          </w:tcPr>
          <w:p>
            <w:pPr>
              <w:pStyle w:val="TableContents"/>
              <w:bidi w:val="0"/>
              <w:spacing w:before="1" w:after="1"/>
              <w:ind w:left="0" w:right="0" w:hanging="0"/>
              <w:jc w:val="left"/>
              <w:rPr/>
            </w:pPr>
            <w:r>
              <w:rPr/>
              <w:t> </w:t>
            </w:r>
          </w:p>
        </w:tc>
        <w:tc>
          <w:tcPr>
            <w:tcW w:w="182"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3"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(218)</w:t>
            </w:r>
          </w:p>
        </w:tc>
        <w:tc>
          <w:tcPr>
            <w:tcW w:w="346" w:type="dxa"/>
            <w:tcBorders/>
            <w:shd w:fill="CEDBE0" w:val="clear"/>
            <w:vAlign w:val="center"/>
          </w:tcPr>
          <w:p>
            <w:pPr>
              <w:pStyle w:val="TableContents"/>
              <w:bidi w:val="0"/>
              <w:spacing w:before="1" w:after="1"/>
              <w:ind w:left="0" w:right="0" w:hanging="0"/>
              <w:jc w:val="left"/>
              <w:rPr/>
            </w:pPr>
            <w:r>
              <w:rPr/>
              <w:t> </w:t>
            </w:r>
          </w:p>
        </w:tc>
        <w:tc>
          <w:tcPr>
            <w:tcW w:w="205"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6"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(338)</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20" w:after="180"/>
        <w:ind w:left="0" w:right="0" w:firstLine="720"/>
        <w:jc w:val="both"/>
        <w:rPr>
          <w:rFonts w:ascii="Arial Narrow" w:hAnsi="Arial Narrow"/>
          <w:sz w:val="20"/>
        </w:rPr>
      </w:pPr>
      <w:r>
        <w:rPr>
          <w:rFonts w:ascii="Arial Narrow" w:hAnsi="Arial Narrow"/>
          <w:sz w:val="20"/>
        </w:rPr>
        <w:t>Net cash used in financing activities increased primarily due to increased cash used to repay debt, primarily resulting from the redemption of the outstanding $358 million aggregate principal amount of the 8.375% Senior Secured Notes in current-year period.</w:t>
      </w:r>
    </w:p>
    <w:p>
      <w:pPr>
        <w:pStyle w:val="TextBody"/>
        <w:bidi w:val="0"/>
        <w:spacing w:before="180" w:after="60"/>
        <w:ind w:left="0" w:right="0" w:hanging="0"/>
        <w:jc w:val="left"/>
        <w:rPr>
          <w:rFonts w:ascii="Arial Narrow" w:hAnsi="Arial Narrow"/>
          <w:b/>
          <w:i/>
          <w:color w:val="00556F"/>
          <w:sz w:val="20"/>
        </w:rPr>
      </w:pPr>
      <w:bookmarkStart w:id="672" w:name="SourcesAndUsesOfLiquidity"/>
      <w:bookmarkEnd w:id="672"/>
      <w:r>
        <w:rPr>
          <w:rFonts w:ascii="Arial Narrow" w:hAnsi="Arial Narrow"/>
          <w:b/>
          <w:i/>
          <w:color w:val="00556F"/>
          <w:sz w:val="20"/>
        </w:rPr>
        <w:t>Sources and uses of liquidity</w:t>
      </w:r>
    </w:p>
    <w:p>
      <w:pPr>
        <w:pStyle w:val="TextBody"/>
        <w:bidi w:val="0"/>
        <w:spacing w:before="60" w:after="120"/>
        <w:ind w:left="0" w:right="0" w:firstLine="720"/>
        <w:jc w:val="both"/>
        <w:rPr>
          <w:rFonts w:ascii="Arial Narrow" w:hAnsi="Arial Narrow"/>
          <w:sz w:val="20"/>
        </w:rPr>
      </w:pPr>
      <w:r>
        <w:rPr>
          <w:rFonts w:ascii="Arial Narrow" w:hAnsi="Arial Narrow"/>
          <w:b/>
          <w:sz w:val="20"/>
        </w:rPr>
        <w:t>Overview</w:t>
      </w:r>
      <w:r>
        <w:rPr>
          <w:rFonts w:ascii="Arial Narrow" w:hAnsi="Arial Narrow"/>
          <w:sz w:val="20"/>
        </w:rPr>
        <w:t>—We expect to use existing unrestricted cash balances, cash flows from operating activities, borrowings under our Secured Credit Facility, proceeds from the disposal of assets or proceeds from the issuance of debt or shares to fulfill anticipated near-term obligations, which may include capital expenditures, working capital and other operational requirements, scheduled debt installments and maturities or other debt-related deposits or reservations of unrestricted cash.  At March 31, 2026, we had $330 million in unrestricted cash and cash equivalents and $285 million in restricted cash and cash equivalents.  We have generated positive cash flows from operating activities over recent years and, although we cannot provide assurances, we expect that such cash flows will continue to be positive over the next year.  For example, among other factors, if we incur costs for reactivation or contract preparation of multiple rigs or to otherwise assure the marketability of our fleet or general economic, financial, industry or business conditions deteriorate, our cash flows from operations may be reduced or negative.</w:t>
      </w:r>
    </w:p>
    <w:p>
      <w:pPr>
        <w:pStyle w:val="TextBody"/>
        <w:bidi w:val="0"/>
        <w:spacing w:before="60" w:after="120"/>
        <w:ind w:left="0" w:right="0" w:firstLine="720"/>
        <w:jc w:val="both"/>
        <w:rPr/>
      </w:pPr>
      <w:r>
        <w:rPr>
          <w:rFonts w:ascii="Arial Narrow" w:hAnsi="Arial Narrow"/>
          <w:sz w:val="20"/>
        </w:rPr>
        <w:t>We have a Secured Credit Facility that provides us with a borrowing capacity of $510 million through its maturity on June 22, 2028.  Our Secured Credit Facility, which is secured by, among other things, a lien on eight of our ultra-deepwater drillships and two of our harsh environment semisubmersibles, contains certain restrictive covenants, including a minimum guarantee coverage ratio of 3.0 to 1.0, a minimum collateral coverage ratio of 2.1 to 1.0 and a minimum liquidity requirement of $200 million, among others.  The Secured Credit Facility also restricts the ability of Transocean Ltd. and certain of our subsidiaries to, among other things, merge, consolidate or otherwise make changes to the corporate structure, incur liens, incur additional indebtedness, enter into transactions with affiliates and permits, subject to certain conditions, us to pay dividends and repurchase our shares.  For more information about our Secured Credit Facility and our outstanding debt instruments, see Notes to Condensed Consolidated Financial Statements—</w:t>
      </w:r>
      <w:hyperlink w:anchor="FNDebt">
        <w:r>
          <w:rPr>
            <w:rStyle w:val="InternetLink"/>
            <w:rFonts w:ascii="Arial Narrow" w:hAnsi="Arial Narrow"/>
            <w:b w:val="false"/>
            <w:i w:val="false"/>
            <w:caps w:val="false"/>
            <w:smallCaps w:val="false"/>
            <w:sz w:val="20"/>
          </w:rPr>
          <w:t>Note 6—Debt</w:t>
        </w:r>
      </w:hyperlink>
      <w:r>
        <w:rPr>
          <w:rFonts w:ascii="Arial Narrow" w:hAnsi="Arial Narrow"/>
          <w:sz w:val="20"/>
        </w:rPr>
        <w:t>.</w:t>
      </w:r>
    </w:p>
    <w:p>
      <w:pPr>
        <w:pStyle w:val="TextBody"/>
        <w:bidi w:val="0"/>
        <w:spacing w:before="60" w:after="120"/>
        <w:ind w:left="0" w:right="0" w:firstLine="720"/>
        <w:jc w:val="both"/>
        <w:rPr>
          <w:rFonts w:ascii="Arial Narrow" w:hAnsi="Arial Narrow"/>
          <w:sz w:val="20"/>
        </w:rPr>
      </w:pPr>
      <w:r>
        <w:rPr>
          <w:rFonts w:ascii="Arial Narrow" w:hAnsi="Arial Narrow"/>
          <w:sz w:val="20"/>
        </w:rPr>
        <w:t>Although we currently anticipate relying on these sources of liquidity, including cash flows from operating activities and borrowings under our Secured Credit Facility, among others, we may in the future consider establishing additional financing arrangements with banks or other capital providers and subject to market conditions and other factors, we may be required to provide collateral for any such future financing arrangements.  Our secured indentures include collateral rig leverage ratios.  During periods where collateral rigs have experienced reduced levels of operating efficiency or utilization, we have in the past deposited cash into the applicable debt service reserve account and taken other actions, including obtaining consents of holders of certain of our secured debt, as applicable, in order to satisfy the applicable collateral rig leverage ratio, and we may in the future take such actions from time to time, as necessary.</w:t>
      </w:r>
    </w:p>
    <w:p>
      <w:pPr>
        <w:pStyle w:val="TextBody"/>
        <w:bidi w:val="0"/>
        <w:spacing w:before="60" w:after="0"/>
        <w:ind w:left="0" w:right="0" w:firstLine="720"/>
        <w:jc w:val="both"/>
        <w:rPr>
          <w:rFonts w:ascii="Arial Narrow" w:hAnsi="Arial Narrow"/>
          <w:sz w:val="20"/>
        </w:rPr>
      </w:pPr>
      <w:r>
        <w:rPr>
          <w:rFonts w:ascii="Arial Narrow" w:hAnsi="Arial Narrow"/>
          <w:b/>
          <w:sz w:val="20"/>
        </w:rPr>
        <w:t>Debt and equity markets</w:t>
      </w:r>
      <w:r>
        <w:rPr>
          <w:rFonts w:ascii="Arial Narrow" w:hAnsi="Arial Narrow"/>
          <w:sz w:val="20"/>
        </w:rPr>
        <w:t xml:space="preserve">—From time to time, we seek to access the capital markets in connection with our ongoing efforts to prudently manage our capital structure and improve our liquidity position.  For example, we have completed multiple debt and equity transactions, including tender offers, redemptions, exchanges and retirement of existing debt.  Subject to then-existing market conditions and our expected liquidity needs, among other factors, we may also use existing unrestricted cash balances, cash flows from operating activities, or proceeds from asset sales to manage our capital structure, including by purchasing or exchanging any of our debt or equity securities in the open market, in privately negotiated transactions, or through tender or exchange offers, or by redeeming any of our outstanding debt securities pursuant to the terms of the applicable governing document, if applicable.  Any future purchases, exchanges or other transactions may be on the same terms or on terms that are more or less favorable to holders than the terms of any prior transaction.  We can provide no assurance as to which, if any, of these alternatives, or combinations thereof, we may choose to pursue in the future, if at </w:t>
      </w:r>
    </w:p>
    <w:p>
      <w:pPr>
        <w:pStyle w:val="TextBody"/>
        <w:bidi w:val="0"/>
        <w:spacing w:before="0" w:after="0"/>
        <w:ind w:left="0" w:right="0" w:hanging="0"/>
        <w:jc w:val="center"/>
        <w:rPr>
          <w:rFonts w:ascii="Arial Narrow" w:hAnsi="Arial Narrow"/>
          <w:sz w:val="20"/>
        </w:rPr>
      </w:pPr>
      <w:r>
        <w:rPr>
          <w:rFonts w:ascii="Arial Narrow" w:hAnsi="Arial Narrow"/>
          <w:sz w:val="20"/>
        </w:rPr>
        <w:t>- 17 -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hanging="0"/>
        <w:jc w:val="both"/>
        <w:rPr/>
      </w:pPr>
      <w:r>
        <w:rPr>
          <w:rFonts w:ascii="Arial Narrow" w:hAnsi="Arial Narrow"/>
          <w:sz w:val="20"/>
        </w:rPr>
        <w:t>all, or as to the timing with respect to any future transactions.  For more information about our debt and equity transactions, see Notes to Condensed Consolidated Financial Statements—</w:t>
      </w:r>
      <w:hyperlink w:anchor="FN_Debt">
        <w:r>
          <w:rPr>
            <w:rStyle w:val="InternetLink"/>
            <w:rFonts w:ascii="Arial Narrow" w:hAnsi="Arial Narrow"/>
            <w:b w:val="false"/>
            <w:i w:val="false"/>
            <w:caps w:val="false"/>
            <w:smallCaps w:val="false"/>
            <w:sz w:val="20"/>
          </w:rPr>
          <w:t>Note 6—Debt</w:t>
        </w:r>
      </w:hyperlink>
      <w:r>
        <w:rPr>
          <w:rFonts w:ascii="Arial Narrow" w:hAnsi="Arial Narrow"/>
          <w:sz w:val="20"/>
        </w:rPr>
        <w:t xml:space="preserve"> and </w:t>
      </w:r>
      <w:hyperlink w:anchor="FN_Equity">
        <w:r>
          <w:rPr>
            <w:rStyle w:val="InternetLink"/>
            <w:rFonts w:ascii="Arial Narrow" w:hAnsi="Arial Narrow"/>
            <w:b w:val="false"/>
            <w:i w:val="false"/>
            <w:caps w:val="false"/>
            <w:smallCaps w:val="false"/>
            <w:sz w:val="20"/>
          </w:rPr>
          <w:t>Note 10—Equity</w:t>
        </w:r>
      </w:hyperlink>
      <w:r>
        <w:rPr>
          <w:rFonts w:ascii="Arial Narrow" w:hAnsi="Arial Narrow"/>
          <w:sz w:val="20"/>
        </w:rPr>
        <w:t>.</w:t>
      </w:r>
    </w:p>
    <w:p>
      <w:pPr>
        <w:pStyle w:val="TextBody"/>
        <w:bidi w:val="0"/>
        <w:spacing w:before="60" w:after="120"/>
        <w:ind w:left="0" w:right="0" w:firstLine="720"/>
        <w:jc w:val="both"/>
        <w:rPr>
          <w:rFonts w:ascii="Arial Narrow" w:hAnsi="Arial Narrow"/>
          <w:sz w:val="20"/>
        </w:rPr>
      </w:pPr>
      <w:r>
        <w:rPr>
          <w:rFonts w:ascii="Arial Narrow" w:hAnsi="Arial Narrow"/>
          <w:sz w:val="20"/>
        </w:rPr>
        <w:t>Our ability and willingness to access the debt and equity markets is a function of a variety of factors, including, among others, general economic, industry or market conditions, market perceptions of us and our industry and credit rating agencies’ views of our debt.  General economic or market conditions could have an adverse effect on our business and financial position and on the business and financial position of our customers, suppliers and lenders and could affect our ability to access the capital markets on acceptable terms or at all and our future need or ability to borrow under our Secured Credit Facility.  In addition to our potential sources of funding, the effects of such global events could impact our liquidity or cause us to need to alter our allocation or sources of capital, implement further cost reduction measures and change our financial strategy.  Additionally, the rating of our long-term debt is below investment grade, which is causing us to experience increased fees and interest rates under our Secured Credit Facility and indentures governing certain of our senior notes.  Future downgrades may further restrict our ability to access the debt market for sources of capital and may negatively impact the cost of such capital at a time when we would like, or need, to access such markets, which could have an impact on our flexibility to react to changing economic and business conditions.</w:t>
      </w:r>
    </w:p>
    <w:p>
      <w:pPr>
        <w:pStyle w:val="TextBody"/>
        <w:bidi w:val="0"/>
        <w:spacing w:before="60" w:after="120"/>
        <w:ind w:left="0" w:right="0" w:firstLine="720"/>
        <w:jc w:val="both"/>
        <w:rPr>
          <w:rFonts w:ascii="Arial Narrow" w:hAnsi="Arial Narrow"/>
          <w:sz w:val="20"/>
        </w:rPr>
      </w:pPr>
      <w:r>
        <w:rPr>
          <w:rFonts w:ascii="Arial Narrow" w:hAnsi="Arial Narrow"/>
          <w:b/>
          <w:sz w:val="20"/>
        </w:rPr>
        <w:t>Drilling fleet</w:t>
      </w:r>
      <w:r>
        <w:rPr>
          <w:rFonts w:ascii="Arial Narrow" w:hAnsi="Arial Narrow"/>
          <w:sz w:val="20"/>
        </w:rPr>
        <w:t>—From time to time, we review possible acquisitions of businesses and drilling rigs, as well as noncontrolling ownership interests in other companies, and we may make significant future capital commitments for such purposes.  We may also consider investments related to major rig upgrades, new rig construction, or the acquisition of a rig under construction.  Any such acquisition or investment has involved, and in the future could involve, the payment by us of a substantial amount of cash or the issuance of a substantial number of additional shares or other securities.  Our failure to subsequently secure drilling contracts in these instances, if not already secured, could have an adverse effect on our results of operations or cash flows.</w:t>
      </w:r>
    </w:p>
    <w:p>
      <w:pPr>
        <w:pStyle w:val="TextBody"/>
        <w:bidi w:val="0"/>
        <w:spacing w:before="120" w:after="120"/>
        <w:ind w:left="0" w:right="0" w:firstLine="720"/>
        <w:jc w:val="both"/>
        <w:rPr>
          <w:rFonts w:ascii="Arial Narrow" w:hAnsi="Arial Narrow"/>
          <w:sz w:val="20"/>
        </w:rPr>
      </w:pPr>
      <w:r>
        <w:rPr>
          <w:rFonts w:ascii="Arial Narrow" w:hAnsi="Arial Narrow"/>
          <w:sz w:val="20"/>
        </w:rPr>
        <w:t>The ultimate amount of our capital expenditures is partly dependent upon financial market conditions, the actual level of operational and contracting activity, the costs associated with the current regulatory environment and customer-requested capital improvements and equipment for which the customer agrees to reimburse us.  As with any major shipyard project that takes place over an extended period, the actual costs, the timing of expenditures and the project completion date may vary from estimates based on numerous factors, including actual contract terms, weather, exchange rates, shipyard labor conditions, availability of suppliers to recertify equipment and market demand for required components and resources.  We intend to fund the cash requirements for our projected capital expenditures by using available cash balances, cash generated from operations and asset sales, borrowings under our Secured Credit Facility and financing arrangements with banks or other capital providers.  Economic conditions and other factors could impact the availability of these sources of funding.</w:t>
      </w:r>
    </w:p>
    <w:p>
      <w:pPr>
        <w:pStyle w:val="TextBody"/>
        <w:bidi w:val="0"/>
        <w:spacing w:before="60" w:after="120"/>
        <w:ind w:left="0" w:right="0" w:firstLine="720"/>
        <w:jc w:val="both"/>
        <w:rPr/>
      </w:pPr>
      <w:r>
        <w:rPr>
          <w:rFonts w:ascii="Arial Narrow" w:hAnsi="Arial Narrow"/>
          <w:sz w:val="20"/>
        </w:rPr>
        <w:t>From time to time, we may review the possible disposition of certain drilling assets.  In the three months ended March 31, 2026, we completed the disposal of two ultra-deepwater drillships, together with related assets, in sales for recycling.  Additionally, as of March 31, 2026, we have classified as held for sale one harsh environment semisubmersible and related assets, and we have committed to sell this drilling unit for recycling.  Considering market conditions, we may identify additional lower-specification drilling units to be sold for scrap, recycling or alternative purposes.  See Notes to Condensed Consolidated Financial Statements—</w:t>
      </w:r>
      <w:hyperlink w:anchor="FN_LongLivedAssests">
        <w:r>
          <w:rPr>
            <w:rStyle w:val="InternetLink"/>
            <w:rFonts w:ascii="Arial Narrow" w:hAnsi="Arial Narrow"/>
            <w:b w:val="false"/>
            <w:i w:val="false"/>
            <w:caps w:val="false"/>
            <w:smallCaps w:val="false"/>
            <w:sz w:val="20"/>
          </w:rPr>
          <w:t>Note 5—Long-Lived Assets</w:t>
        </w:r>
      </w:hyperlink>
      <w:r>
        <w:rPr>
          <w:rFonts w:ascii="Arial Narrow" w:hAnsi="Arial Narrow"/>
          <w:sz w:val="20"/>
        </w:rPr>
        <w:t>.</w:t>
      </w:r>
    </w:p>
    <w:p>
      <w:pPr>
        <w:pStyle w:val="TextBody"/>
        <w:bidi w:val="0"/>
        <w:spacing w:before="60" w:after="120"/>
        <w:ind w:left="0" w:right="0" w:firstLine="720"/>
        <w:jc w:val="both"/>
        <w:rPr/>
      </w:pPr>
      <w:r>
        <w:rPr>
          <w:rFonts w:ascii="Arial Narrow" w:hAnsi="Arial Narrow"/>
          <w:b/>
          <w:sz w:val="20"/>
        </w:rPr>
        <w:t>Contractual obligations and other commercial commitments</w:t>
      </w:r>
      <w:r>
        <w:rPr>
          <w:rFonts w:ascii="Arial Narrow" w:hAnsi="Arial Narrow"/>
          <w:sz w:val="20"/>
        </w:rPr>
        <w:t xml:space="preserve">—As of March 31, 2026, there have been no material changes to our contractual obligations or other commercial commitments as previously disclosed in “Part II. Item 7. Management’s Discussion and Analysis of Financial Condition and Results of Operations” in our annual report on </w:t>
      </w:r>
      <w:r>
        <w:fldChar w:fldCharType="begin"/>
      </w:r>
      <w:r>
        <w:rPr>
          <w:rStyle w:val="InternetLink"/>
          <w:smallCaps w:val="false"/>
          <w:caps w:val="false"/>
          <w:sz w:val="20"/>
          <w:i w:val="false"/>
          <w:b w:val="false"/>
          <w:rFonts w:ascii="Arial Narrow" w:hAnsi="Arial Narrow"/>
        </w:rPr>
        <w:instrText xml:space="preserve"> HYPERLINK "https://www.sec.gov/ix?doc=/Archives/edgar/data/0001451505/000145150526000018/rig-20251231x10k.htm" \l "fact-identifier-1793"</w:instrText>
      </w:r>
      <w:r>
        <w:rPr>
          <w:rStyle w:val="InternetLink"/>
          <w:smallCaps w:val="false"/>
          <w:caps w:val="false"/>
          <w:sz w:val="20"/>
          <w:i w:val="false"/>
          <w:b w:val="false"/>
          <w:rFonts w:ascii="Arial Narrow" w:hAnsi="Arial Narrow"/>
        </w:rPr>
        <w:fldChar w:fldCharType="separate"/>
      </w:r>
      <w:r>
        <w:rPr>
          <w:rStyle w:val="InternetLink"/>
          <w:rFonts w:ascii="Arial Narrow" w:hAnsi="Arial Narrow"/>
          <w:b w:val="false"/>
          <w:i w:val="false"/>
          <w:caps w:val="false"/>
          <w:smallCaps w:val="false"/>
          <w:sz w:val="20"/>
        </w:rPr>
        <w:t>Form 10-K for the year ended December 31, 2025</w:t>
      </w:r>
      <w:r>
        <w:rPr>
          <w:rStyle w:val="InternetLink"/>
          <w:smallCaps w:val="false"/>
          <w:caps w:val="false"/>
          <w:sz w:val="20"/>
          <w:i w:val="false"/>
          <w:b w:val="false"/>
          <w:rFonts w:ascii="Arial Narrow" w:hAnsi="Arial Narrow"/>
        </w:rPr>
        <w:fldChar w:fldCharType="end"/>
      </w:r>
      <w:r>
        <w:rPr>
          <w:rFonts w:ascii="Arial Narrow" w:hAnsi="Arial Narrow"/>
          <w:sz w:val="20"/>
        </w:rPr>
        <w:t>.  For additional information about our debt obligations and scheduled maturities, see Notes to Condensed Consolidated Financial Statements—</w:t>
      </w:r>
      <w:hyperlink w:anchor="FN_Debt">
        <w:r>
          <w:rPr>
            <w:rStyle w:val="InternetLink"/>
            <w:rFonts w:ascii="Arial Narrow" w:hAnsi="Arial Narrow"/>
            <w:b w:val="false"/>
            <w:i w:val="false"/>
            <w:caps w:val="false"/>
            <w:smallCaps w:val="false"/>
            <w:sz w:val="20"/>
          </w:rPr>
          <w:t>Note 6—Debt</w:t>
        </w:r>
      </w:hyperlink>
      <w:r>
        <w:rPr>
          <w:rFonts w:ascii="Arial Narrow" w:hAnsi="Arial Narrow"/>
          <w:sz w:val="20"/>
        </w:rPr>
        <w:t>.</w:t>
      </w:r>
    </w:p>
    <w:p>
      <w:pPr>
        <w:pStyle w:val="TextBody"/>
        <w:pBdr>
          <w:bottom w:val="single" w:sz="18" w:space="1" w:color="ECA44A"/>
        </w:pBdr>
        <w:bidi w:val="0"/>
        <w:spacing w:before="180" w:after="60"/>
        <w:ind w:left="0" w:right="0" w:hanging="0"/>
        <w:jc w:val="left"/>
        <w:rPr>
          <w:rFonts w:ascii="Arial Narrow" w:hAnsi="Arial Narrow"/>
          <w:b/>
          <w:caps/>
          <w:color w:val="00556F"/>
          <w:sz w:val="22"/>
        </w:rPr>
      </w:pPr>
      <w:r>
        <w:rPr>
          <w:rFonts w:ascii="Arial Narrow" w:hAnsi="Arial Narrow"/>
          <w:b/>
          <w:caps/>
          <w:color w:val="00556F"/>
          <w:sz w:val="22"/>
        </w:rPr>
        <w:t>Critical Accounting Policies and Estimates</w:t>
      </w:r>
    </w:p>
    <w:p>
      <w:pPr>
        <w:pStyle w:val="TextBody"/>
        <w:bidi w:val="0"/>
        <w:spacing w:before="60" w:after="120"/>
        <w:ind w:left="0" w:right="0" w:firstLine="720"/>
        <w:jc w:val="both"/>
        <w:rPr/>
      </w:pPr>
      <w:r>
        <w:rPr>
          <w:rFonts w:ascii="Arial Narrow" w:hAnsi="Arial Narrow"/>
          <w:sz w:val="20"/>
        </w:rPr>
        <w:t xml:space="preserve">As of March 31, 2026, there have been no material changes to the critical accounting policies and estimates that we use as a basis for applying judgments, assumptions and estimates to prepare our condensed consolidated financial statements, as previously disclosed in “Part II. Item 7. Management’s Discussion and Analysis of Financial Condition and Results of Operations—Critical Accounting Policies and Estimates” in our annual report on </w:t>
      </w:r>
      <w:r>
        <w:fldChar w:fldCharType="begin"/>
      </w:r>
      <w:r>
        <w:rPr>
          <w:rStyle w:val="InternetLink"/>
          <w:smallCaps w:val="false"/>
          <w:caps w:val="false"/>
          <w:sz w:val="20"/>
          <w:i w:val="false"/>
          <w:b w:val="false"/>
          <w:rFonts w:ascii="Arial Narrow" w:hAnsi="Arial Narrow"/>
        </w:rPr>
        <w:instrText xml:space="preserve"> HYPERLINK "https://www.sec.gov/ix?doc=/Archives/edgar/data/0001451505/000145150526000018/rig-20251231x10k.htm" \l "fact-identifier-1793"</w:instrText>
      </w:r>
      <w:r>
        <w:rPr>
          <w:rStyle w:val="InternetLink"/>
          <w:smallCaps w:val="false"/>
          <w:caps w:val="false"/>
          <w:sz w:val="20"/>
          <w:i w:val="false"/>
          <w:b w:val="false"/>
          <w:rFonts w:ascii="Arial Narrow" w:hAnsi="Arial Narrow"/>
        </w:rPr>
        <w:fldChar w:fldCharType="separate"/>
      </w:r>
      <w:r>
        <w:rPr>
          <w:rStyle w:val="InternetLink"/>
          <w:rFonts w:ascii="Arial Narrow" w:hAnsi="Arial Narrow"/>
          <w:b w:val="false"/>
          <w:i w:val="false"/>
          <w:caps w:val="false"/>
          <w:smallCaps w:val="false"/>
          <w:sz w:val="20"/>
        </w:rPr>
        <w:t>Form 10-K for the year ended December 31, 2025</w:t>
      </w:r>
      <w:r>
        <w:rPr>
          <w:rStyle w:val="InternetLink"/>
          <w:smallCaps w:val="false"/>
          <w:caps w:val="false"/>
          <w:sz w:val="20"/>
          <w:i w:val="false"/>
          <w:b w:val="false"/>
          <w:rFonts w:ascii="Arial Narrow" w:hAnsi="Arial Narrow"/>
        </w:rPr>
        <w:fldChar w:fldCharType="end"/>
      </w:r>
      <w:r>
        <w:rPr>
          <w:rFonts w:ascii="Arial Narrow" w:hAnsi="Arial Narrow"/>
          <w:sz w:val="20"/>
        </w:rPr>
        <w: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r>
        <w:rPr>
          <w:rFonts w:ascii="Arial Narrow" w:hAnsi="Arial Narrow"/>
          <w:b/>
          <w:caps/>
          <w:color w:val="00556F"/>
          <w:sz w:val="22"/>
        </w:rPr>
        <w:t>Other Matters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Regulatory matters</w:t>
      </w:r>
    </w:p>
    <w:p>
      <w:pPr>
        <w:pStyle w:val="TextBody"/>
        <w:bidi w:val="0"/>
        <w:spacing w:before="60" w:after="120"/>
        <w:ind w:left="0" w:right="0" w:firstLine="720"/>
        <w:jc w:val="both"/>
        <w:rPr/>
      </w:pPr>
      <w:r>
        <w:rPr>
          <w:rFonts w:ascii="Arial Narrow" w:hAnsi="Arial Narrow"/>
          <w:sz w:val="20"/>
        </w:rPr>
        <w:t>We occasionally receive inquiries from governmental regulatory agencies regarding our operations around the world, including inquiries with respect to various tax, environmental, regulatory and compliance matters.  To the extent appropriate under the circumstances, we investigate such matters, respond to such inquiries and cooperate with the regulatory agencies.  See Notes to Condensed Consolidated Financial Statements—</w:t>
      </w:r>
      <w:hyperlink w:anchor="FNContingencies">
        <w:r>
          <w:rPr>
            <w:rStyle w:val="InternetLink"/>
            <w:rFonts w:ascii="Arial Narrow" w:hAnsi="Arial Narrow"/>
            <w:b w:val="false"/>
            <w:i w:val="false"/>
            <w:caps w:val="false"/>
            <w:smallCaps w:val="false"/>
            <w:sz w:val="20"/>
          </w:rPr>
          <w:t>Note 9—Contingencies</w:t>
        </w:r>
      </w:hyperlink>
      <w:r>
        <w:rPr>
          <w:rFonts w:ascii="Arial Narrow" w:hAnsi="Arial Narrow"/>
          <w:sz w:val="20"/>
        </w:rPr>
        <w:t>.</w:t>
      </w:r>
    </w:p>
    <w:p>
      <w:pPr>
        <w:pStyle w:val="TextBody"/>
        <w:bidi w:val="0"/>
        <w:spacing w:before="180" w:after="60"/>
        <w:ind w:left="0" w:right="0" w:hanging="0"/>
        <w:jc w:val="left"/>
        <w:rPr>
          <w:rFonts w:ascii="Arial Narrow" w:hAnsi="Arial Narrow"/>
          <w:b/>
          <w:i/>
          <w:color w:val="00556F"/>
          <w:sz w:val="20"/>
        </w:rPr>
      </w:pPr>
      <w:r>
        <w:rPr>
          <w:rFonts w:ascii="Arial Narrow" w:hAnsi="Arial Narrow"/>
          <w:b/>
          <w:i/>
          <w:color w:val="00556F"/>
          <w:sz w:val="20"/>
        </w:rPr>
        <w:t>Tax matters</w:t>
      </w:r>
    </w:p>
    <w:p>
      <w:pPr>
        <w:pStyle w:val="TextBody"/>
        <w:bidi w:val="0"/>
        <w:spacing w:before="60" w:after="0"/>
        <w:ind w:left="0" w:right="0" w:firstLine="720"/>
        <w:jc w:val="both"/>
        <w:rPr>
          <w:rFonts w:ascii="Arial Narrow" w:hAnsi="Arial Narrow"/>
          <w:sz w:val="20"/>
        </w:rPr>
      </w:pPr>
      <w:r>
        <w:rPr>
          <w:rFonts w:ascii="Arial Narrow" w:hAnsi="Arial Narrow"/>
          <w:sz w:val="20"/>
        </w:rPr>
        <w:t xml:space="preserve">We conduct operations through our various subsidiaries in countries throughout the world.  Each country has its own tax regimes with varying nominal rates, deductions and tax attributes that are subject to changes resulting from new legislation, interpretation or guidance.  From time to time, as a result of these changes, we may revise previously evaluated tax positions, which could cause us to adjust our recorded tax assets and liabilities.  Tax authorities in certain jurisdictions are examining our tax returns and, in some cases, have issued </w:t>
      </w:r>
    </w:p>
    <w:p>
      <w:pPr>
        <w:pStyle w:val="TextBody"/>
        <w:bidi w:val="0"/>
        <w:spacing w:before="0" w:after="0"/>
        <w:ind w:left="0" w:right="0" w:hanging="0"/>
        <w:jc w:val="center"/>
        <w:rPr>
          <w:rFonts w:ascii="Arial Narrow" w:hAnsi="Arial Narrow"/>
          <w:sz w:val="20"/>
        </w:rPr>
      </w:pPr>
      <w:r>
        <w:rPr>
          <w:rFonts w:ascii="Arial Narrow" w:hAnsi="Arial Narrow"/>
          <w:sz w:val="20"/>
        </w:rPr>
        <w:t>- 18 -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bidi w:val="0"/>
        <w:spacing w:before="0" w:after="0"/>
        <w:ind w:left="0" w:right="0" w:hanging="0"/>
        <w:jc w:val="both"/>
        <w:rPr/>
      </w:pPr>
      <w:r>
        <w:rPr>
          <w:rFonts w:ascii="Arial Narrow" w:hAnsi="Arial Narrow"/>
          <w:sz w:val="20"/>
        </w:rPr>
        <w:t>assessments.  We intend to defend our tax positions vigorously.  Although we can provide no assurance as to the outcome of the aforementioned changes, examinations or assessments, we do not expect the ultimate liability to have a material adverse effect on our financial position or results of operations; however, it could have a material adverse effect on our cash flows.  See Notes to Condensed Consolidated Financial Statements—</w:t>
      </w:r>
      <w:hyperlink w:anchor="FNIncomeTaxes">
        <w:r>
          <w:rPr>
            <w:rStyle w:val="InternetLink"/>
            <w:rFonts w:ascii="Arial Narrow" w:hAnsi="Arial Narrow"/>
            <w:b w:val="false"/>
            <w:i w:val="false"/>
            <w:caps w:val="false"/>
            <w:smallCaps w:val="false"/>
            <w:sz w:val="20"/>
          </w:rPr>
          <w:t>Note 7—Income Taxes</w:t>
        </w:r>
      </w:hyperlink>
      <w:r>
        <w:rPr>
          <w:rFonts w:ascii="Arial Narrow" w:hAnsi="Arial Narrow"/>
          <w:sz w:val="20"/>
        </w:rPr>
        <w:t>.</w:t>
      </w:r>
    </w:p>
    <w:p>
      <w:pPr>
        <w:pStyle w:val="Normal"/>
        <w:bidi w:val="0"/>
        <w:spacing w:before="0" w:after="0"/>
        <w:jc w:val="left"/>
        <w:rPr>
          <w:sz w:val="4"/>
          <w:szCs w:val="4"/>
        </w:rPr>
      </w:pPr>
      <w:r>
        <w:rPr>
          <w:sz w:val="4"/>
          <w:szCs w:val="4"/>
        </w:rPr>
      </w:r>
      <w:bookmarkStart w:id="673" w:name="Item7AQuantitativeandQualitativeDisclosu"/>
      <w:bookmarkStart w:id="674" w:name="_3085c220_af57_492a_9fda_09fee8de867d"/>
      <w:bookmarkStart w:id="675" w:name="Item7AQuantitativeandQualitativeDisclosu"/>
      <w:bookmarkStart w:id="676" w:name="_3085c220_af57_492a_9fda_09fee8de867d"/>
      <w:bookmarkEnd w:id="675"/>
      <w:bookmarkEnd w:id="676"/>
    </w:p>
    <w:tbl>
      <w:tblPr>
        <w:tblW w:w="7442" w:type="dxa"/>
        <w:jc w:val="left"/>
        <w:tblInd w:w="0" w:type="dxa"/>
        <w:tblLayout w:type="fixed"/>
        <w:tblCellMar>
          <w:top w:w="0" w:type="dxa"/>
          <w:left w:w="0" w:type="dxa"/>
          <w:bottom w:w="0" w:type="dxa"/>
          <w:right w:w="0" w:type="dxa"/>
        </w:tblCellMar>
      </w:tblPr>
      <w:tblGrid>
        <w:gridCol w:w="751"/>
        <w:gridCol w:w="6691"/>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3.</w:t>
            </w:r>
          </w:p>
        </w:tc>
        <w:tc>
          <w:tcPr>
            <w:tcW w:w="669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Quantitative and Qualitative Disclosures About Market Risk</w:t>
            </w:r>
          </w:p>
        </w:tc>
      </w:tr>
    </w:tbl>
    <w:p>
      <w:pPr>
        <w:pStyle w:val="TextBody"/>
        <w:bidi w:val="0"/>
        <w:spacing w:before="60" w:after="180"/>
        <w:ind w:left="0" w:right="0" w:firstLine="720"/>
        <w:jc w:val="both"/>
        <w:rPr/>
      </w:pPr>
      <w:r>
        <w:rPr>
          <w:rFonts w:ascii="Arial Narrow" w:hAnsi="Arial Narrow"/>
          <w:b/>
          <w:sz w:val="20"/>
        </w:rPr>
        <w:t>Overview</w:t>
      </w:r>
      <w:r>
        <w:rPr>
          <w:rFonts w:ascii="Arial Narrow" w:hAnsi="Arial Narrow"/>
          <w:sz w:val="20"/>
        </w:rPr>
        <w:t xml:space="preserve">—We are exposed to interest rate risk, primarily associated with our long-term debt, including current maturities.  Additionally, we are exposed to equity price risk related to our exchangeable bonds and currency exchange rate risk related to our international operations.  With the exception of the following, there have been no material changes to our market risks as previously disclosed in “Part II. Item 7A. Quantitative and Qualitative Disclosures About Market Risk” in our annual report on </w:t>
      </w:r>
      <w:r>
        <w:fldChar w:fldCharType="begin"/>
      </w:r>
      <w:r>
        <w:rPr>
          <w:rStyle w:val="InternetLink"/>
          <w:smallCaps w:val="false"/>
          <w:caps w:val="false"/>
          <w:sz w:val="20"/>
          <w:i w:val="false"/>
          <w:b w:val="false"/>
          <w:rFonts w:ascii="Arial Narrow" w:hAnsi="Arial Narrow"/>
        </w:rPr>
        <w:instrText xml:space="preserve"> HYPERLINK "https://www.sec.gov/ix?doc=/Archives/edgar/data/0001451505/000145150526000018/rig-20251231x10k.htm" \l "fact-identifier-1793"</w:instrText>
      </w:r>
      <w:r>
        <w:rPr>
          <w:rStyle w:val="InternetLink"/>
          <w:smallCaps w:val="false"/>
          <w:caps w:val="false"/>
          <w:sz w:val="20"/>
          <w:i w:val="false"/>
          <w:b w:val="false"/>
          <w:rFonts w:ascii="Arial Narrow" w:hAnsi="Arial Narrow"/>
        </w:rPr>
        <w:fldChar w:fldCharType="separate"/>
      </w:r>
      <w:r>
        <w:rPr>
          <w:rStyle w:val="InternetLink"/>
          <w:rFonts w:ascii="Arial Narrow" w:hAnsi="Arial Narrow"/>
          <w:b w:val="false"/>
          <w:i w:val="false"/>
          <w:caps w:val="false"/>
          <w:smallCaps w:val="false"/>
          <w:sz w:val="20"/>
        </w:rPr>
        <w:t>Form 10-K for the year ended December 31, 2025</w:t>
      </w:r>
      <w:r>
        <w:rPr>
          <w:rStyle w:val="InternetLink"/>
          <w:smallCaps w:val="false"/>
          <w:caps w:val="false"/>
          <w:sz w:val="20"/>
          <w:i w:val="false"/>
          <w:b w:val="false"/>
          <w:rFonts w:ascii="Arial Narrow" w:hAnsi="Arial Narrow"/>
        </w:rPr>
        <w:fldChar w:fldCharType="end"/>
      </w:r>
      <w:r>
        <w:rPr>
          <w:rFonts w:ascii="Arial Narrow" w:hAnsi="Arial Narrow"/>
          <w:sz w:val="20"/>
        </w:rPr>
        <w:t>.</w:t>
      </w:r>
    </w:p>
    <w:p>
      <w:pPr>
        <w:pStyle w:val="TextBody"/>
        <w:bidi w:val="0"/>
        <w:spacing w:before="60" w:after="60"/>
        <w:ind w:left="0" w:right="0" w:firstLine="720"/>
        <w:jc w:val="both"/>
        <w:rPr>
          <w:rFonts w:ascii="Arial Narrow" w:hAnsi="Arial Narrow"/>
          <w:sz w:val="20"/>
        </w:rPr>
      </w:pPr>
      <w:r>
        <w:rPr>
          <w:rFonts w:ascii="Arial Narrow" w:hAnsi="Arial Narrow"/>
          <w:b/>
          <w:sz w:val="20"/>
        </w:rPr>
        <w:t>Interest rate risk</w:t>
      </w:r>
      <w:r>
        <w:rPr>
          <w:rFonts w:ascii="Arial Narrow" w:hAnsi="Arial Narrow"/>
          <w:sz w:val="20"/>
        </w:rPr>
        <w:t>—The following table presents the scheduled installment amounts and related weighted-average interest rates of our long-term debt instruments by contractual maturity date.  The following table presents information as of March 31, 2026 (in millions, except interest rate percentages):</w:t>
      </w:r>
    </w:p>
    <w:tbl>
      <w:tblPr>
        <w:tblW w:w="9228" w:type="dxa"/>
        <w:jc w:val="left"/>
        <w:tblInd w:w="0" w:type="dxa"/>
        <w:tblLayout w:type="fixed"/>
        <w:tblCellMar>
          <w:top w:w="0" w:type="dxa"/>
          <w:left w:w="0" w:type="dxa"/>
          <w:bottom w:w="0" w:type="dxa"/>
          <w:right w:w="0" w:type="dxa"/>
        </w:tblCellMar>
      </w:tblPr>
      <w:tblGrid>
        <w:gridCol w:w="1441"/>
        <w:gridCol w:w="226"/>
        <w:gridCol w:w="181"/>
        <w:gridCol w:w="376"/>
        <w:gridCol w:w="331"/>
        <w:gridCol w:w="181"/>
        <w:gridCol w:w="376"/>
        <w:gridCol w:w="331"/>
        <w:gridCol w:w="181"/>
        <w:gridCol w:w="376"/>
        <w:gridCol w:w="331"/>
        <w:gridCol w:w="181"/>
        <w:gridCol w:w="451"/>
        <w:gridCol w:w="331"/>
        <w:gridCol w:w="181"/>
        <w:gridCol w:w="346"/>
        <w:gridCol w:w="331"/>
        <w:gridCol w:w="227"/>
        <w:gridCol w:w="569"/>
        <w:gridCol w:w="331"/>
        <w:gridCol w:w="181"/>
        <w:gridCol w:w="451"/>
        <w:gridCol w:w="346"/>
        <w:gridCol w:w="223"/>
        <w:gridCol w:w="557"/>
        <w:gridCol w:w="191"/>
      </w:tblGrid>
      <w:tr>
        <w:trPr/>
        <w:tc>
          <w:tcPr>
            <w:tcW w:w="1441"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227" w:type="dxa"/>
            <w:tcBorders/>
            <w:vAlign w:val="center"/>
          </w:tcPr>
          <w:p>
            <w:pPr>
              <w:pStyle w:val="TableContents"/>
              <w:bidi w:val="0"/>
              <w:spacing w:before="1" w:after="1"/>
              <w:ind w:left="0" w:right="0" w:hanging="0"/>
              <w:jc w:val="left"/>
              <w:rPr/>
            </w:pPr>
            <w:r>
              <w:rPr/>
              <w:t>​</w:t>
            </w:r>
          </w:p>
        </w:tc>
        <w:tc>
          <w:tcPr>
            <w:tcW w:w="569"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left"/>
              <w:rPr/>
            </w:pPr>
            <w:r>
              <w:rPr/>
              <w:t>​</w:t>
            </w:r>
          </w:p>
        </w:tc>
        <w:tc>
          <w:tcPr>
            <w:tcW w:w="557"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1441"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center"/>
              <w:rPr/>
            </w:pPr>
            <w:r>
              <w:rPr/>
              <w:t>​</w:t>
            </w:r>
          </w:p>
        </w:tc>
        <w:tc>
          <w:tcPr>
            <w:tcW w:w="4154" w:type="dxa"/>
            <w:gridSpan w:val="14"/>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Twelve months ending March 31,</w:t>
            </w:r>
          </w:p>
        </w:tc>
        <w:tc>
          <w:tcPr>
            <w:tcW w:w="331" w:type="dxa"/>
            <w:tcBorders/>
            <w:vAlign w:val="center"/>
          </w:tcPr>
          <w:p>
            <w:pPr>
              <w:pStyle w:val="TableContents"/>
              <w:bidi w:val="0"/>
              <w:spacing w:before="1" w:after="1"/>
              <w:ind w:left="0" w:right="0" w:hanging="0"/>
              <w:jc w:val="center"/>
              <w:rPr/>
            </w:pPr>
            <w:r>
              <w:rPr/>
              <w:t>​</w:t>
            </w:r>
          </w:p>
        </w:tc>
        <w:tc>
          <w:tcPr>
            <w:tcW w:w="227" w:type="dxa"/>
            <w:tcBorders/>
            <w:vAlign w:val="center"/>
          </w:tcPr>
          <w:p>
            <w:pPr>
              <w:pStyle w:val="TableContents"/>
              <w:bidi w:val="0"/>
              <w:spacing w:before="1" w:after="1"/>
              <w:ind w:left="0" w:right="0" w:hanging="0"/>
              <w:jc w:val="center"/>
              <w:rPr/>
            </w:pPr>
            <w:r>
              <w:rPr/>
              <w:t>​</w:t>
            </w:r>
          </w:p>
        </w:tc>
        <w:tc>
          <w:tcPr>
            <w:tcW w:w="569" w:type="dxa"/>
            <w:tcBorders/>
            <w:vAlign w:val="center"/>
          </w:tcPr>
          <w:p>
            <w:pPr>
              <w:pStyle w:val="TableContents"/>
              <w:bidi w:val="0"/>
              <w:spacing w:before="1" w:after="1"/>
              <w:ind w:left="0" w:right="0" w:hanging="0"/>
              <w:jc w:val="center"/>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23" w:type="dxa"/>
            <w:tcBorders/>
            <w:vAlign w:val="center"/>
          </w:tcPr>
          <w:p>
            <w:pPr>
              <w:pStyle w:val="TableContents"/>
              <w:bidi w:val="0"/>
              <w:spacing w:before="1" w:after="1"/>
              <w:ind w:left="0" w:right="0" w:hanging="0"/>
              <w:jc w:val="center"/>
              <w:rPr/>
            </w:pPr>
            <w:r>
              <w:rPr/>
              <w:t>​</w:t>
            </w:r>
          </w:p>
        </w:tc>
        <w:tc>
          <w:tcPr>
            <w:tcW w:w="557"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 </w:t>
            </w:r>
          </w:p>
        </w:tc>
      </w:tr>
      <w:tr>
        <w:trPr/>
        <w:tc>
          <w:tcPr>
            <w:tcW w:w="1441"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2027</w:t>
            </w:r>
          </w:p>
        </w:tc>
        <w:tc>
          <w:tcPr>
            <w:tcW w:w="331" w:type="dxa"/>
            <w:tcBorders/>
            <w:vAlign w:val="center"/>
          </w:tcPr>
          <w:p>
            <w:pPr>
              <w:pStyle w:val="TableContents"/>
              <w:bidi w:val="0"/>
              <w:spacing w:before="1" w:after="1"/>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2028</w:t>
            </w:r>
          </w:p>
        </w:tc>
        <w:tc>
          <w:tcPr>
            <w:tcW w:w="331" w:type="dxa"/>
            <w:tcBorders/>
            <w:vAlign w:val="center"/>
          </w:tcPr>
          <w:p>
            <w:pPr>
              <w:pStyle w:val="TableContents"/>
              <w:bidi w:val="0"/>
              <w:spacing w:before="1" w:after="1"/>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2029</w:t>
            </w:r>
          </w:p>
        </w:tc>
        <w:tc>
          <w:tcPr>
            <w:tcW w:w="331"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2030</w:t>
            </w:r>
          </w:p>
        </w:tc>
        <w:tc>
          <w:tcPr>
            <w:tcW w:w="331" w:type="dxa"/>
            <w:tcBorders/>
            <w:vAlign w:val="center"/>
          </w:tcPr>
          <w:p>
            <w:pPr>
              <w:pStyle w:val="TableContents"/>
              <w:bidi w:val="0"/>
              <w:spacing w:before="1" w:after="1"/>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2031</w:t>
            </w:r>
          </w:p>
        </w:tc>
        <w:tc>
          <w:tcPr>
            <w:tcW w:w="331" w:type="dxa"/>
            <w:tcBorders/>
            <w:vAlign w:val="center"/>
          </w:tcPr>
          <w:p>
            <w:pPr>
              <w:pStyle w:val="TableContents"/>
              <w:bidi w:val="0"/>
              <w:spacing w:before="1"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Thereafter</w:t>
            </w:r>
          </w:p>
        </w:tc>
        <w:tc>
          <w:tcPr>
            <w:tcW w:w="331"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Total</w:t>
            </w:r>
          </w:p>
        </w:tc>
        <w:tc>
          <w:tcPr>
            <w:tcW w:w="346" w:type="dxa"/>
            <w:tcBorders/>
            <w:vAlign w:val="center"/>
          </w:tcPr>
          <w:p>
            <w:pPr>
              <w:pStyle w:val="TableContents"/>
              <w:bidi w:val="0"/>
              <w:spacing w:before="1" w:after="1"/>
              <w:ind w:left="0" w:right="0" w:hanging="0"/>
              <w:jc w:val="center"/>
              <w:rPr/>
            </w:pPr>
            <w:r>
              <w:rPr/>
              <w:t>  ​ ​ ​</w:t>
            </w:r>
          </w:p>
        </w:tc>
        <w:tc>
          <w:tcPr>
            <w:tcW w:w="78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Fair value</w:t>
            </w:r>
          </w:p>
        </w:tc>
        <w:tc>
          <w:tcPr>
            <w:tcW w:w="191" w:type="dxa"/>
            <w:tcBorders/>
            <w:vAlign w:val="center"/>
          </w:tcPr>
          <w:p>
            <w:pPr>
              <w:pStyle w:val="TableContents"/>
              <w:bidi w:val="0"/>
              <w:spacing w:before="1" w:after="1"/>
              <w:ind w:left="0" w:right="0" w:hanging="0"/>
              <w:jc w:val="center"/>
              <w:rPr/>
            </w:pPr>
            <w:r>
              <w:rPr/>
              <w:t> </w:t>
            </w:r>
          </w:p>
        </w:tc>
      </w:tr>
      <w:tr>
        <w:trPr/>
        <w:tc>
          <w:tcPr>
            <w:tcW w:w="1441"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Debt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227" w:type="dxa"/>
            <w:tcBorders/>
            <w:vAlign w:val="center"/>
          </w:tcPr>
          <w:p>
            <w:pPr>
              <w:pStyle w:val="TableContents"/>
              <w:bidi w:val="0"/>
              <w:spacing w:before="1" w:after="1"/>
              <w:ind w:left="0" w:right="0" w:hanging="0"/>
              <w:jc w:val="left"/>
              <w:rPr/>
            </w:pPr>
            <w:r>
              <w:rPr/>
              <w:t>​</w:t>
            </w:r>
          </w:p>
        </w:tc>
        <w:tc>
          <w:tcPr>
            <w:tcW w:w="569"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left"/>
              <w:rPr/>
            </w:pPr>
            <w:r>
              <w:rPr/>
              <w:t>​</w:t>
            </w:r>
          </w:p>
        </w:tc>
        <w:tc>
          <w:tcPr>
            <w:tcW w:w="557"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14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Fixed rate (USD)</w:t>
            </w:r>
          </w:p>
        </w:tc>
        <w:tc>
          <w:tcPr>
            <w:tcW w:w="22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338</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220</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457</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1,629</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46" w:type="dxa"/>
            <w:tcBorders/>
            <w:shd w:fill="CEDBE0" w:val="clear"/>
            <w:vAlign w:val="center"/>
          </w:tcPr>
          <w:p>
            <w:pPr>
              <w:pStyle w:val="TableContents"/>
              <w:bidi w:val="0"/>
              <w:spacing w:before="1" w:after="1"/>
              <w:ind w:left="0" w:right="0" w:hanging="0"/>
              <w:jc w:val="right"/>
              <w:rPr/>
            </w:pPr>
            <w:r>
              <w:rPr/>
              <w:t>—</w:t>
            </w:r>
          </w:p>
        </w:tc>
        <w:tc>
          <w:tcPr>
            <w:tcW w:w="331" w:type="dxa"/>
            <w:tcBorders/>
            <w:shd w:fill="CEDBE0" w:val="clear"/>
            <w:vAlign w:val="center"/>
          </w:tcPr>
          <w:p>
            <w:pPr>
              <w:pStyle w:val="TableContents"/>
              <w:bidi w:val="0"/>
              <w:spacing w:before="1" w:after="1"/>
              <w:ind w:left="0" w:right="0" w:hanging="0"/>
              <w:jc w:val="left"/>
              <w:rPr/>
            </w:pPr>
            <w:r>
              <w:rPr/>
              <w:t>​</w:t>
            </w:r>
          </w:p>
        </w:tc>
        <w:tc>
          <w:tcPr>
            <w:tcW w:w="22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69"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2,493</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5,137</w:t>
            </w:r>
          </w:p>
        </w:tc>
        <w:tc>
          <w:tcPr>
            <w:tcW w:w="346" w:type="dxa"/>
            <w:tcBorders/>
            <w:shd w:fill="CEDBE0" w:val="clear"/>
            <w:vAlign w:val="center"/>
          </w:tcPr>
          <w:p>
            <w:pPr>
              <w:pStyle w:val="TableContents"/>
              <w:bidi w:val="0"/>
              <w:spacing w:before="1" w:after="1"/>
              <w:ind w:left="0" w:right="0" w:hanging="0"/>
              <w:jc w:val="left"/>
              <w:rPr/>
            </w:pPr>
            <w:r>
              <w:rPr/>
              <w:t>​</w:t>
            </w:r>
          </w:p>
        </w:tc>
        <w:tc>
          <w:tcPr>
            <w:tcW w:w="22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7"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5,547</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14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Average interest rate</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righ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6.70</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7.82</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7.74</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7.82</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227" w:type="dxa"/>
            <w:tcBorders/>
            <w:vAlign w:val="center"/>
          </w:tcPr>
          <w:p>
            <w:pPr>
              <w:pStyle w:val="TableContents"/>
              <w:bidi w:val="0"/>
              <w:spacing w:before="1" w:after="1"/>
              <w:ind w:left="0" w:right="0" w:hanging="0"/>
              <w:jc w:val="right"/>
              <w:rPr/>
            </w:pPr>
            <w:r>
              <w:rPr/>
              <w:t>​</w:t>
            </w:r>
          </w:p>
        </w:tc>
        <w:tc>
          <w:tcPr>
            <w:tcW w:w="569"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7.83</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right"/>
              <w:rPr/>
            </w:pPr>
            <w:r>
              <w:rPr/>
              <w:t>​</w:t>
            </w:r>
          </w:p>
        </w:tc>
        <w:tc>
          <w:tcPr>
            <w:tcW w:w="223" w:type="dxa"/>
            <w:tcBorders/>
            <w:vAlign w:val="center"/>
          </w:tcPr>
          <w:p>
            <w:pPr>
              <w:pStyle w:val="TableContents"/>
              <w:bidi w:val="0"/>
              <w:spacing w:before="1" w:after="1"/>
              <w:ind w:left="0" w:right="0" w:hanging="0"/>
              <w:jc w:val="right"/>
              <w:rPr/>
            </w:pPr>
            <w:r>
              <w:rPr/>
              <w:t>​</w:t>
            </w:r>
          </w:p>
        </w:tc>
        <w:tc>
          <w:tcPr>
            <w:tcW w:w="557"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bl>
    <w:p>
      <w:pPr>
        <w:pStyle w:val="TextBody"/>
        <w:pBdr/>
        <w:bidi w:val="0"/>
        <w:spacing w:before="180" w:after="0"/>
        <w:ind w:left="0" w:right="0" w:firstLine="720"/>
        <w:jc w:val="both"/>
        <w:rPr>
          <w:rFonts w:ascii="Arial Narrow" w:hAnsi="Arial Narrow"/>
          <w:sz w:val="20"/>
        </w:rPr>
      </w:pPr>
      <w:r>
        <w:rPr>
          <w:rFonts w:ascii="Arial Narrow" w:hAnsi="Arial Narrow"/>
          <w:sz w:val="20"/>
        </w:rPr>
        <w:t>At March 31, 2026 and December 31, 2025, the fair value of our outstanding debt was $5.55 billion and $5.76 billion, respectively.  During the three months ended March 31, 2026, the fair value of our debt decreased by $208 million due to the following: (a) a decrease of $366 million resulting from redemption of the 8.375% senior secured notes due February 2028 and (b) a decrease of $198 million resulting from the repayment of debt in scheduled installments.  These decreases were partially offset by a net increase of $356 million resulting from changes in the market prices of our outstanding debt.</w:t>
      </w:r>
    </w:p>
    <w:p>
      <w:pPr>
        <w:pStyle w:val="Normal"/>
        <w:bidi w:val="0"/>
        <w:spacing w:before="0" w:after="0"/>
        <w:jc w:val="left"/>
        <w:rPr>
          <w:sz w:val="4"/>
          <w:szCs w:val="4"/>
        </w:rPr>
      </w:pPr>
      <w:r>
        <w:rPr>
          <w:sz w:val="4"/>
          <w:szCs w:val="4"/>
        </w:rPr>
      </w:r>
      <w:bookmarkStart w:id="677" w:name="Item9AControlsandProcedures_646698"/>
      <w:bookmarkStart w:id="678" w:name="_7c25bc0e_576b_4777_ab5e_f5070834ba28"/>
      <w:bookmarkStart w:id="679" w:name="Item9AControlsandProcedures_646698"/>
      <w:bookmarkStart w:id="680" w:name="_7c25bc0e_576b_4777_ab5e_f5070834ba28"/>
      <w:bookmarkEnd w:id="679"/>
      <w:bookmarkEnd w:id="680"/>
    </w:p>
    <w:tbl>
      <w:tblPr>
        <w:tblW w:w="3767" w:type="dxa"/>
        <w:jc w:val="left"/>
        <w:tblInd w:w="0" w:type="dxa"/>
        <w:tblLayout w:type="fixed"/>
        <w:tblCellMar>
          <w:top w:w="0" w:type="dxa"/>
          <w:left w:w="0" w:type="dxa"/>
          <w:bottom w:w="0" w:type="dxa"/>
          <w:right w:w="0" w:type="dxa"/>
        </w:tblCellMar>
      </w:tblPr>
      <w:tblGrid>
        <w:gridCol w:w="751"/>
        <w:gridCol w:w="3016"/>
      </w:tblGrid>
      <w:tr>
        <w:trPr/>
        <w:tc>
          <w:tcPr>
            <w:tcW w:w="751" w:type="dxa"/>
            <w:tcBorders/>
            <w:vAlign w:val="center"/>
          </w:tcPr>
          <w:p>
            <w:pPr>
              <w:pStyle w:val="TableContents"/>
              <w:shd w:fill="CEDBE0" w:val="clear"/>
              <w:bidi w:val="0"/>
              <w:spacing w:before="60" w:after="60"/>
              <w:jc w:val="both"/>
              <w:rPr>
                <w:rFonts w:ascii="Arial Narrow" w:hAnsi="Arial Narrow"/>
                <w:b/>
                <w:caps/>
                <w:sz w:val="22"/>
              </w:rPr>
            </w:pPr>
            <w:r>
              <w:rPr>
                <w:rFonts w:ascii="Arial Narrow" w:hAnsi="Arial Narrow"/>
                <w:b/>
                <w:caps/>
                <w:sz w:val="22"/>
              </w:rPr>
              <w:t>Item 4.</w:t>
            </w:r>
          </w:p>
        </w:tc>
        <w:tc>
          <w:tcPr>
            <w:tcW w:w="3016" w:type="dxa"/>
            <w:tcBorders/>
            <w:vAlign w:val="center"/>
          </w:tcPr>
          <w:p>
            <w:pPr>
              <w:pStyle w:val="TableContents"/>
              <w:shd w:fill="CEDBE0" w:val="clear"/>
              <w:bidi w:val="0"/>
              <w:spacing w:before="60" w:after="60"/>
              <w:jc w:val="both"/>
              <w:rPr>
                <w:rFonts w:ascii="Arial Narrow" w:hAnsi="Arial Narrow"/>
                <w:b/>
                <w:caps/>
                <w:sz w:val="22"/>
              </w:rPr>
            </w:pPr>
            <w:r>
              <w:rPr>
                <w:rFonts w:ascii="Arial Narrow" w:hAnsi="Arial Narrow"/>
                <w:b/>
                <w:caps/>
                <w:sz w:val="22"/>
              </w:rPr>
              <w:t>Controls and Procedures</w:t>
            </w:r>
          </w:p>
        </w:tc>
      </w:tr>
    </w:tbl>
    <w:p>
      <w:pPr>
        <w:pStyle w:val="TextBody"/>
        <w:bidi w:val="0"/>
        <w:spacing w:before="60" w:after="120"/>
        <w:ind w:left="0" w:right="0" w:firstLine="720"/>
        <w:jc w:val="both"/>
        <w:rPr>
          <w:rFonts w:ascii="Arial Narrow" w:hAnsi="Arial Narrow"/>
          <w:sz w:val="20"/>
        </w:rPr>
      </w:pPr>
      <w:r>
        <w:rPr>
          <w:rFonts w:ascii="Arial Narrow" w:hAnsi="Arial Narrow"/>
          <w:b/>
          <w:sz w:val="20"/>
        </w:rPr>
        <w:t>Disclosure controls and procedures</w:t>
      </w:r>
      <w:r>
        <w:rPr>
          <w:rFonts w:ascii="Arial Narrow" w:hAnsi="Arial Narrow"/>
          <w:sz w:val="20"/>
        </w:rPr>
        <w:t>—Our disclosure controls and procedures are designed to provide reasonable assurance that information required to be disclosed in our reports filed or submitted under the U.S. Securities Exchange Act of 1934 is (1) accumulated and communicated to our management, including our Chief Executive Officer, who is our principal executive officer, and our Chief Financial Officer, who is our principal financial officer, to allow timely decisions regarding required disclosure and (2) recorded, processed, summarized and reported within the time periods specified in the U.S. Securities and Exchange Commission’s rules and forms.  Under the supervision and with the participation of management, including our Chief Executive Officer and Chief Financial Officer, we performed an evaluation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2026.</w:t>
      </w:r>
    </w:p>
    <w:p>
      <w:pPr>
        <w:pStyle w:val="TextBody"/>
        <w:pBdr/>
        <w:bidi w:val="0"/>
        <w:spacing w:before="60" w:after="0"/>
        <w:ind w:left="0" w:right="0" w:firstLine="720"/>
        <w:jc w:val="both"/>
        <w:rPr>
          <w:rFonts w:ascii="Arial Narrow" w:hAnsi="Arial Narrow"/>
          <w:sz w:val="20"/>
        </w:rPr>
      </w:pPr>
      <w:r>
        <w:rPr>
          <w:rFonts w:ascii="Arial Narrow" w:hAnsi="Arial Narrow"/>
          <w:b/>
          <w:sz w:val="20"/>
        </w:rPr>
        <w:t>Internal control over financial reporting</w:t>
      </w:r>
      <w:r>
        <w:rPr>
          <w:rFonts w:ascii="Arial Narrow" w:hAnsi="Arial Narrow"/>
          <w:sz w:val="20"/>
        </w:rPr>
        <w:t>—There were no changes to our internal control over financial reporting during the quarter ended March 31, 2026, that have materially affected or are reasonably likely to materially affect our internal control over financial reporting.</w:t>
      </w:r>
    </w:p>
    <w:p>
      <w:pPr>
        <w:pStyle w:val="TextBody"/>
        <w:pBdr/>
        <w:shd w:fill="00556F" w:val="clear"/>
        <w:bidi w:val="0"/>
        <w:spacing w:before="120" w:after="0"/>
        <w:ind w:left="0" w:right="0" w:hanging="1080"/>
        <w:jc w:val="center"/>
        <w:rPr>
          <w:rFonts w:ascii="Arial Narrow" w:hAnsi="Arial Narrow"/>
          <w:b/>
          <w:caps/>
          <w:color w:val="FFFFFF"/>
          <w:sz w:val="22"/>
        </w:rPr>
      </w:pPr>
      <w:bookmarkStart w:id="681" w:name="PARTIIOTHERINFORMATION_708350"/>
      <w:bookmarkStart w:id="682" w:name="_82f7b690_510c_4cf6_878e_fb8513b9c14d"/>
      <w:bookmarkEnd w:id="681"/>
      <w:bookmarkEnd w:id="682"/>
      <w:r>
        <w:rPr>
          <w:rFonts w:ascii="Arial Narrow" w:hAnsi="Arial Narrow"/>
          <w:b/>
          <w:caps/>
          <w:color w:val="FFFFFF"/>
          <w:sz w:val="22"/>
        </w:rPr>
        <w:t>PART II. Other Information</w:t>
      </w:r>
    </w:p>
    <w:p>
      <w:pPr>
        <w:pStyle w:val="Normal"/>
        <w:bidi w:val="0"/>
        <w:spacing w:before="0" w:after="0"/>
        <w:jc w:val="left"/>
        <w:rPr>
          <w:sz w:val="4"/>
          <w:szCs w:val="4"/>
        </w:rPr>
      </w:pPr>
      <w:r>
        <w:rPr>
          <w:sz w:val="4"/>
          <w:szCs w:val="4"/>
        </w:rPr>
      </w:r>
      <w:bookmarkStart w:id="683" w:name="Item3LegalProceedings_313392"/>
      <w:bookmarkStart w:id="684" w:name="Item3LegalProceedings_313392"/>
      <w:bookmarkEnd w:id="684"/>
    </w:p>
    <w:tbl>
      <w:tblPr>
        <w:tblW w:w="2957" w:type="dxa"/>
        <w:jc w:val="left"/>
        <w:tblInd w:w="0" w:type="dxa"/>
        <w:tblLayout w:type="fixed"/>
        <w:tblCellMar>
          <w:top w:w="0" w:type="dxa"/>
          <w:left w:w="0" w:type="dxa"/>
          <w:bottom w:w="0" w:type="dxa"/>
          <w:right w:w="0" w:type="dxa"/>
        </w:tblCellMar>
      </w:tblPr>
      <w:tblGrid>
        <w:gridCol w:w="751"/>
        <w:gridCol w:w="2206"/>
      </w:tblGrid>
      <w:tr>
        <w:trPr/>
        <w:tc>
          <w:tcPr>
            <w:tcW w:w="751"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Item 1.</w:t>
            </w:r>
          </w:p>
        </w:tc>
        <w:tc>
          <w:tcPr>
            <w:tcW w:w="2206"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Legal Proceedings</w:t>
            </w:r>
          </w:p>
        </w:tc>
      </w:tr>
    </w:tbl>
    <w:p>
      <w:pPr>
        <w:pStyle w:val="TextBody"/>
        <w:bidi w:val="0"/>
        <w:spacing w:before="60" w:after="120"/>
        <w:ind w:left="0" w:right="0" w:firstLine="720"/>
        <w:jc w:val="both"/>
        <w:rPr/>
      </w:pPr>
      <w:r>
        <w:rPr>
          <w:rFonts w:ascii="Arial Narrow" w:hAnsi="Arial Narrow"/>
          <w:sz w:val="20"/>
        </w:rPr>
        <w:t xml:space="preserve">Transocean Ltd. (together with its subsidiaries and predecessors, unless the context requires otherwise, “Transocean,” “we,” “us,” or “our”) has certain actions, claims and other matters pending as discussed and reported in “Part II. Item 8. Financial Statements and Supplementary Data—Notes to Consolidated Financial Statements—Note 12—Commitments and Contingencies” and “Part II. Item 7. Management’s Discussion and Analysis of Financial Condition and Results of Operations—Other Matters—Regulatory matters” in our annual report on </w:t>
      </w:r>
      <w:hyperlink r:id="rId4">
        <w:r>
          <w:rPr>
            <w:rStyle w:val="InternetLink"/>
            <w:rFonts w:ascii="Arial Narrow" w:hAnsi="Arial Narrow"/>
            <w:b w:val="false"/>
            <w:i w:val="false"/>
            <w:caps w:val="false"/>
            <w:smallCaps w:val="false"/>
            <w:sz w:val="20"/>
          </w:rPr>
          <w:t>Form 10-K for the year ended December 31, 2025</w:t>
        </w:r>
      </w:hyperlink>
      <w:r>
        <w:rPr>
          <w:rFonts w:ascii="Arial Narrow" w:hAnsi="Arial Narrow"/>
          <w:sz w:val="20"/>
        </w:rPr>
        <w:t xml:space="preserve">.  We are also involved in various tax matters as described in “Part II. Item 8. Financial Statements and Supplementary Data—Notes to Consolidated Financial Statements—Note 10—Income Taxes” and in “Part II. Item 7. Management’s Discussion and Analysis of Financial Condition and Results of Operations—Other Matters—Tax matters” in our annual report on </w:t>
      </w:r>
      <w:hyperlink r:id="rId5">
        <w:r>
          <w:rPr>
            <w:rStyle w:val="InternetLink"/>
            <w:rFonts w:ascii="Arial Narrow" w:hAnsi="Arial Narrow"/>
            <w:b w:val="false"/>
            <w:i w:val="false"/>
            <w:caps w:val="false"/>
            <w:smallCaps w:val="false"/>
            <w:sz w:val="20"/>
          </w:rPr>
          <w:t>Form 10-K for the year ended December 31, 2025</w:t>
        </w:r>
      </w:hyperlink>
      <w:r>
        <w:rPr>
          <w:rFonts w:ascii="Arial Narrow" w:hAnsi="Arial Narrow"/>
          <w:sz w:val="20"/>
        </w:rPr>
        <w:t>.  All such actions, claims, tax and other matters described therein are incorporated herein by reference.</w:t>
      </w:r>
    </w:p>
    <w:p>
      <w:pPr>
        <w:pStyle w:val="TextBody"/>
        <w:bidi w:val="0"/>
        <w:spacing w:before="60" w:after="120"/>
        <w:ind w:left="0" w:right="0" w:firstLine="720"/>
        <w:jc w:val="both"/>
        <w:rPr>
          <w:rFonts w:ascii="Arial Narrow" w:hAnsi="Arial Narrow"/>
          <w:sz w:val="20"/>
        </w:rPr>
      </w:pPr>
      <w:r>
        <w:rPr>
          <w:rFonts w:ascii="Arial Narrow" w:hAnsi="Arial Narrow"/>
          <w:sz w:val="20"/>
        </w:rPr>
        <w:t>As of March 31, 2026, we were involved in a number of other lawsuits, regulatory matters, disputes and claims, asserted and unasserted, all of which constitute ordinary routine litigation incidental to our business and for which we do not expect the liability, if any, to have a material adverse effect on our financial position, results of operations or cash flows.  We cannot predict with certainty the outcome or effect of any of the matters referred to above or of any such other pending, threatened or possible litigation or legal proceedings.  We can provide no assurance that our beliefs or expectations as to the outcome or effect of any lawsuit or claim or dispute will prove correct, and the eventual outcome of these matters could materially differ from management’s current estimates.</w:t>
      </w:r>
    </w:p>
    <w:p>
      <w:pPr>
        <w:pStyle w:val="TextBody"/>
        <w:bidi w:val="0"/>
        <w:spacing w:before="0" w:after="0"/>
        <w:ind w:left="0" w:right="0" w:hanging="0"/>
        <w:jc w:val="center"/>
        <w:rPr>
          <w:rFonts w:ascii="Arial Narrow" w:hAnsi="Arial Narrow"/>
          <w:sz w:val="20"/>
        </w:rPr>
      </w:pPr>
      <w:r>
        <w:rPr>
          <w:rFonts w:ascii="Arial Narrow" w:hAnsi="Arial Narrow"/>
          <w:sz w:val="20"/>
        </w:rPr>
        <w:t>- 19 -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firstLine="720"/>
        <w:jc w:val="both"/>
        <w:rPr>
          <w:rFonts w:ascii="Arial Narrow" w:hAnsi="Arial Narrow"/>
          <w:sz w:val="20"/>
        </w:rPr>
      </w:pPr>
      <w:r>
        <w:rPr>
          <w:rFonts w:ascii="Arial Narrow" w:hAnsi="Arial Narrow"/>
          <w:sz w:val="20"/>
        </w:rPr>
        <w:t>On December 17, 2021, Transocean Offshore Deepwater Drilling Inc. (“TODDI”), our wholly owned subsidiary, received a letter from the United States (“U.S.”) Department of Justice (the “DOJ”) related to alleged violations by our subsidiary of its Clean Water Act (“CWA”) National Pollutant Discharge Elimination System permit for the western Gulf of America (“Permit”).  The alleged violations, involving seven of our drillships, were identified by the U.S. Environmental Protection Agency (“EPA”) following an initial inspection in 2018 of our compliance with the Permit and the CWA and relate to deficiencies with respect to administrative monitoring and reporting obligations.  In connection with the initial EPA inspection, we initiated modifications to our Permit and CWA compliance processes and maintained a dialogue with the EPA regarding the design and implementation of enhancements to these processes.  At the DOJ’s invitation, in an effort to resolve the matter, we initiated settlement discussions with the DOJ, which concluded with the execution of a civil consent decree by and between the DOJ, EPA, and TODDI, effective January 3, 2024 (the “Consent Decree”), that resolved the claims of the DOJ based upon the alleged violations of our Permit and the CWA.  Pursuant to the Consent Decree, we agreed to pay an immaterial monetary civil penalty, and we further agreed (i) to take or continue to take certain corrective actions to ensure current and future Permit and CWA compliance, including implementing certain procedures and submitting reports and other information, in each case according to the timelines and as described in the Consent Decree, (ii) to appoint an independent auditor to review, audit and report on our compliance with certain of our obligations thereunder, and (iii) to certain non-exclusive stipulated monetary penalties if we fail to comply with applicable provisions of the Consent Decree.  We may request termination of the Consent Decree after we have (x) completed timely the civil penalty payment and any accrued stipulated penalty requirements of the Consent Decree, and (y) maintained continuous satisfactory compliance with the Consent Decree for at least three years.  We do not believe that the enforcement of the Consent Decree would have a material adverse effect on our financial position, results of operations or cash flows.</w:t>
      </w:r>
    </w:p>
    <w:p>
      <w:pPr>
        <w:pStyle w:val="TextBody"/>
        <w:pBdr/>
        <w:bidi w:val="0"/>
        <w:spacing w:before="60" w:after="0"/>
        <w:ind w:left="0" w:right="0" w:firstLine="720"/>
        <w:jc w:val="both"/>
        <w:rPr>
          <w:rFonts w:ascii="Arial Narrow" w:hAnsi="Arial Narrow"/>
          <w:sz w:val="20"/>
        </w:rPr>
      </w:pPr>
      <w:r>
        <w:rPr>
          <w:rFonts w:ascii="Arial Narrow" w:hAnsi="Arial Narrow"/>
          <w:sz w:val="20"/>
        </w:rPr>
        <w:t>In addition to the legal proceedings described above, we may from time to time identify other matters that we monitor through our compliance program or in response to events arising generally within our industry and in the regions where we do business.  We evaluate matters on a case-by-case basis, investigate allegations in accordance with our policies and cooperate with applicable governmental authorities.  Through the process of monitoring and proactive investigation, we strive to ensure no violation of our policies, Code of Integrity or law has occurred or will occur; however, we can provide no assurance as to the outcome of these matters.</w:t>
      </w:r>
    </w:p>
    <w:p>
      <w:pPr>
        <w:pStyle w:val="Normal"/>
        <w:bidi w:val="0"/>
        <w:spacing w:before="0" w:after="0"/>
        <w:jc w:val="left"/>
        <w:rPr>
          <w:sz w:val="4"/>
          <w:szCs w:val="4"/>
        </w:rPr>
      </w:pPr>
      <w:r>
        <w:rPr>
          <w:sz w:val="4"/>
          <w:szCs w:val="4"/>
        </w:rPr>
      </w:r>
      <w:bookmarkStart w:id="685" w:name="_4132adbc_8e92_4773_ad6e_244534f3585c"/>
      <w:bookmarkStart w:id="686" w:name="Item1ARiskFactors_255413"/>
      <w:bookmarkStart w:id="687" w:name="_4132adbc_8e92_4773_ad6e_244534f3585c"/>
      <w:bookmarkStart w:id="688" w:name="Item1ARiskFactors_255413"/>
      <w:bookmarkEnd w:id="687"/>
      <w:bookmarkEnd w:id="688"/>
    </w:p>
    <w:tbl>
      <w:tblPr>
        <w:tblW w:w="2432" w:type="dxa"/>
        <w:jc w:val="left"/>
        <w:tblInd w:w="0" w:type="dxa"/>
        <w:tblLayout w:type="fixed"/>
        <w:tblCellMar>
          <w:top w:w="0" w:type="dxa"/>
          <w:left w:w="0" w:type="dxa"/>
          <w:bottom w:w="0" w:type="dxa"/>
          <w:right w:w="0" w:type="dxa"/>
        </w:tblCellMar>
      </w:tblPr>
      <w:tblGrid>
        <w:gridCol w:w="886"/>
        <w:gridCol w:w="1546"/>
      </w:tblGrid>
      <w:tr>
        <w:trPr/>
        <w:tc>
          <w:tcPr>
            <w:tcW w:w="886"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1A.</w:t>
            </w:r>
          </w:p>
        </w:tc>
        <w:tc>
          <w:tcPr>
            <w:tcW w:w="1546"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Risk Factors</w:t>
            </w:r>
          </w:p>
        </w:tc>
      </w:tr>
    </w:tbl>
    <w:p>
      <w:pPr>
        <w:pStyle w:val="TextBody"/>
        <w:pBdr/>
        <w:bidi w:val="0"/>
        <w:spacing w:before="60" w:after="0"/>
        <w:ind w:left="0" w:right="0" w:firstLine="720"/>
        <w:jc w:val="both"/>
        <w:rPr/>
      </w:pPr>
      <w:r>
        <w:rPr>
          <w:rFonts w:ascii="Arial Narrow" w:hAnsi="Arial Narrow"/>
          <w:sz w:val="20"/>
        </w:rPr>
        <w:t xml:space="preserve">There have been no material changes to the risk factors as previously disclosed in “Part I. Item 1A. Risk Factors” in our annual report on </w:t>
      </w:r>
      <w:hyperlink r:id="rId6">
        <w:r>
          <w:rPr>
            <w:rStyle w:val="InternetLink"/>
            <w:rFonts w:ascii="Arial Narrow" w:hAnsi="Arial Narrow"/>
            <w:b w:val="false"/>
            <w:i w:val="false"/>
            <w:caps w:val="false"/>
            <w:smallCaps w:val="false"/>
            <w:sz w:val="20"/>
          </w:rPr>
          <w:t>Form 10-K for the year ended December 31, 2025</w:t>
        </w:r>
      </w:hyperlink>
      <w:r>
        <w:rPr>
          <w:rFonts w:ascii="Arial Narrow" w:hAnsi="Arial Narrow"/>
          <w:sz w:val="20"/>
        </w:rPr>
        <w:t>.</w:t>
      </w:r>
    </w:p>
    <w:p>
      <w:pPr>
        <w:pStyle w:val="Normal"/>
        <w:bidi w:val="0"/>
        <w:spacing w:before="0" w:after="0"/>
        <w:jc w:val="left"/>
        <w:rPr>
          <w:sz w:val="4"/>
          <w:szCs w:val="4"/>
        </w:rPr>
      </w:pPr>
      <w:r>
        <w:rPr>
          <w:sz w:val="4"/>
          <w:szCs w:val="4"/>
        </w:rPr>
      </w:r>
      <w:bookmarkStart w:id="689" w:name="Item2UnregisteredSalesofEquitySecurities"/>
      <w:bookmarkStart w:id="690" w:name="_fe0328b3_52b1_467d_9030_dc560859cbff"/>
      <w:bookmarkStart w:id="691" w:name="Item2UnregisteredSalesofEquitySecurities"/>
      <w:bookmarkStart w:id="692" w:name="_fe0328b3_52b1_467d_9030_dc560859cbff"/>
      <w:bookmarkEnd w:id="691"/>
      <w:bookmarkEnd w:id="692"/>
    </w:p>
    <w:tbl>
      <w:tblPr>
        <w:tblW w:w="7487" w:type="dxa"/>
        <w:jc w:val="left"/>
        <w:tblInd w:w="0" w:type="dxa"/>
        <w:tblLayout w:type="fixed"/>
        <w:tblCellMar>
          <w:top w:w="0" w:type="dxa"/>
          <w:left w:w="0" w:type="dxa"/>
          <w:bottom w:w="0" w:type="dxa"/>
          <w:right w:w="0" w:type="dxa"/>
        </w:tblCellMar>
      </w:tblPr>
      <w:tblGrid>
        <w:gridCol w:w="751"/>
        <w:gridCol w:w="6736"/>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2.</w:t>
            </w:r>
          </w:p>
        </w:tc>
        <w:tc>
          <w:tcPr>
            <w:tcW w:w="6736"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Unregistered Sales of Equity Securities and Use of Proceeds</w:t>
            </w:r>
          </w:p>
        </w:tc>
      </w:tr>
    </w:tbl>
    <w:p>
      <w:pPr>
        <w:pStyle w:val="TextBody"/>
        <w:pBdr>
          <w:bottom w:val="single" w:sz="18" w:space="1" w:color="ECA44A"/>
        </w:pBdr>
        <w:bidi w:val="0"/>
        <w:spacing w:before="0" w:after="60"/>
        <w:ind w:left="0" w:right="0" w:hanging="0"/>
        <w:jc w:val="left"/>
        <w:rPr>
          <w:rFonts w:ascii="Arial Narrow" w:hAnsi="Arial Narrow"/>
          <w:b/>
          <w:caps/>
          <w:color w:val="00556F"/>
          <w:sz w:val="22"/>
        </w:rPr>
      </w:pPr>
      <w:r>
        <w:rPr>
          <w:rFonts w:ascii="Arial Narrow" w:hAnsi="Arial Narrow"/>
          <w:b/>
          <w:caps/>
          <w:color w:val="00556F"/>
          <w:sz w:val="22"/>
        </w:rPr>
        <w:t>Issuer Purchases of Equity Securities</w:t>
      </w:r>
    </w:p>
    <w:tbl>
      <w:tblPr>
        <w:tblW w:w="7189" w:type="dxa"/>
        <w:jc w:val="left"/>
        <w:tblInd w:w="0" w:type="dxa"/>
        <w:tblLayout w:type="fixed"/>
        <w:tblCellMar>
          <w:top w:w="0" w:type="dxa"/>
          <w:left w:w="0" w:type="dxa"/>
          <w:bottom w:w="0" w:type="dxa"/>
          <w:right w:w="0" w:type="dxa"/>
        </w:tblCellMar>
      </w:tblPr>
      <w:tblGrid>
        <w:gridCol w:w="1021"/>
        <w:gridCol w:w="346"/>
        <w:gridCol w:w="841"/>
        <w:gridCol w:w="346"/>
        <w:gridCol w:w="220"/>
        <w:gridCol w:w="426"/>
        <w:gridCol w:w="346"/>
        <w:gridCol w:w="1366"/>
        <w:gridCol w:w="346"/>
        <w:gridCol w:w="496"/>
        <w:gridCol w:w="1244"/>
        <w:gridCol w:w="191"/>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335" cy="175260"/>
                      <wp:effectExtent l="0" t="0" r="0" b="0"/>
                      <wp:wrapNone/>
                      <wp:docPr id="250" name="Frame24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34035" cy="175260"/>
                      <wp:effectExtent l="0" t="0" r="0" b="0"/>
                      <wp:wrapNone/>
                      <wp:docPr id="252" name="Frame25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9700" cy="175260"/>
                      <wp:effectExtent l="0" t="0" r="0" b="0"/>
                      <wp:wrapNone/>
                      <wp:docPr id="254" name="Frame25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70510" cy="175260"/>
                      <wp:effectExtent l="0" t="0" r="0" b="0"/>
                      <wp:wrapNone/>
                      <wp:docPr id="255" name="Frame254"/>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867410" cy="175260"/>
                      <wp:effectExtent l="0" t="0" r="0" b="0"/>
                      <wp:wrapNone/>
                      <wp:docPr id="257" name="Frame256"/>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14960" cy="175260"/>
                      <wp:effectExtent l="0" t="0" r="0" b="0"/>
                      <wp:wrapNone/>
                      <wp:docPr id="259" name="Frame25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89940" cy="175260"/>
                      <wp:effectExtent l="0" t="0" r="0" b="0"/>
                      <wp:wrapNone/>
                      <wp:docPr id="260" name="Frame259"/>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1285" cy="175260"/>
                      <wp:effectExtent l="0" t="0" r="0" b="0"/>
                      <wp:wrapNone/>
                      <wp:docPr id="261" name="Frame26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Total number of shares</w:t>
            </w:r>
          </w:p>
        </w:tc>
        <w:tc>
          <w:tcPr>
            <w:tcW w:w="34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Approximate dollar value</w:t>
            </w:r>
          </w:p>
        </w:tc>
        <w:tc>
          <w:tcPr>
            <w:tcW w:w="191" w:type="dxa"/>
            <w:tcBorders/>
            <w:vAlign w:val="center"/>
          </w:tcPr>
          <w:p>
            <w:pPr>
              <w:pStyle w:val="TableContents"/>
              <w:bidi w:val="0"/>
              <w:spacing w:before="0" w:after="0"/>
              <w:ind w:left="0" w:right="0" w:hanging="0"/>
              <w:jc w:val="center"/>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Total number</w:t>
            </w:r>
          </w:p>
        </w:tc>
        <w:tc>
          <w:tcPr>
            <w:tcW w:w="346" w:type="dxa"/>
            <w:tcBorders/>
            <w:vAlign w:val="center"/>
          </w:tcPr>
          <w:p>
            <w:pPr>
              <w:pStyle w:val="TableContents"/>
              <w:bidi w:val="0"/>
              <w:spacing w:before="0" w:after="0"/>
              <w:ind w:left="0" w:right="0" w:hanging="0"/>
              <w:jc w:val="center"/>
              <w:rPr/>
            </w:pPr>
            <w:r>
              <w:rPr/>
              <w:t>​</w:t>
            </w:r>
          </w:p>
        </w:tc>
        <w:tc>
          <w:tcPr>
            <w:tcW w:w="646"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Average</w:t>
            </w:r>
          </w:p>
        </w:tc>
        <w:tc>
          <w:tcPr>
            <w:tcW w:w="34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purchased as part</w:t>
            </w:r>
          </w:p>
        </w:tc>
        <w:tc>
          <w:tcPr>
            <w:tcW w:w="34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of shares that may yet</w:t>
            </w:r>
          </w:p>
        </w:tc>
        <w:tc>
          <w:tcPr>
            <w:tcW w:w="191" w:type="dxa"/>
            <w:tcBorders/>
            <w:vAlign w:val="center"/>
          </w:tcPr>
          <w:p>
            <w:pPr>
              <w:pStyle w:val="TableContents"/>
              <w:bidi w:val="0"/>
              <w:spacing w:before="0" w:after="0"/>
              <w:ind w:left="0" w:right="0" w:hanging="0"/>
              <w:jc w:val="center"/>
              <w:rPr/>
            </w:pPr>
            <w:r>
              <w:rPr/>
              <w:t>​</w:t>
            </w:r>
          </w:p>
        </w:tc>
      </w:tr>
      <w:tr>
        <w:trPr/>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of shares</w:t>
            </w:r>
          </w:p>
        </w:tc>
        <w:tc>
          <w:tcPr>
            <w:tcW w:w="346" w:type="dxa"/>
            <w:tcBorders/>
            <w:vAlign w:val="center"/>
          </w:tcPr>
          <w:p>
            <w:pPr>
              <w:pStyle w:val="TableContents"/>
              <w:bidi w:val="0"/>
              <w:spacing w:before="0" w:after="0"/>
              <w:ind w:left="0" w:right="0" w:hanging="0"/>
              <w:jc w:val="center"/>
              <w:rPr/>
            </w:pPr>
            <w:r>
              <w:rPr/>
              <w:t>​</w:t>
            </w:r>
          </w:p>
        </w:tc>
        <w:tc>
          <w:tcPr>
            <w:tcW w:w="646"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price paid</w:t>
            </w:r>
          </w:p>
        </w:tc>
        <w:tc>
          <w:tcPr>
            <w:tcW w:w="34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of publicly announced</w:t>
            </w:r>
          </w:p>
        </w:tc>
        <w:tc>
          <w:tcPr>
            <w:tcW w:w="34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be purchased under the plans</w:t>
            </w:r>
          </w:p>
        </w:tc>
        <w:tc>
          <w:tcPr>
            <w:tcW w:w="191" w:type="dxa"/>
            <w:tcBorders/>
            <w:vAlign w:val="center"/>
          </w:tcPr>
          <w:p>
            <w:pPr>
              <w:pStyle w:val="TableContents"/>
              <w:bidi w:val="0"/>
              <w:spacing w:before="0" w:after="0"/>
              <w:ind w:left="0" w:right="0" w:hanging="0"/>
              <w:jc w:val="center"/>
              <w:rPr/>
            </w:pPr>
            <w:r>
              <w:rPr/>
              <w:t>​</w:t>
            </w:r>
          </w:p>
        </w:tc>
      </w:tr>
      <w:tr>
        <w:trPr/>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Period</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purchased</w:t>
            </w:r>
          </w:p>
        </w:tc>
        <w:tc>
          <w:tcPr>
            <w:tcW w:w="346" w:type="dxa"/>
            <w:tcBorders/>
            <w:vAlign w:val="center"/>
          </w:tcPr>
          <w:p>
            <w:pPr>
              <w:pStyle w:val="TableContents"/>
              <w:bidi w:val="0"/>
              <w:spacing w:before="0" w:after="0"/>
              <w:ind w:left="0" w:right="0" w:hanging="0"/>
              <w:jc w:val="center"/>
              <w:rPr/>
            </w:pPr>
            <w:r>
              <w:rPr/>
              <w:t>  ​ ​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per share</w:t>
            </w:r>
          </w:p>
        </w:tc>
        <w:tc>
          <w:tcPr>
            <w:tcW w:w="346" w:type="dxa"/>
            <w:tcBorders/>
            <w:vAlign w:val="center"/>
          </w:tcPr>
          <w:p>
            <w:pPr>
              <w:pStyle w:val="TableContents"/>
              <w:bidi w:val="0"/>
              <w:spacing w:before="0" w:after="0"/>
              <w:ind w:left="0" w:right="0" w:hanging="0"/>
              <w:jc w:val="center"/>
              <w:rPr/>
            </w:pPr>
            <w:r>
              <w:rPr/>
              <w:t>  ​ ​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plans or programs</w:t>
            </w:r>
          </w:p>
        </w:tc>
        <w:tc>
          <w:tcPr>
            <w:tcW w:w="346" w:type="dxa"/>
            <w:tcBorders/>
            <w:vAlign w:val="center"/>
          </w:tcPr>
          <w:p>
            <w:pPr>
              <w:pStyle w:val="TableContents"/>
              <w:bidi w:val="0"/>
              <w:spacing w:before="0" w:after="0"/>
              <w:ind w:left="0" w:right="0" w:hanging="0"/>
              <w:jc w:val="center"/>
              <w:rPr/>
            </w:pPr>
            <w:r>
              <w:rPr/>
              <w:t>  ​ ​ ​</w:t>
            </w:r>
          </w:p>
        </w:tc>
        <w:tc>
          <w:tcPr>
            <w:tcW w:w="1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sz w:val="14"/>
              </w:rPr>
            </w:pPr>
            <w:r>
              <w:rPr>
                <w:rFonts w:ascii="Arial Narrow" w:hAnsi="Arial Narrow"/>
                <w:b/>
                <w:sz w:val="14"/>
              </w:rPr>
              <w:t>or programs (in millions)</w:t>
            </w:r>
            <w:r>
              <w:rPr>
                <w:rFonts w:ascii="Arial Narrow" w:hAnsi="Arial Narrow"/>
                <w:sz w:val="14"/>
              </w:rPr>
              <w:t xml:space="preserve"> </w:t>
            </w:r>
            <w:r>
              <w:rPr>
                <w:rFonts w:ascii="Arial Narrow" w:hAnsi="Arial Narrow"/>
                <w:b/>
                <w:sz w:val="14"/>
              </w:rPr>
              <w:t>(a)</w:t>
            </w:r>
          </w:p>
        </w:tc>
        <w:tc>
          <w:tcPr>
            <w:tcW w:w="191" w:type="dxa"/>
            <w:tcBorders/>
            <w:vAlign w:val="center"/>
          </w:tcPr>
          <w:p>
            <w:pPr>
              <w:pStyle w:val="TableContents"/>
              <w:bidi w:val="0"/>
              <w:spacing w:before="0" w:after="0"/>
              <w:ind w:left="0" w:right="0" w:hanging="0"/>
              <w:jc w:val="center"/>
              <w:rPr/>
            </w:pPr>
            <w:r>
              <w:rPr/>
              <w:t> </w:t>
            </w:r>
          </w:p>
        </w:tc>
      </w:tr>
      <w:tr>
        <w:trPr/>
        <w:tc>
          <w:tcPr>
            <w:tcW w:w="102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January 2026</w:t>
            </w:r>
          </w:p>
        </w:tc>
        <w:tc>
          <w:tcPr>
            <w:tcW w:w="346" w:type="dxa"/>
            <w:tcBorders/>
            <w:shd w:fill="CEDBE0" w:val="clear"/>
            <w:vAlign w:val="center"/>
          </w:tcPr>
          <w:p>
            <w:pPr>
              <w:pStyle w:val="TableContents"/>
              <w:bidi w:val="0"/>
              <w:spacing w:before="0" w:after="0"/>
              <w:ind w:left="0" w:right="0" w:hanging="0"/>
              <w:jc w:val="left"/>
              <w:rPr/>
            </w:pPr>
            <w:r>
              <w:rPr/>
              <w:t>​</w:t>
            </w:r>
          </w:p>
        </w:tc>
        <w:tc>
          <w:tcPr>
            <w:tcW w:w="841" w:type="dxa"/>
            <w:tcBorders/>
            <w:shd w:fill="CEDBE0" w:val="cle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220"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26" w:type="dxa"/>
            <w:tcBorders/>
            <w:shd w:fill="CEDBE0" w:val="cle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366" w:type="dxa"/>
            <w:tcBorders/>
            <w:shd w:fill="CEDBE0" w:val="cle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right"/>
              <w:rPr/>
            </w:pPr>
            <w:r>
              <w:rPr/>
              <w:t> </w:t>
            </w:r>
          </w:p>
        </w:tc>
        <w:tc>
          <w:tcPr>
            <w:tcW w:w="49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24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4,057</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February 2026</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4,057</w:t>
            </w:r>
          </w:p>
        </w:tc>
        <w:tc>
          <w:tcPr>
            <w:tcW w:w="191" w:type="dxa"/>
            <w:tcBorders/>
            <w:vAlign w:val="center"/>
          </w:tcPr>
          <w:p>
            <w:pPr>
              <w:pStyle w:val="TableContents"/>
              <w:bidi w:val="0"/>
              <w:spacing w:before="0" w:after="0"/>
              <w:ind w:left="0" w:right="0" w:hanging="0"/>
              <w:jc w:val="left"/>
              <w:rPr/>
            </w:pPr>
            <w:r>
              <w:rPr/>
              <w:t>​</w:t>
            </w:r>
          </w:p>
        </w:tc>
      </w:tr>
      <w:tr>
        <w:trPr/>
        <w:tc>
          <w:tcPr>
            <w:tcW w:w="102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March 2026</w:t>
            </w:r>
          </w:p>
        </w:tc>
        <w:tc>
          <w:tcPr>
            <w:tcW w:w="346" w:type="dxa"/>
            <w:tcBorders/>
            <w:shd w:fill="CEDBE0"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2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36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righ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24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4,057</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2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244"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4,057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144" w:hanging="0"/>
        <w:jc w:val="both"/>
        <w:rPr>
          <w:rFonts w:ascii="Arial Narrow" w:hAnsi="Arial Narrow"/>
          <w:sz w:val="16"/>
        </w:rPr>
      </w:pPr>
      <w:r>
        <w:rPr>
          <w:rFonts w:ascii="Arial Narrow" w:hAnsi="Arial Narrow"/>
          <w:sz w:val="16"/>
        </w:rPr>
        <w:t>(a)In May 2009, at our annual general meeting, shareholders approved and authorized our board of directors, at its discretion, to repurchase for cancellation any amount of our shares for an aggregate purchase price of up to CHF 3.50 billion.  At March 31, 2026, the authorization remaining under the share repurchase program was for the repurchase of our outstanding shares for an aggregate purchase price of up to CHF 3.24 billion, equivalent to $4.06 billion.  The share repurchase program could be suspended or discontinued by our board of directors or company management, as applicable, at any time.</w:t>
      </w:r>
    </w:p>
    <w:p>
      <w:pPr>
        <w:pStyle w:val="Normal"/>
        <w:bidi w:val="0"/>
        <w:spacing w:before="0" w:after="0"/>
        <w:jc w:val="left"/>
        <w:rPr>
          <w:sz w:val="4"/>
          <w:szCs w:val="4"/>
        </w:rPr>
      </w:pPr>
      <w:r>
        <w:rPr>
          <w:sz w:val="4"/>
          <w:szCs w:val="4"/>
        </w:rPr>
      </w:r>
      <w:bookmarkStart w:id="693" w:name="Item_3_DefaultsUponSeniorSecurities"/>
      <w:bookmarkStart w:id="694" w:name="_35f9e7d6_2280_4b51_a33b_6a77dbf411d9"/>
      <w:bookmarkStart w:id="695" w:name="Item_3_DefaultsUponSeniorSecurities"/>
      <w:bookmarkStart w:id="696" w:name="_35f9e7d6_2280_4b51_a33b_6a77dbf411d9"/>
      <w:bookmarkEnd w:id="695"/>
      <w:bookmarkEnd w:id="696"/>
    </w:p>
    <w:tbl>
      <w:tblPr>
        <w:tblW w:w="4382" w:type="dxa"/>
        <w:jc w:val="left"/>
        <w:tblInd w:w="0" w:type="dxa"/>
        <w:tblLayout w:type="fixed"/>
        <w:tblCellMar>
          <w:top w:w="0" w:type="dxa"/>
          <w:left w:w="0" w:type="dxa"/>
          <w:bottom w:w="0" w:type="dxa"/>
          <w:right w:w="0" w:type="dxa"/>
        </w:tblCellMar>
      </w:tblPr>
      <w:tblGrid>
        <w:gridCol w:w="751"/>
        <w:gridCol w:w="3631"/>
      </w:tblGrid>
      <w:tr>
        <w:trPr/>
        <w:tc>
          <w:tcPr>
            <w:tcW w:w="751" w:type="dxa"/>
            <w:tcBorders/>
            <w:vAlign w:val="center"/>
          </w:tcPr>
          <w:p>
            <w:pPr>
              <w:pStyle w:val="TableContents"/>
              <w:shd w:fill="CEDBE0" w:val="clear"/>
              <w:bidi w:val="0"/>
              <w:spacing w:before="240" w:after="60"/>
              <w:jc w:val="both"/>
              <w:rPr>
                <w:rFonts w:ascii="Arial Narrow" w:hAnsi="Arial Narrow"/>
                <w:b/>
                <w:caps/>
                <w:sz w:val="22"/>
              </w:rPr>
            </w:pPr>
            <w:r>
              <w:rPr>
                <w:rFonts w:ascii="Arial Narrow" w:hAnsi="Arial Narrow"/>
                <w:b/>
                <w:caps/>
                <w:sz w:val="22"/>
              </w:rPr>
              <w:t>Item 3.</w:t>
            </w:r>
          </w:p>
        </w:tc>
        <w:tc>
          <w:tcPr>
            <w:tcW w:w="3631" w:type="dxa"/>
            <w:tcBorders/>
            <w:vAlign w:val="center"/>
          </w:tcPr>
          <w:p>
            <w:pPr>
              <w:pStyle w:val="TableContents"/>
              <w:shd w:fill="CEDBE0" w:val="clear"/>
              <w:bidi w:val="0"/>
              <w:spacing w:before="240" w:after="60"/>
              <w:jc w:val="both"/>
              <w:rPr>
                <w:rFonts w:ascii="Arial Narrow" w:hAnsi="Arial Narrow"/>
                <w:b/>
                <w:caps/>
                <w:sz w:val="22"/>
              </w:rPr>
            </w:pPr>
            <w:r>
              <w:rPr>
                <w:rFonts w:ascii="Arial Narrow" w:hAnsi="Arial Narrow"/>
                <w:b/>
                <w:caps/>
                <w:sz w:val="22"/>
              </w:rPr>
              <w:t>Defaults Upon Senior Securities</w:t>
            </w:r>
          </w:p>
        </w:tc>
      </w:tr>
    </w:tbl>
    <w:p>
      <w:pPr>
        <w:pStyle w:val="TextBody"/>
        <w:pBdr/>
        <w:bidi w:val="0"/>
        <w:spacing w:before="60" w:after="0"/>
        <w:ind w:left="0" w:right="0" w:firstLine="720"/>
        <w:jc w:val="both"/>
        <w:rPr>
          <w:rFonts w:ascii="Arial Narrow" w:hAnsi="Arial Narrow"/>
          <w:sz w:val="20"/>
        </w:rPr>
      </w:pPr>
      <w:r>
        <w:rPr>
          <w:rFonts w:ascii="Arial Narrow" w:hAnsi="Arial Narrow"/>
          <w:sz w:val="20"/>
        </w:rPr>
        <w:t>Not applicable.</w:t>
      </w:r>
    </w:p>
    <w:p>
      <w:pPr>
        <w:pStyle w:val="Normal"/>
        <w:bidi w:val="0"/>
        <w:spacing w:before="0" w:after="0"/>
        <w:jc w:val="left"/>
        <w:rPr>
          <w:sz w:val="4"/>
          <w:szCs w:val="4"/>
        </w:rPr>
      </w:pPr>
      <w:r>
        <w:rPr>
          <w:sz w:val="4"/>
          <w:szCs w:val="4"/>
        </w:rPr>
      </w:r>
      <w:bookmarkStart w:id="697" w:name="Item_4_MineSafetyDisclosures"/>
      <w:bookmarkStart w:id="698" w:name="_8a36f276_743c_42c7_892a_4620baff84e8"/>
      <w:bookmarkStart w:id="699" w:name="Item_4_MineSafetyDisclosures"/>
      <w:bookmarkStart w:id="700" w:name="_8a36f276_743c_42c7_892a_4620baff84e8"/>
      <w:bookmarkEnd w:id="699"/>
      <w:bookmarkEnd w:id="700"/>
    </w:p>
    <w:tbl>
      <w:tblPr>
        <w:tblW w:w="3512" w:type="dxa"/>
        <w:jc w:val="left"/>
        <w:tblInd w:w="0" w:type="dxa"/>
        <w:tblLayout w:type="fixed"/>
        <w:tblCellMar>
          <w:top w:w="0" w:type="dxa"/>
          <w:left w:w="0" w:type="dxa"/>
          <w:bottom w:w="0" w:type="dxa"/>
          <w:right w:w="0" w:type="dxa"/>
        </w:tblCellMar>
      </w:tblPr>
      <w:tblGrid>
        <w:gridCol w:w="751"/>
        <w:gridCol w:w="2761"/>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4.</w:t>
            </w:r>
          </w:p>
        </w:tc>
        <w:tc>
          <w:tcPr>
            <w:tcW w:w="276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Mine Safety Disclosures</w:t>
            </w:r>
          </w:p>
        </w:tc>
      </w:tr>
    </w:tbl>
    <w:p>
      <w:pPr>
        <w:pStyle w:val="TextBody"/>
        <w:pBdr/>
        <w:bidi w:val="0"/>
        <w:spacing w:before="60" w:after="0"/>
        <w:ind w:left="0" w:right="0" w:firstLine="720"/>
        <w:jc w:val="both"/>
        <w:rPr>
          <w:rFonts w:ascii="Arial Narrow" w:hAnsi="Arial Narrow"/>
          <w:sz w:val="20"/>
        </w:rPr>
      </w:pPr>
      <w:r>
        <w:rPr>
          <w:rFonts w:ascii="Arial Narrow" w:hAnsi="Arial Narrow"/>
          <w:sz w:val="20"/>
        </w:rPr>
        <w:t>Not applicable.</w:t>
      </w:r>
    </w:p>
    <w:p>
      <w:pPr>
        <w:pStyle w:val="Normal"/>
        <w:bidi w:val="0"/>
        <w:spacing w:before="0" w:after="0"/>
        <w:jc w:val="left"/>
        <w:rPr>
          <w:sz w:val="4"/>
          <w:szCs w:val="4"/>
        </w:rPr>
      </w:pPr>
      <w:r>
        <w:rPr>
          <w:sz w:val="4"/>
          <w:szCs w:val="4"/>
        </w:rPr>
      </w:r>
      <w:bookmarkStart w:id="701" w:name="Item5OtherInfo"/>
      <w:bookmarkStart w:id="702" w:name="Item5OtherInformation"/>
      <w:bookmarkStart w:id="703" w:name="_a09e0ab7_dbcb_4bbc_81c5_1c1e3b61a884"/>
      <w:bookmarkStart w:id="704" w:name="Item5OtherInfo"/>
      <w:bookmarkStart w:id="705" w:name="Item5OtherInformation"/>
      <w:bookmarkStart w:id="706" w:name="_a09e0ab7_dbcb_4bbc_81c5_1c1e3b61a884"/>
      <w:bookmarkEnd w:id="704"/>
      <w:bookmarkEnd w:id="705"/>
      <w:bookmarkEnd w:id="706"/>
    </w:p>
    <w:tbl>
      <w:tblPr>
        <w:tblW w:w="2927" w:type="dxa"/>
        <w:jc w:val="left"/>
        <w:tblInd w:w="0" w:type="dxa"/>
        <w:tblLayout w:type="fixed"/>
        <w:tblCellMar>
          <w:top w:w="0" w:type="dxa"/>
          <w:left w:w="0" w:type="dxa"/>
          <w:bottom w:w="0" w:type="dxa"/>
          <w:right w:w="0" w:type="dxa"/>
        </w:tblCellMar>
      </w:tblPr>
      <w:tblGrid>
        <w:gridCol w:w="751"/>
        <w:gridCol w:w="2176"/>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5.</w:t>
            </w:r>
          </w:p>
        </w:tc>
        <w:tc>
          <w:tcPr>
            <w:tcW w:w="2176"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Other Information</w:t>
            </w:r>
          </w:p>
        </w:tc>
      </w:tr>
    </w:tbl>
    <w:p>
      <w:pPr>
        <w:pStyle w:val="TextBody"/>
        <w:pBdr/>
        <w:bidi w:val="0"/>
        <w:spacing w:before="60" w:after="0"/>
        <w:ind w:left="0" w:right="0" w:firstLine="720"/>
        <w:jc w:val="both"/>
        <w:rPr>
          <w:rFonts w:ascii="Arial Narrow" w:hAnsi="Arial Narrow"/>
          <w:sz w:val="20"/>
        </w:rPr>
      </w:pPr>
      <w:r>
        <w:rPr>
          <w:rFonts w:ascii="Arial Narrow" w:hAnsi="Arial Narrow"/>
          <w:sz w:val="20"/>
        </w:rPr>
        <w:t>During the three months ended March 31, 2026, no director or officer of Transocean adopted or terminated a “Rule 10b5-1 trading arrangement” or “non-Rule 10b5-1 trading arrangement,” as each term is defined in Item 408(a) of Regulation S-K.</w:t>
      </w:r>
    </w:p>
    <w:p>
      <w:pPr>
        <w:pStyle w:val="TextBody"/>
        <w:bidi w:val="0"/>
        <w:spacing w:before="0" w:after="0"/>
        <w:ind w:left="0" w:right="0" w:hanging="0"/>
        <w:jc w:val="center"/>
        <w:rPr>
          <w:rFonts w:ascii="Arial Narrow" w:hAnsi="Arial Narrow"/>
          <w:sz w:val="20"/>
        </w:rPr>
      </w:pPr>
      <w:r>
        <w:rPr>
          <w:rFonts w:ascii="Arial Narrow" w:hAnsi="Arial Narrow"/>
          <w:sz w:val="20"/>
        </w:rPr>
        <w:t>- 20 -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Normal"/>
        <w:bidi w:val="0"/>
        <w:spacing w:before="0" w:after="0"/>
        <w:jc w:val="left"/>
        <w:rPr>
          <w:sz w:val="4"/>
          <w:szCs w:val="4"/>
        </w:rPr>
      </w:pPr>
      <w:r>
        <w:rPr>
          <w:sz w:val="4"/>
          <w:szCs w:val="4"/>
        </w:rPr>
      </w:r>
      <w:bookmarkStart w:id="707" w:name="Item6Exhibits_779881"/>
      <w:bookmarkStart w:id="708" w:name="_c9267743_2bc2_443f_a8f3_e248361280e2"/>
      <w:bookmarkStart w:id="709" w:name="Item6Exhibits_779881"/>
      <w:bookmarkStart w:id="710" w:name="_c9267743_2bc2_443f_a8f3_e248361280e2"/>
      <w:bookmarkEnd w:id="709"/>
      <w:bookmarkEnd w:id="710"/>
    </w:p>
    <w:tbl>
      <w:tblPr>
        <w:tblW w:w="1742" w:type="dxa"/>
        <w:jc w:val="left"/>
        <w:tblInd w:w="0" w:type="dxa"/>
        <w:tblLayout w:type="fixed"/>
        <w:tblCellMar>
          <w:top w:w="0" w:type="dxa"/>
          <w:left w:w="0" w:type="dxa"/>
          <w:bottom w:w="0" w:type="dxa"/>
          <w:right w:w="0" w:type="dxa"/>
        </w:tblCellMar>
      </w:tblPr>
      <w:tblGrid>
        <w:gridCol w:w="751"/>
        <w:gridCol w:w="991"/>
      </w:tblGrid>
      <w:tr>
        <w:trPr/>
        <w:tc>
          <w:tcPr>
            <w:tcW w:w="751"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Item 6.</w:t>
            </w:r>
          </w:p>
        </w:tc>
        <w:tc>
          <w:tcPr>
            <w:tcW w:w="991"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Exhibits</w:t>
            </w:r>
          </w:p>
        </w:tc>
      </w:tr>
    </w:tbl>
    <w:p>
      <w:pPr>
        <w:pStyle w:val="TextBody"/>
        <w:bidi w:val="0"/>
        <w:spacing w:before="0" w:after="60"/>
        <w:ind w:left="0" w:right="0" w:firstLine="720"/>
        <w:jc w:val="both"/>
        <w:rPr>
          <w:rFonts w:ascii="Arial Narrow" w:hAnsi="Arial Narrow"/>
          <w:sz w:val="20"/>
        </w:rPr>
      </w:pPr>
      <w:r>
        <w:rPr>
          <w:rFonts w:ascii="Arial Narrow" w:hAnsi="Arial Narrow"/>
          <w:sz w:val="20"/>
        </w:rPr>
        <w:t>The following exhibits are filed or furnished herewith, as indicated, or incorporated by reference to the location indicated:</w:t>
      </w:r>
    </w:p>
    <w:tbl>
      <w:tblPr>
        <w:tblW w:w="10205" w:type="dxa"/>
        <w:jc w:val="left"/>
        <w:tblInd w:w="0" w:type="dxa"/>
        <w:tblLayout w:type="fixed"/>
        <w:tblCellMar>
          <w:top w:w="0" w:type="dxa"/>
          <w:left w:w="0" w:type="dxa"/>
          <w:bottom w:w="0" w:type="dxa"/>
          <w:right w:w="0" w:type="dxa"/>
        </w:tblCellMar>
      </w:tblPr>
      <w:tblGrid>
        <w:gridCol w:w="152"/>
        <w:gridCol w:w="464"/>
        <w:gridCol w:w="109"/>
        <w:gridCol w:w="7080"/>
        <w:gridCol w:w="109"/>
        <w:gridCol w:w="2291"/>
      </w:tblGrid>
      <w:tr>
        <w:trPr/>
        <w:tc>
          <w:tcPr>
            <w:tcW w:w="152" w:type="dxa"/>
            <w:tcBorders/>
            <w:vAlign w:val="center"/>
          </w:tcPr>
          <w:p>
            <w:pPr>
              <w:pStyle w:val="TableHeading"/>
              <w:bidi w:val="0"/>
              <w:spacing w:before="0" w:after="0"/>
              <w:ind w:left="0" w:right="0" w:hanging="0"/>
              <w:jc w:val="left"/>
              <w:rPr/>
            </w:pPr>
            <w:r>
              <w:rPr/>
              <w:t>​</w:t>
            </w:r>
          </w:p>
        </w:tc>
        <w:tc>
          <w:tcPr>
            <w:tcW w:w="464" w:type="dxa"/>
            <w:tcBorders/>
            <w:vAlign w:val="center"/>
          </w:tcPr>
          <w:p>
            <w:pPr>
              <w:pStyle w:val="TableHeading"/>
              <w:bidi w:val="0"/>
              <w:spacing w:before="0" w:after="0"/>
              <w:ind w:left="0" w:right="0" w:hanging="0"/>
              <w:jc w:val="left"/>
              <w:rPr/>
            </w:pPr>
            <w:r>
              <w:rPr/>
              <w:t>​</w:t>
            </w:r>
          </w:p>
        </w:tc>
        <w:tc>
          <w:tcPr>
            <w:tcW w:w="109" w:type="dxa"/>
            <w:tcBorders/>
            <w:vAlign w:val="center"/>
          </w:tcPr>
          <w:p>
            <w:pPr>
              <w:pStyle w:val="TableHeading"/>
              <w:bidi w:val="0"/>
              <w:spacing w:before="0" w:after="0"/>
              <w:ind w:left="0" w:right="0" w:hanging="0"/>
              <w:jc w:val="left"/>
              <w:rPr/>
            </w:pPr>
            <w:r>
              <w:rPr/>
              <w:t>​</w:t>
            </w:r>
          </w:p>
        </w:tc>
        <w:tc>
          <w:tcPr>
            <w:tcW w:w="7080" w:type="dxa"/>
            <w:tcBorders/>
            <w:vAlign w:val="center"/>
          </w:tcPr>
          <w:p>
            <w:pPr>
              <w:pStyle w:val="TableHeading"/>
              <w:bidi w:val="0"/>
              <w:spacing w:before="0" w:after="0"/>
              <w:ind w:left="0" w:right="0" w:hanging="0"/>
              <w:jc w:val="left"/>
              <w:rPr/>
            </w:pPr>
            <w:r>
              <w:rPr/>
              <w:t>​</w:t>
            </w:r>
          </w:p>
        </w:tc>
        <w:tc>
          <w:tcPr>
            <w:tcW w:w="109" w:type="dxa"/>
            <w:tcBorders/>
            <w:vAlign w:val="center"/>
          </w:tcPr>
          <w:p>
            <w:pPr>
              <w:pStyle w:val="TableHeading"/>
              <w:bidi w:val="0"/>
              <w:spacing w:before="0" w:after="0"/>
              <w:ind w:left="0" w:right="0" w:hanging="0"/>
              <w:jc w:val="left"/>
              <w:rPr/>
            </w:pPr>
            <w:r>
              <w:rPr/>
              <w:t>​</w:t>
            </w:r>
          </w:p>
        </w:tc>
        <w:tc>
          <w:tcPr>
            <w:tcW w:w="2291" w:type="dxa"/>
            <w:tcBorders/>
            <w:vAlign w:val="center"/>
          </w:tcPr>
          <w:p>
            <w:pPr>
              <w:pStyle w:val="TableHeading"/>
              <w:bidi w:val="0"/>
              <w:spacing w:before="0" w:after="0"/>
              <w:ind w:left="0" w:right="0" w:hanging="0"/>
              <w:jc w:val="left"/>
              <w:rPr/>
            </w:pPr>
            <w:r>
              <w:rPr/>
              <w:t>​</w:t>
            </w:r>
          </w:p>
        </w:tc>
      </w:tr>
      <w:tr>
        <w:trPr/>
        <w:tc>
          <w:tcPr>
            <w:tcW w:w="616" w:type="dxa"/>
            <w:gridSpan w:val="2"/>
            <w:tcBorders/>
            <w:shd w:fill="00556F" w:val="clear"/>
            <w:vAlign w:val="center"/>
          </w:tcPr>
          <w:p>
            <w:pPr>
              <w:pStyle w:val="TableHeading"/>
              <w:bidi w:val="0"/>
              <w:spacing w:before="60" w:after="0"/>
              <w:ind w:left="0" w:right="0" w:hanging="0"/>
              <w:jc w:val="center"/>
              <w:rPr>
                <w:rFonts w:ascii="Arial Narrow" w:hAnsi="Arial Narrow"/>
                <w:b/>
                <w:smallCaps/>
                <w:color w:val="FFFFFF"/>
                <w:sz w:val="16"/>
              </w:rPr>
            </w:pPr>
            <w:r>
              <w:rPr>
                <w:rFonts w:ascii="Arial Narrow" w:hAnsi="Arial Narrow"/>
                <w:b/>
                <w:smallCaps/>
                <w:color w:val="FFFFFF"/>
                <w:sz w:val="16"/>
              </w:rPr>
              <w:t>Number</w:t>
            </w:r>
          </w:p>
        </w:tc>
        <w:tc>
          <w:tcPr>
            <w:tcW w:w="109" w:type="dxa"/>
            <w:tcBorders/>
            <w:shd w:fill="00556F" w:val="clear"/>
            <w:vAlign w:val="center"/>
          </w:tcPr>
          <w:p>
            <w:pPr>
              <w:pStyle w:val="TableHeading"/>
              <w:bidi w:val="0"/>
              <w:spacing w:before="60" w:after="0"/>
              <w:ind w:left="0" w:right="0" w:hanging="0"/>
              <w:jc w:val="both"/>
              <w:rPr>
                <w:color w:val="FFFFFF"/>
              </w:rPr>
            </w:pPr>
            <w:r>
              <w:rPr>
                <w:color w:val="FFFFFF"/>
              </w:rPr>
              <w:t>​</w:t>
            </w:r>
          </w:p>
        </w:tc>
        <w:tc>
          <w:tcPr>
            <w:tcW w:w="7080" w:type="dxa"/>
            <w:tcBorders/>
            <w:shd w:fill="00556F" w:val="clear"/>
            <w:vAlign w:val="center"/>
          </w:tcPr>
          <w:p>
            <w:pPr>
              <w:pStyle w:val="TableHeading"/>
              <w:bidi w:val="0"/>
              <w:spacing w:before="60" w:after="0"/>
              <w:ind w:left="0" w:right="0" w:hanging="0"/>
              <w:jc w:val="left"/>
              <w:rPr>
                <w:rFonts w:ascii="Arial Narrow" w:hAnsi="Arial Narrow"/>
                <w:b/>
                <w:smallCaps/>
                <w:color w:val="FFFFFF"/>
                <w:sz w:val="16"/>
              </w:rPr>
            </w:pPr>
            <w:r>
              <w:rPr>
                <w:rFonts w:ascii="Arial Narrow" w:hAnsi="Arial Narrow"/>
                <w:b/>
                <w:smallCaps/>
                <w:color w:val="FFFFFF"/>
                <w:sz w:val="16"/>
              </w:rPr>
              <w:t>Description</w:t>
            </w:r>
          </w:p>
        </w:tc>
        <w:tc>
          <w:tcPr>
            <w:tcW w:w="109" w:type="dxa"/>
            <w:tcBorders/>
            <w:shd w:fill="00556F" w:val="clear"/>
            <w:vAlign w:val="center"/>
          </w:tcPr>
          <w:p>
            <w:pPr>
              <w:pStyle w:val="TableHeading"/>
              <w:bidi w:val="0"/>
              <w:spacing w:before="0" w:after="283"/>
              <w:ind w:left="0" w:right="0" w:hanging="0"/>
              <w:rPr>
                <w:sz w:val="4"/>
                <w:szCs w:val="4"/>
              </w:rPr>
            </w:pPr>
            <w:r>
              <w:rPr>
                <w:sz w:val="4"/>
                <w:szCs w:val="4"/>
              </w:rPr>
            </w:r>
          </w:p>
        </w:tc>
        <w:tc>
          <w:tcPr>
            <w:tcW w:w="2291" w:type="dxa"/>
            <w:tcBorders/>
            <w:shd w:fill="00556F" w:val="clear"/>
            <w:vAlign w:val="center"/>
          </w:tcPr>
          <w:p>
            <w:pPr>
              <w:pStyle w:val="TableHeading"/>
              <w:bidi w:val="0"/>
              <w:spacing w:before="60" w:after="0"/>
              <w:ind w:left="0" w:right="0" w:hanging="0"/>
              <w:jc w:val="left"/>
              <w:rPr>
                <w:rFonts w:ascii="Arial Narrow" w:hAnsi="Arial Narrow"/>
                <w:b/>
                <w:smallCaps/>
                <w:color w:val="FFFFFF"/>
                <w:sz w:val="16"/>
              </w:rPr>
            </w:pPr>
            <w:r>
              <w:rPr>
                <w:rFonts w:ascii="Arial Narrow" w:hAnsi="Arial Narrow"/>
                <w:b/>
                <w:smallCaps/>
                <w:color w:val="FFFFFF"/>
                <w:sz w:val="16"/>
              </w:rPr>
              <w:t>Location</w:t>
            </w:r>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2.1</w:t>
            </w:r>
          </w:p>
        </w:tc>
        <w:tc>
          <w:tcPr>
            <w:tcW w:w="109" w:type="dxa"/>
            <w:tcBorders/>
            <w:shd w:fill="CEDBE0" w:val="clear"/>
            <w:vAlign w:val="center"/>
          </w:tcPr>
          <w:p>
            <w:pPr>
              <w:pStyle w:val="TableContents"/>
              <w:bidi w:val="0"/>
              <w:spacing w:before="0" w:after="0"/>
              <w:ind w:left="0" w:right="0" w:hanging="0"/>
              <w:jc w:val="both"/>
              <w:rPr/>
            </w:pPr>
            <w:r>
              <w:rPr/>
              <w:t>​</w:t>
            </w:r>
          </w:p>
        </w:tc>
        <w:tc>
          <w:tcPr>
            <w:tcW w:w="7080"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Business Combination Agreement, dated as of February 9, 2026, between Transocean Ltd. and Valaris Limited</w:t>
            </w:r>
          </w:p>
        </w:tc>
        <w:tc>
          <w:tcPr>
            <w:tcW w:w="109" w:type="dxa"/>
            <w:tcBorders/>
            <w:shd w:fill="CEDBE0" w:val="clear"/>
            <w:vAlign w:val="center"/>
          </w:tcPr>
          <w:p>
            <w:pPr>
              <w:pStyle w:val="TableContents"/>
              <w:bidi w:val="0"/>
              <w:spacing w:before="0" w:after="0"/>
              <w:ind w:left="0" w:right="0" w:hanging="0"/>
              <w:jc w:val="both"/>
              <w:rPr/>
            </w:pPr>
            <w:r>
              <w:rPr/>
              <w:t>​</w:t>
            </w:r>
          </w:p>
        </w:tc>
        <w:tc>
          <w:tcPr>
            <w:tcW w:w="2291" w:type="dxa"/>
            <w:tcBorders/>
            <w:shd w:fill="CEDBE0" w:val="clear"/>
            <w:vAlign w:val="center"/>
          </w:tcPr>
          <w:p>
            <w:pPr>
              <w:pStyle w:val="TableContents"/>
              <w:bidi w:val="0"/>
              <w:spacing w:before="0" w:after="0"/>
              <w:ind w:left="0" w:right="0" w:hanging="0"/>
              <w:jc w:val="left"/>
              <w:rPr/>
            </w:pPr>
            <w:hyperlink r:id="rId7">
              <w:r>
                <w:rPr>
                  <w:rStyle w:val="InternetLink"/>
                  <w:rFonts w:ascii="Arial Narrow" w:hAnsi="Arial Narrow"/>
                  <w:b w:val="false"/>
                  <w:i w:val="false"/>
                  <w:caps w:val="false"/>
                  <w:smallCaps w:val="false"/>
                  <w:sz w:val="20"/>
                </w:rPr>
                <w:t>Exhibit 2.1 to Transocean Ltd.’s Current Report on Form 8-K (Commission File No. 001-38373) filed on February 10, 2026</w:t>
              </w:r>
            </w:hyperlink>
          </w:p>
        </w:tc>
      </w:tr>
      <w:tr>
        <w:trPr/>
        <w:tc>
          <w:tcPr>
            <w:tcW w:w="152"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3.1</w:t>
            </w:r>
          </w:p>
        </w:tc>
        <w:tc>
          <w:tcPr>
            <w:tcW w:w="109" w:type="dxa"/>
            <w:tcBorders/>
            <w:vAlign w:val="center"/>
          </w:tcPr>
          <w:p>
            <w:pPr>
              <w:pStyle w:val="TableContents"/>
              <w:bidi w:val="0"/>
              <w:spacing w:before="0" w:after="0"/>
              <w:ind w:left="0" w:right="0" w:hanging="0"/>
              <w:jc w:val="both"/>
              <w:rPr/>
            </w:pPr>
            <w:r>
              <w:rPr/>
              <w:t>​</w:t>
            </w:r>
          </w:p>
        </w:tc>
        <w:tc>
          <w:tcPr>
            <w:tcW w:w="7080"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Articles of Association of Transocean Ltd.</w:t>
            </w:r>
          </w:p>
        </w:tc>
        <w:tc>
          <w:tcPr>
            <w:tcW w:w="109" w:type="dxa"/>
            <w:tcBorders/>
            <w:vAlign w:val="center"/>
          </w:tcPr>
          <w:p>
            <w:pPr>
              <w:pStyle w:val="TableContents"/>
              <w:bidi w:val="0"/>
              <w:spacing w:before="0" w:after="0"/>
              <w:ind w:left="0" w:right="0" w:hanging="0"/>
              <w:jc w:val="both"/>
              <w:rPr/>
            </w:pPr>
            <w:r>
              <w:rPr/>
              <w:t>​</w:t>
            </w:r>
          </w:p>
        </w:tc>
        <w:tc>
          <w:tcPr>
            <w:tcW w:w="2291" w:type="dxa"/>
            <w:tcBorders/>
            <w:vAlign w:val="center"/>
          </w:tcPr>
          <w:p>
            <w:pPr>
              <w:pStyle w:val="TableContents"/>
              <w:bidi w:val="0"/>
              <w:spacing w:before="0" w:after="0"/>
              <w:ind w:left="0" w:right="0" w:hanging="0"/>
              <w:jc w:val="left"/>
              <w:rPr/>
            </w:pPr>
            <w:hyperlink r:id="rId8">
              <w:r>
                <w:rPr>
                  <w:rStyle w:val="InternetLink"/>
                  <w:rFonts w:ascii="Arial Narrow" w:hAnsi="Arial Narrow"/>
                  <w:b w:val="false"/>
                  <w:i w:val="false"/>
                  <w:caps w:val="false"/>
                  <w:smallCaps w:val="false"/>
                  <w:sz w:val="20"/>
                </w:rPr>
                <w:t>Exhibit 3.2 to Transocean Ltd.’s Current Report on Form 8-K (Commission File No. 001-38373) filed on June 3, 2025</w:t>
              </w:r>
            </w:hyperlink>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3.2</w:t>
            </w:r>
          </w:p>
        </w:tc>
        <w:tc>
          <w:tcPr>
            <w:tcW w:w="109" w:type="dxa"/>
            <w:tcBorders/>
            <w:shd w:fill="CEDBE0" w:val="clear"/>
            <w:vAlign w:val="center"/>
          </w:tcPr>
          <w:p>
            <w:pPr>
              <w:pStyle w:val="TableContents"/>
              <w:bidi w:val="0"/>
              <w:spacing w:before="0" w:after="0"/>
              <w:ind w:left="0" w:right="0" w:hanging="0"/>
              <w:jc w:val="both"/>
              <w:rPr/>
            </w:pPr>
            <w:r>
              <w:rPr/>
              <w:t>​</w:t>
            </w:r>
          </w:p>
        </w:tc>
        <w:tc>
          <w:tcPr>
            <w:tcW w:w="7080"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Organizational Regulations of Transocean Ltd., amended effective as of May 30, 2025</w:t>
            </w:r>
          </w:p>
        </w:tc>
        <w:tc>
          <w:tcPr>
            <w:tcW w:w="109" w:type="dxa"/>
            <w:tcBorders/>
            <w:shd w:fill="CEDBE0" w:val="clear"/>
            <w:vAlign w:val="center"/>
          </w:tcPr>
          <w:p>
            <w:pPr>
              <w:pStyle w:val="TableContents"/>
              <w:bidi w:val="0"/>
              <w:spacing w:before="0" w:after="0"/>
              <w:ind w:left="0" w:right="0" w:hanging="0"/>
              <w:jc w:val="both"/>
              <w:rPr/>
            </w:pPr>
            <w:r>
              <w:rPr/>
              <w:t>​</w:t>
            </w:r>
          </w:p>
        </w:tc>
        <w:tc>
          <w:tcPr>
            <w:tcW w:w="2291" w:type="dxa"/>
            <w:tcBorders/>
            <w:shd w:fill="CEDBE0" w:val="clear"/>
            <w:vAlign w:val="center"/>
          </w:tcPr>
          <w:p>
            <w:pPr>
              <w:pStyle w:val="TableContents"/>
              <w:bidi w:val="0"/>
              <w:spacing w:before="0" w:after="0"/>
              <w:ind w:left="0" w:right="0" w:hanging="0"/>
              <w:jc w:val="left"/>
              <w:rPr/>
            </w:pPr>
            <w:hyperlink r:id="rId9">
              <w:r>
                <w:rPr>
                  <w:rStyle w:val="InternetLink"/>
                  <w:rFonts w:ascii="Arial Narrow" w:hAnsi="Arial Narrow"/>
                  <w:b w:val="false"/>
                  <w:i w:val="false"/>
                  <w:caps w:val="false"/>
                  <w:smallCaps w:val="false"/>
                  <w:sz w:val="20"/>
                </w:rPr>
                <w:t>Exhibit 3.3 to Transocean Ltd.’s Current Report on Form 8-K (Commission File No. 001-38373) filed on June 3, 2025</w:t>
              </w:r>
            </w:hyperlink>
          </w:p>
        </w:tc>
      </w:tr>
      <w:tr>
        <w:trPr/>
        <w:tc>
          <w:tcPr>
            <w:tcW w:w="152"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4.1</w:t>
            </w:r>
          </w:p>
        </w:tc>
        <w:tc>
          <w:tcPr>
            <w:tcW w:w="109" w:type="dxa"/>
            <w:tcBorders/>
            <w:vAlign w:val="center"/>
          </w:tcPr>
          <w:p>
            <w:pPr>
              <w:pStyle w:val="TableContents"/>
              <w:bidi w:val="0"/>
              <w:spacing w:before="0" w:after="0"/>
              <w:ind w:left="0" w:right="0" w:hanging="0"/>
              <w:jc w:val="both"/>
              <w:rPr/>
            </w:pPr>
            <w:r>
              <w:rPr/>
              <w:t>​</w:t>
            </w:r>
          </w:p>
        </w:tc>
        <w:tc>
          <w:tcPr>
            <w:tcW w:w="7080"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Third Supplemental Indenture, dated as of March 2, 2026, among Transocean International Limited, the Guarantors named therein and Truist Bank, as trustee</w:t>
            </w:r>
          </w:p>
        </w:tc>
        <w:tc>
          <w:tcPr>
            <w:tcW w:w="109" w:type="dxa"/>
            <w:tcBorders/>
            <w:vAlign w:val="center"/>
          </w:tcPr>
          <w:p>
            <w:pPr>
              <w:pStyle w:val="TableContents"/>
              <w:bidi w:val="0"/>
              <w:spacing w:before="0" w:after="0"/>
              <w:ind w:left="0" w:right="0" w:hanging="0"/>
              <w:jc w:val="both"/>
              <w:rPr/>
            </w:pPr>
            <w:r>
              <w:rPr/>
              <w:t>​</w:t>
            </w:r>
          </w:p>
        </w:tc>
        <w:tc>
          <w:tcPr>
            <w:tcW w:w="2291" w:type="dxa"/>
            <w:tcBorders/>
            <w:vAlign w:val="center"/>
          </w:tcPr>
          <w:p>
            <w:pPr>
              <w:pStyle w:val="TableContents"/>
              <w:bidi w:val="0"/>
              <w:spacing w:before="0" w:after="0"/>
              <w:ind w:left="0" w:right="0" w:hanging="0"/>
              <w:jc w:val="left"/>
              <w:rPr/>
            </w:pPr>
            <w:hyperlink w:anchor="rig-20260331xex4d1.htm">
              <w:r>
                <w:rPr>
                  <w:rStyle w:val="InternetLink"/>
                  <w:rFonts w:ascii="Arial Narrow" w:hAnsi="Arial Narrow"/>
                  <w:b w:val="false"/>
                  <w:i w:val="false"/>
                  <w:caps w:val="false"/>
                  <w:smallCaps w:val="false"/>
                  <w:sz w:val="20"/>
                </w:rPr>
                <w:t>Filed herewith</w:t>
              </w:r>
            </w:hyperlink>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10.1</w:t>
            </w:r>
          </w:p>
        </w:tc>
        <w:tc>
          <w:tcPr>
            <w:tcW w:w="109" w:type="dxa"/>
            <w:tcBorders/>
            <w:shd w:fill="CEDBE0" w:val="clear"/>
            <w:vAlign w:val="center"/>
          </w:tcPr>
          <w:p>
            <w:pPr>
              <w:pStyle w:val="TableContents"/>
              <w:bidi w:val="0"/>
              <w:spacing w:before="0" w:after="0"/>
              <w:ind w:left="0" w:right="0" w:hanging="0"/>
              <w:jc w:val="both"/>
              <w:rPr/>
            </w:pPr>
            <w:r>
              <w:rPr/>
              <w:t>​</w:t>
            </w:r>
          </w:p>
        </w:tc>
        <w:tc>
          <w:tcPr>
            <w:tcW w:w="7080"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Terms and Conditions of 2026 Executive Equity Awards</w:t>
            </w:r>
          </w:p>
        </w:tc>
        <w:tc>
          <w:tcPr>
            <w:tcW w:w="109" w:type="dxa"/>
            <w:tcBorders/>
            <w:shd w:fill="CEDBE0" w:val="clear"/>
            <w:vAlign w:val="center"/>
          </w:tcPr>
          <w:p>
            <w:pPr>
              <w:pStyle w:val="TableContents"/>
              <w:bidi w:val="0"/>
              <w:spacing w:before="0" w:after="0"/>
              <w:ind w:left="0" w:right="0" w:hanging="0"/>
              <w:jc w:val="both"/>
              <w:rPr/>
            </w:pPr>
            <w:r>
              <w:rPr/>
              <w:t>​</w:t>
            </w:r>
          </w:p>
        </w:tc>
        <w:tc>
          <w:tcPr>
            <w:tcW w:w="2291" w:type="dxa"/>
            <w:tcBorders/>
            <w:shd w:fill="CEDBE0" w:val="clear"/>
            <w:vAlign w:val="center"/>
          </w:tcPr>
          <w:p>
            <w:pPr>
              <w:pStyle w:val="TableContents"/>
              <w:bidi w:val="0"/>
              <w:spacing w:before="0" w:after="0"/>
              <w:ind w:left="0" w:right="0" w:hanging="0"/>
              <w:jc w:val="left"/>
              <w:rPr/>
            </w:pPr>
            <w:hyperlink w:anchor="rig-20260331xex10d1.htm">
              <w:r>
                <w:rPr>
                  <w:rStyle w:val="InternetLink"/>
                  <w:rFonts w:ascii="Arial Narrow" w:hAnsi="Arial Narrow"/>
                  <w:b w:val="false"/>
                  <w:i w:val="false"/>
                  <w:caps w:val="false"/>
                  <w:smallCaps w:val="false"/>
                  <w:sz w:val="20"/>
                </w:rPr>
                <w:t>Filed herewith</w:t>
              </w:r>
            </w:hyperlink>
          </w:p>
        </w:tc>
      </w:tr>
      <w:tr>
        <w:trPr/>
        <w:tc>
          <w:tcPr>
            <w:tcW w:w="152"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10.2</w:t>
            </w:r>
          </w:p>
        </w:tc>
        <w:tc>
          <w:tcPr>
            <w:tcW w:w="109" w:type="dxa"/>
            <w:tcBorders/>
            <w:vAlign w:val="center"/>
          </w:tcPr>
          <w:p>
            <w:pPr>
              <w:pStyle w:val="TableContents"/>
              <w:bidi w:val="0"/>
              <w:spacing w:before="0" w:after="0"/>
              <w:ind w:left="0" w:right="0" w:hanging="0"/>
              <w:jc w:val="both"/>
              <w:rPr/>
            </w:pPr>
            <w:r>
              <w:rPr/>
              <w:t>​</w:t>
            </w:r>
          </w:p>
        </w:tc>
        <w:tc>
          <w:tcPr>
            <w:tcW w:w="7080"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Terms and Conditions of 2026 Executive Management Team Equity Awards</w:t>
            </w:r>
          </w:p>
        </w:tc>
        <w:tc>
          <w:tcPr>
            <w:tcW w:w="109" w:type="dxa"/>
            <w:tcBorders/>
            <w:vAlign w:val="center"/>
          </w:tcPr>
          <w:p>
            <w:pPr>
              <w:pStyle w:val="TableContents"/>
              <w:bidi w:val="0"/>
              <w:spacing w:before="0" w:after="0"/>
              <w:ind w:left="0" w:right="0" w:hanging="0"/>
              <w:jc w:val="both"/>
              <w:rPr/>
            </w:pPr>
            <w:r>
              <w:rPr/>
              <w:t>​</w:t>
            </w:r>
          </w:p>
        </w:tc>
        <w:tc>
          <w:tcPr>
            <w:tcW w:w="2291" w:type="dxa"/>
            <w:tcBorders/>
            <w:vAlign w:val="center"/>
          </w:tcPr>
          <w:p>
            <w:pPr>
              <w:pStyle w:val="TableContents"/>
              <w:bidi w:val="0"/>
              <w:spacing w:before="0" w:after="0"/>
              <w:ind w:left="0" w:right="0" w:hanging="0"/>
              <w:jc w:val="left"/>
              <w:rPr/>
            </w:pPr>
            <w:hyperlink w:anchor="rig-20260331xex10d2.htm">
              <w:r>
                <w:rPr>
                  <w:rStyle w:val="InternetLink"/>
                  <w:rFonts w:ascii="Arial Narrow" w:hAnsi="Arial Narrow"/>
                  <w:b w:val="false"/>
                  <w:i w:val="false"/>
                  <w:caps w:val="false"/>
                  <w:smallCaps w:val="false"/>
                  <w:sz w:val="20"/>
                </w:rPr>
                <w:t>Filed herewith</w:t>
              </w:r>
            </w:hyperlink>
          </w:p>
        </w:tc>
      </w:tr>
      <w:tr>
        <w:trPr/>
        <w:tc>
          <w:tcPr>
            <w:tcW w:w="152" w:type="dxa"/>
            <w:tcBorders/>
            <w:shd w:fill="CEDBE0" w:val="clear"/>
            <w:vAlign w:val="center"/>
          </w:tcPr>
          <w:p>
            <w:pPr>
              <w:pStyle w:val="TableContents"/>
              <w:bidi w:val="0"/>
              <w:spacing w:before="0" w:after="0"/>
              <w:ind w:left="0" w:right="0" w:hanging="0"/>
              <w:jc w:val="left"/>
              <w:rPr/>
            </w:pPr>
            <w:r>
              <w:rPr/>
              <w:t>​</w:t>
            </w:r>
          </w:p>
        </w:tc>
        <w:tc>
          <w:tcPr>
            <w:tcW w:w="464"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31.1</w:t>
            </w:r>
          </w:p>
        </w:tc>
        <w:tc>
          <w:tcPr>
            <w:tcW w:w="109" w:type="dxa"/>
            <w:tcBorders/>
            <w:shd w:fill="CEDBE0" w:val="clear"/>
            <w:vAlign w:val="center"/>
          </w:tcPr>
          <w:p>
            <w:pPr>
              <w:pStyle w:val="TableContents"/>
              <w:bidi w:val="0"/>
              <w:spacing w:before="0" w:after="0"/>
              <w:ind w:left="0" w:right="0" w:hanging="0"/>
              <w:jc w:val="left"/>
              <w:rPr/>
            </w:pPr>
            <w:r>
              <w:rPr/>
              <w:t>​</w:t>
            </w:r>
          </w:p>
        </w:tc>
        <w:tc>
          <w:tcPr>
            <w:tcW w:w="7080"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Certification of Chief Executive Officer pursuant to Rule 13a-14(a) of the Securities Exchange Act of 1934 and Section 302 of the Sarbanes-Oxley Act of 2002</w:t>
            </w:r>
          </w:p>
        </w:tc>
        <w:tc>
          <w:tcPr>
            <w:tcW w:w="109" w:type="dxa"/>
            <w:tcBorders/>
            <w:shd w:fill="CEDBE0" w:val="clear"/>
            <w:vAlign w:val="center"/>
          </w:tcPr>
          <w:p>
            <w:pPr>
              <w:pStyle w:val="TableContents"/>
              <w:bidi w:val="0"/>
              <w:spacing w:before="0" w:after="0"/>
              <w:ind w:left="0" w:right="0" w:hanging="0"/>
              <w:jc w:val="left"/>
              <w:rPr/>
            </w:pPr>
            <w:r>
              <w:rPr/>
              <w:t>​</w:t>
            </w:r>
          </w:p>
        </w:tc>
        <w:tc>
          <w:tcPr>
            <w:tcW w:w="2291" w:type="dxa"/>
            <w:tcBorders/>
            <w:shd w:fill="CEDBE0" w:val="clear"/>
            <w:vAlign w:val="center"/>
          </w:tcPr>
          <w:p>
            <w:pPr>
              <w:pStyle w:val="TableContents"/>
              <w:bidi w:val="0"/>
              <w:spacing w:before="0" w:after="0"/>
              <w:ind w:left="0" w:right="0" w:hanging="0"/>
              <w:jc w:val="left"/>
              <w:rPr/>
            </w:pPr>
            <w:hyperlink w:anchor="rig-20260331xex31d1.htm">
              <w:r>
                <w:rPr>
                  <w:rStyle w:val="InternetLink"/>
                  <w:rFonts w:ascii="Arial Narrow" w:hAnsi="Arial Narrow"/>
                  <w:b w:val="false"/>
                  <w:i w:val="false"/>
                  <w:caps w:val="false"/>
                  <w:smallCaps w:val="false"/>
                  <w:sz w:val="20"/>
                </w:rPr>
                <w:t>Filed herewith</w:t>
              </w:r>
            </w:hyperlink>
          </w:p>
        </w:tc>
      </w:tr>
      <w:tr>
        <w:trPr/>
        <w:tc>
          <w:tcPr>
            <w:tcW w:w="15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31.2</w:t>
            </w:r>
          </w:p>
        </w:tc>
        <w:tc>
          <w:tcPr>
            <w:tcW w:w="109" w:type="dxa"/>
            <w:tcBorders/>
            <w:vAlign w:val="center"/>
          </w:tcPr>
          <w:p>
            <w:pPr>
              <w:pStyle w:val="TableContents"/>
              <w:bidi w:val="0"/>
              <w:spacing w:before="0" w:after="0"/>
              <w:ind w:left="0" w:right="0" w:hanging="0"/>
              <w:jc w:val="both"/>
              <w:rPr/>
            </w:pPr>
            <w:r>
              <w:rPr/>
              <w:t>​</w:t>
            </w:r>
          </w:p>
        </w:tc>
        <w:tc>
          <w:tcPr>
            <w:tcW w:w="7080"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Certification of Chief Financial Officer pursuant to Rule 13a-14(a) of the Securities Exchange Act of 1934 and Section 302 of the Sarbanes-Oxley Act of 2002</w:t>
            </w:r>
          </w:p>
        </w:tc>
        <w:tc>
          <w:tcPr>
            <w:tcW w:w="109" w:type="dxa"/>
            <w:tcBorders/>
            <w:vAlign w:val="center"/>
          </w:tcPr>
          <w:p>
            <w:pPr>
              <w:pStyle w:val="TableContents"/>
              <w:bidi w:val="0"/>
              <w:spacing w:before="0" w:after="0"/>
              <w:ind w:left="0" w:right="0" w:hanging="0"/>
              <w:jc w:val="both"/>
              <w:rPr/>
            </w:pPr>
            <w:r>
              <w:rPr/>
              <w:t>​</w:t>
            </w:r>
          </w:p>
        </w:tc>
        <w:tc>
          <w:tcPr>
            <w:tcW w:w="2291" w:type="dxa"/>
            <w:tcBorders/>
            <w:vAlign w:val="center"/>
          </w:tcPr>
          <w:p>
            <w:pPr>
              <w:pStyle w:val="TableContents"/>
              <w:bidi w:val="0"/>
              <w:spacing w:before="0" w:after="0"/>
              <w:ind w:left="0" w:right="0" w:hanging="0"/>
              <w:jc w:val="both"/>
              <w:rPr/>
            </w:pPr>
            <w:hyperlink w:anchor="rig-20260331xex31d2.htm">
              <w:r>
                <w:rPr>
                  <w:rStyle w:val="InternetLink"/>
                  <w:rFonts w:ascii="Arial Narrow" w:hAnsi="Arial Narrow"/>
                  <w:b w:val="false"/>
                  <w:i w:val="false"/>
                  <w:caps w:val="false"/>
                  <w:smallCaps w:val="false"/>
                  <w:sz w:val="20"/>
                </w:rPr>
                <w:t>Filed herewith</w:t>
              </w:r>
            </w:hyperlink>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32.1</w:t>
            </w:r>
          </w:p>
        </w:tc>
        <w:tc>
          <w:tcPr>
            <w:tcW w:w="109" w:type="dxa"/>
            <w:tcBorders/>
            <w:shd w:fill="CEDBE0" w:val="clear"/>
            <w:vAlign w:val="center"/>
          </w:tcPr>
          <w:p>
            <w:pPr>
              <w:pStyle w:val="TableContents"/>
              <w:bidi w:val="0"/>
              <w:spacing w:before="0" w:after="0"/>
              <w:ind w:left="0" w:right="0" w:hanging="0"/>
              <w:jc w:val="both"/>
              <w:rPr/>
            </w:pPr>
            <w:r>
              <w:rPr/>
              <w:t>​</w:t>
            </w:r>
          </w:p>
        </w:tc>
        <w:tc>
          <w:tcPr>
            <w:tcW w:w="7080"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Certification of Chief Executive Officer pursuant to Section 906 of the Sarbanes-Oxley Act of 2002</w:t>
            </w:r>
          </w:p>
        </w:tc>
        <w:tc>
          <w:tcPr>
            <w:tcW w:w="109" w:type="dxa"/>
            <w:tcBorders/>
            <w:shd w:fill="CEDBE0" w:val="clear"/>
            <w:vAlign w:val="center"/>
          </w:tcPr>
          <w:p>
            <w:pPr>
              <w:pStyle w:val="TableContents"/>
              <w:bidi w:val="0"/>
              <w:spacing w:before="0" w:after="0"/>
              <w:ind w:left="0" w:right="0" w:hanging="0"/>
              <w:jc w:val="both"/>
              <w:rPr/>
            </w:pPr>
            <w:r>
              <w:rPr/>
              <w:t>​</w:t>
            </w:r>
          </w:p>
        </w:tc>
        <w:tc>
          <w:tcPr>
            <w:tcW w:w="2291" w:type="dxa"/>
            <w:tcBorders/>
            <w:shd w:fill="CEDBE0" w:val="clear"/>
            <w:vAlign w:val="center"/>
          </w:tcPr>
          <w:p>
            <w:pPr>
              <w:pStyle w:val="TableContents"/>
              <w:bidi w:val="0"/>
              <w:spacing w:before="0" w:after="0"/>
              <w:ind w:left="0" w:right="0" w:hanging="0"/>
              <w:jc w:val="both"/>
              <w:rPr/>
            </w:pPr>
            <w:hyperlink w:anchor="rig-20260331xex32d1.htm">
              <w:r>
                <w:rPr>
                  <w:rStyle w:val="InternetLink"/>
                  <w:rFonts w:ascii="Arial Narrow" w:hAnsi="Arial Narrow"/>
                  <w:b w:val="false"/>
                  <w:i w:val="false"/>
                  <w:caps w:val="false"/>
                  <w:smallCaps w:val="false"/>
                  <w:sz w:val="20"/>
                </w:rPr>
                <w:t>Furnished herewith</w:t>
              </w:r>
            </w:hyperlink>
          </w:p>
        </w:tc>
      </w:tr>
      <w:tr>
        <w:trPr/>
        <w:tc>
          <w:tcPr>
            <w:tcW w:w="152"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32.2</w:t>
            </w:r>
          </w:p>
        </w:tc>
        <w:tc>
          <w:tcPr>
            <w:tcW w:w="109" w:type="dxa"/>
            <w:tcBorders/>
            <w:vAlign w:val="center"/>
          </w:tcPr>
          <w:p>
            <w:pPr>
              <w:pStyle w:val="TableContents"/>
              <w:bidi w:val="0"/>
              <w:spacing w:before="0" w:after="0"/>
              <w:ind w:left="0" w:right="0" w:hanging="0"/>
              <w:jc w:val="both"/>
              <w:rPr/>
            </w:pPr>
            <w:r>
              <w:rPr/>
              <w:t>​</w:t>
            </w:r>
          </w:p>
        </w:tc>
        <w:tc>
          <w:tcPr>
            <w:tcW w:w="7080"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Certification of Chief Financial Officer pursuant to Section 906 of the Sarbanes-Oxley Act of 2002</w:t>
            </w:r>
          </w:p>
        </w:tc>
        <w:tc>
          <w:tcPr>
            <w:tcW w:w="109" w:type="dxa"/>
            <w:tcBorders/>
            <w:vAlign w:val="center"/>
          </w:tcPr>
          <w:p>
            <w:pPr>
              <w:pStyle w:val="TableContents"/>
              <w:bidi w:val="0"/>
              <w:spacing w:before="0" w:after="0"/>
              <w:ind w:left="0" w:right="0" w:hanging="0"/>
              <w:jc w:val="both"/>
              <w:rPr/>
            </w:pPr>
            <w:r>
              <w:rPr/>
              <w:t>​</w:t>
            </w:r>
          </w:p>
        </w:tc>
        <w:tc>
          <w:tcPr>
            <w:tcW w:w="2291" w:type="dxa"/>
            <w:tcBorders/>
            <w:vAlign w:val="center"/>
          </w:tcPr>
          <w:p>
            <w:pPr>
              <w:pStyle w:val="TableContents"/>
              <w:bidi w:val="0"/>
              <w:spacing w:before="0" w:after="0"/>
              <w:ind w:left="0" w:right="0" w:hanging="0"/>
              <w:jc w:val="both"/>
              <w:rPr/>
            </w:pPr>
            <w:hyperlink w:anchor="rig-20260331xex32d2.htm">
              <w:r>
                <w:rPr>
                  <w:rStyle w:val="InternetLink"/>
                  <w:rFonts w:ascii="Arial Narrow" w:hAnsi="Arial Narrow"/>
                  <w:b w:val="false"/>
                  <w:i w:val="false"/>
                  <w:caps w:val="false"/>
                  <w:smallCaps w:val="false"/>
                  <w:sz w:val="20"/>
                </w:rPr>
                <w:t>Furnished herewith</w:t>
              </w:r>
            </w:hyperlink>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101</w:t>
            </w:r>
          </w:p>
        </w:tc>
        <w:tc>
          <w:tcPr>
            <w:tcW w:w="109" w:type="dxa"/>
            <w:tcBorders/>
            <w:shd w:fill="CEDBE0" w:val="clear"/>
            <w:vAlign w:val="center"/>
          </w:tcPr>
          <w:p>
            <w:pPr>
              <w:pStyle w:val="TableContents"/>
              <w:bidi w:val="0"/>
              <w:spacing w:before="60" w:after="0"/>
              <w:ind w:left="0" w:right="0" w:hanging="0"/>
              <w:jc w:val="both"/>
              <w:rPr/>
            </w:pPr>
            <w:r>
              <w:rPr/>
              <w:t>​</w:t>
            </w:r>
          </w:p>
        </w:tc>
        <w:tc>
          <w:tcPr>
            <w:tcW w:w="7080" w:type="dxa"/>
            <w:tcBorders/>
            <w:shd w:fill="CEDBE0" w:val="clear"/>
            <w:vAlign w:val="center"/>
          </w:tcPr>
          <w:p>
            <w:pPr>
              <w:pStyle w:val="TableContents"/>
              <w:bidi w:val="0"/>
              <w:spacing w:before="0" w:after="0"/>
              <w:ind w:left="0" w:right="0" w:hanging="0"/>
              <w:jc w:val="both"/>
              <w:rPr>
                <w:rFonts w:ascii="Arial Narrow" w:hAnsi="Arial Narrow"/>
                <w:color w:val="252525"/>
                <w:sz w:val="18"/>
              </w:rPr>
            </w:pPr>
            <w:r>
              <w:rPr>
                <w:rFonts w:ascii="Arial Narrow" w:hAnsi="Arial Narrow"/>
                <w:color w:val="252525"/>
                <w:sz w:val="18"/>
              </w:rPr>
              <w:t>Interactive data files pursuant to Rule 405 of Regulation S-T formatted in Inline Extensible Business Reporting Language: (i) our condensed consolidated statements of operations for the three months ended March 31, 2026 and 2025; (ii) our condensed consolidated statements of comprehensive income (loss) for the three months ended March 31, 2026 and 2025; (iii) our condensed consolidated balance sheets as of March 31, 2026 and December 31, 2025; (iv) our condensed consolidated statements of equity for the three months ended March 31, 2026 and 2025; (v) our condensed consolidated statements of cash flows for the three months ended March 31, 2026 and 2025; and (vi) the notes to condensed consolidated financial statements</w:t>
            </w:r>
          </w:p>
        </w:tc>
        <w:tc>
          <w:tcPr>
            <w:tcW w:w="109" w:type="dxa"/>
            <w:tcBorders/>
            <w:shd w:fill="CEDBE0" w:val="clear"/>
            <w:vAlign w:val="center"/>
          </w:tcPr>
          <w:p>
            <w:pPr>
              <w:pStyle w:val="TableContents"/>
              <w:bidi w:val="0"/>
              <w:spacing w:before="60" w:after="0"/>
              <w:ind w:left="0" w:right="0" w:hanging="0"/>
              <w:jc w:val="both"/>
              <w:rPr/>
            </w:pPr>
            <w:r>
              <w:rPr/>
              <w:t>​</w:t>
            </w:r>
          </w:p>
        </w:tc>
        <w:tc>
          <w:tcPr>
            <w:tcW w:w="2291"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Filed herewith</w:t>
            </w:r>
          </w:p>
        </w:tc>
      </w:tr>
      <w:tr>
        <w:trPr/>
        <w:tc>
          <w:tcPr>
            <w:tcW w:w="152"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104</w:t>
            </w:r>
          </w:p>
        </w:tc>
        <w:tc>
          <w:tcPr>
            <w:tcW w:w="109" w:type="dxa"/>
            <w:tcBorders/>
            <w:vAlign w:val="center"/>
          </w:tcPr>
          <w:p>
            <w:pPr>
              <w:pStyle w:val="TableContents"/>
              <w:bidi w:val="0"/>
              <w:spacing w:before="60" w:after="0"/>
              <w:ind w:left="0" w:right="0" w:hanging="0"/>
              <w:jc w:val="both"/>
              <w:rPr/>
            </w:pPr>
            <w:r>
              <w:rPr/>
              <w:t>​</w:t>
            </w:r>
          </w:p>
        </w:tc>
        <w:tc>
          <w:tcPr>
            <w:tcW w:w="7080"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 xml:space="preserve">The cover page from our quarterly report on Form 10-Q for the quarterly period ended March 31, 2026, formatted in </w:t>
            </w:r>
            <w:r>
              <w:rPr>
                <w:rFonts w:ascii="Arial Narrow" w:hAnsi="Arial Narrow"/>
                <w:color w:val="252525"/>
                <w:sz w:val="18"/>
              </w:rPr>
              <w:t>Inline Extensible Business Reporting Language</w:t>
            </w:r>
          </w:p>
        </w:tc>
        <w:tc>
          <w:tcPr>
            <w:tcW w:w="109" w:type="dxa"/>
            <w:tcBorders/>
            <w:vAlign w:val="center"/>
          </w:tcPr>
          <w:p>
            <w:pPr>
              <w:pStyle w:val="TableContents"/>
              <w:bidi w:val="0"/>
              <w:spacing w:before="60" w:after="0"/>
              <w:ind w:left="0" w:right="0" w:hanging="0"/>
              <w:jc w:val="both"/>
              <w:rPr/>
            </w:pPr>
            <w:r>
              <w:rPr/>
              <w:t>​</w:t>
            </w:r>
          </w:p>
        </w:tc>
        <w:tc>
          <w:tcPr>
            <w:tcW w:w="2291"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Filed herewith</w:t>
            </w:r>
          </w:p>
        </w:tc>
      </w:tr>
    </w:tbl>
    <w:p>
      <w:pPr>
        <w:pStyle w:val="TextBody"/>
        <w:bidi w:val="0"/>
        <w:spacing w:before="0" w:after="120"/>
        <w:ind w:left="0" w:right="0" w:firstLine="720"/>
        <w:jc w:val="both"/>
        <w:rPr/>
      </w:pPr>
      <w:r>
        <w:rPr/>
        <w:t>​</w:t>
      </w:r>
    </w:p>
    <w:p>
      <w:pPr>
        <w:pStyle w:val="TextBody"/>
        <w:bidi w:val="0"/>
        <w:spacing w:before="60" w:after="120"/>
        <w:ind w:left="0" w:right="0" w:firstLine="720"/>
        <w:jc w:val="both"/>
        <w:rPr/>
      </w:pPr>
      <w:r>
        <w:rPr/>
        <w:t>​</w:t>
      </w:r>
    </w:p>
    <w:p>
      <w:pPr>
        <w:pStyle w:val="TextBody"/>
        <w:bidi w:val="0"/>
        <w:spacing w:before="60" w:after="120"/>
        <w:ind w:left="0" w:right="0" w:firstLine="720"/>
        <w:jc w:val="both"/>
        <w:rPr/>
      </w:pPr>
      <w:r>
        <w:rPr/>
        <w:t>​</w:t>
      </w:r>
    </w:p>
    <w:p>
      <w:pPr>
        <w:pStyle w:val="TextBody"/>
        <w:pBdr/>
        <w:bidi w:val="0"/>
        <w:spacing w:before="0" w:after="120"/>
        <w:ind w:left="0" w:right="0" w:firstLine="720"/>
        <w:jc w:val="both"/>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- 21 -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shd w:fill="CEDBE0" w:val="clear"/>
        <w:bidi w:val="0"/>
        <w:spacing w:before="0" w:after="60"/>
        <w:ind w:left="0" w:right="0" w:hanging="1080"/>
        <w:jc w:val="both"/>
        <w:rPr>
          <w:rFonts w:ascii="Arial Narrow" w:hAnsi="Arial Narrow"/>
          <w:b/>
          <w:caps/>
          <w:sz w:val="22"/>
        </w:rPr>
      </w:pPr>
      <w:bookmarkStart w:id="711" w:name="_60f8e277_3a13_4577_8f86_37eda5d200d2"/>
      <w:bookmarkEnd w:id="711"/>
      <w:r>
        <w:rPr>
          <w:rFonts w:ascii="Arial Narrow" w:hAnsi="Arial Narrow"/>
          <w:b/>
          <w:caps/>
          <w:sz w:val="22"/>
        </w:rPr>
        <w:t>Signatures</w:t>
      </w:r>
    </w:p>
    <w:p>
      <w:pPr>
        <w:pStyle w:val="TextBody"/>
        <w:bidi w:val="0"/>
        <w:spacing w:before="60" w:after="120"/>
        <w:ind w:left="0" w:right="0" w:firstLine="720"/>
        <w:jc w:val="both"/>
        <w:rPr>
          <w:rFonts w:ascii="Arial Narrow" w:hAnsi="Arial Narrow"/>
          <w:sz w:val="20"/>
        </w:rPr>
      </w:pPr>
      <w:r>
        <w:rPr>
          <w:rFonts w:ascii="Arial Narrow" w:hAnsi="Arial Narrow"/>
          <w:sz w:val="20"/>
        </w:rPr>
        <w:t>Pursuant to the requirements of Section 13 or 15(d) of the Securities Exchange Act of 1934, the registrant has duly caused this report to be signed on its behalf by the undersigned thereunto duly authorized, on May 5,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 Narrow" w:hAnsi="Arial Narrow"/>
          <w:sz w:val="20"/>
        </w:rPr>
      </w:pPr>
      <w:r>
        <w:rPr>
          <w:rFonts w:ascii="Arial Narrow" w:hAnsi="Arial Narrow"/>
          <w:sz w:val="20"/>
        </w:rPr>
        <w:t>TRANSOCEAN LTD.</w:t>
      </w:r>
    </w:p>
    <w:tbl>
      <w:tblPr>
        <w:tblW w:w="4156" w:type="dxa"/>
        <w:jc w:val="left"/>
        <w:tblInd w:w="0" w:type="dxa"/>
        <w:tblLayout w:type="fixed"/>
        <w:tblCellMar>
          <w:top w:w="0" w:type="dxa"/>
          <w:left w:w="0" w:type="dxa"/>
          <w:bottom w:w="0" w:type="dxa"/>
          <w:right w:w="0" w:type="dxa"/>
        </w:tblCellMar>
      </w:tblPr>
      <w:tblGrid>
        <w:gridCol w:w="346"/>
        <w:gridCol w:w="3547"/>
        <w:gridCol w:w="263"/>
      </w:tblGrid>
      <w:tr>
        <w:trPr/>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52345" cy="175260"/>
                      <wp:effectExtent l="0" t="0" r="0" b="0"/>
                      <wp:wrapNone/>
                      <wp:docPr id="263" name="Frame262"/>
                      <a:graphic xmlns:a="http://schemas.openxmlformats.org/drawingml/2006/main">
                        <a:graphicData uri="http://schemas.microsoft.com/office/word/2010/wordprocessingShape">
                          <wps:wsp>
                            <wps:cNvSpPr txBox="1"/>
                            <wps:spPr>
                              <a:xfrm>
                                <a:off x="0" y="0"/>
                                <a:ext cx="225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7005" cy="175260"/>
                      <wp:effectExtent l="0" t="0" r="0" b="0"/>
                      <wp:wrapNone/>
                      <wp:docPr id="264" name="Frame26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By:</w:t>
            </w:r>
          </w:p>
        </w:tc>
        <w:tc>
          <w:tcPr>
            <w:tcW w:w="3547"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Robert Thaddeus Vayda</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Robert Thaddeus Vayda</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Executive Vice President and Chief Financial Officer</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(Principal Financial Officer)</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both"/>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both"/>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both"/>
              <w:rPr/>
            </w:pPr>
            <w:r>
              <w:rPr/>
              <w:t>​</w:t>
            </w:r>
          </w:p>
        </w:tc>
      </w:tr>
      <w:tr>
        <w:trPr/>
        <w:tc>
          <w:tcPr>
            <w:tcW w:w="34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By:</w:t>
            </w:r>
          </w:p>
        </w:tc>
        <w:tc>
          <w:tcPr>
            <w:tcW w:w="3547"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Jason Pack</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both"/>
              <w:rPr/>
            </w:pPr>
            <w:r>
              <w:rPr/>
              <w:t>​</w:t>
            </w:r>
          </w:p>
        </w:tc>
        <w:tc>
          <w:tcPr>
            <w:tcW w:w="3810" w:type="dxa"/>
            <w:gridSpan w:val="2"/>
            <w:tcBorders/>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Jason Pack</w:t>
            </w:r>
          </w:p>
        </w:tc>
      </w:tr>
      <w:tr>
        <w:trPr/>
        <w:tc>
          <w:tcPr>
            <w:tcW w:w="346" w:type="dxa"/>
            <w:tcBorders/>
            <w:vAlign w:val="center"/>
          </w:tcPr>
          <w:p>
            <w:pPr>
              <w:pStyle w:val="TableContents"/>
              <w:bidi w:val="0"/>
              <w:spacing w:before="0" w:after="0"/>
              <w:ind w:left="0" w:right="0" w:hanging="0"/>
              <w:jc w:val="both"/>
              <w:rPr/>
            </w:pPr>
            <w:r>
              <w:rPr/>
              <w:t>​</w:t>
            </w:r>
          </w:p>
        </w:tc>
        <w:tc>
          <w:tcPr>
            <w:tcW w:w="3810" w:type="dxa"/>
            <w:gridSpan w:val="2"/>
            <w:tcBorders/>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Senior Vice President and Chief Accounting Officer</w:t>
            </w:r>
          </w:p>
        </w:tc>
      </w:tr>
      <w:tr>
        <w:trPr/>
        <w:tc>
          <w:tcPr>
            <w:tcW w:w="346" w:type="dxa"/>
            <w:tcBorders/>
            <w:vAlign w:val="center"/>
          </w:tcPr>
          <w:p>
            <w:pPr>
              <w:pStyle w:val="TableContents"/>
              <w:bidi w:val="0"/>
              <w:spacing w:before="0" w:after="0"/>
              <w:ind w:left="0" w:right="0" w:hanging="0"/>
              <w:jc w:val="both"/>
              <w:rPr/>
            </w:pPr>
            <w:r>
              <w:rPr/>
              <w:t>​</w:t>
            </w:r>
          </w:p>
        </w:tc>
        <w:tc>
          <w:tcPr>
            <w:tcW w:w="3810" w:type="dxa"/>
            <w:gridSpan w:val="2"/>
            <w:tcBorders/>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- 22 -</w:t>
      </w:r>
    </w:p>
    <w:p>
      <w:pPr>
        <w:pStyle w:val="TextBody"/>
        <w:bidi w:val="0"/>
        <w:spacing w:lineRule="auto" w:line="331" w:before="0" w:after="160"/>
        <w:ind w:left="0" w:right="0" w:hanging="0"/>
        <w:jc w:val="right"/>
        <w:rPr>
          <w:rFonts w:ascii="Times New Roman;Times;serif" w:hAnsi="Times New Roman;Times;serif"/>
          <w:sz w:val="22"/>
        </w:rPr>
      </w:pPr>
      <w:bookmarkStart w:id="712" w:name="rig-20260331xex4d1.htm"/>
      <w:bookmarkStart w:id="713" w:name="ksrig20260331xex4d1"/>
      <w:bookmarkEnd w:id="712"/>
      <w:bookmarkEnd w:id="713"/>
      <w:r>
        <w:rPr>
          <w:rFonts w:ascii="Times New Roman;Times;serif" w:hAnsi="Times New Roman;Times;serif"/>
          <w:sz w:val="22"/>
        </w:rPr>
        <w:t>Exhibit 4.1</w:t>
      </w:r>
      <w:r>
        <w:br w:type="page"/>
      </w:r>
    </w:p>
    <w:p>
      <w:pPr>
        <w:pStyle w:val="TextBody"/>
        <w:bidi w:val="0"/>
        <w:spacing w:lineRule="auto" w:line="285" w:before="0" w:after="0"/>
        <w:ind w:left="0" w:right="0" w:hanging="0"/>
        <w:jc w:val="right"/>
        <w:rPr>
          <w:rFonts w:ascii="Times New Roman;Times;serif" w:hAnsi="Times New Roman;Times;serif"/>
          <w:b/>
          <w:i/>
          <w:sz w:val="24"/>
        </w:rPr>
      </w:pPr>
      <w:r>
        <w:rPr>
          <w:rFonts w:ascii="Times New Roman;Times;serif" w:hAnsi="Times New Roman;Times;serif"/>
          <w:b/>
          <w:i/>
          <w:sz w:val="24"/>
        </w:rPr>
        <w:t>Execution Version</w:t>
      </w:r>
    </w:p>
    <w:p>
      <w:pPr>
        <w:pStyle w:val="TextBody"/>
        <w:bidi w:val="0"/>
        <w:spacing w:lineRule="auto" w:line="285" w:before="0" w:after="180"/>
        <w:ind w:left="0" w:right="0" w:hanging="0"/>
        <w:jc w:val="center"/>
        <w:rPr>
          <w:rFonts w:ascii="Times New Roman;Times;serif" w:hAnsi="Times New Roman;Times;serif"/>
          <w:b/>
          <w:sz w:val="24"/>
        </w:rPr>
      </w:pPr>
      <w:r>
        <w:rPr>
          <w:rFonts w:ascii="Times New Roman;Times;serif" w:hAnsi="Times New Roman;Times;serif"/>
          <w:b/>
          <w:sz w:val="24"/>
        </w:rPr>
        <w:t>THIRD SUPPLEMENTAL INDENTURE</w:t>
      </w:r>
    </w:p>
    <w:p>
      <w:pPr>
        <w:pStyle w:val="TextBody"/>
        <w:bidi w:val="0"/>
        <w:spacing w:lineRule="auto" w:line="285" w:before="0" w:after="0"/>
        <w:ind w:left="0" w:right="0" w:firstLine="720"/>
        <w:jc w:val="both"/>
        <w:rPr>
          <w:rFonts w:ascii="Aptos" w:hAnsi="Aptos"/>
          <w:sz w:val="22"/>
        </w:rPr>
      </w:pPr>
      <w:r>
        <w:rPr>
          <w:rFonts w:ascii="Times New Roman;Times;serif" w:hAnsi="Times New Roman;Times;serif"/>
          <w:sz w:val="22"/>
        </w:rPr>
        <w:t>This THIRD SUPPLEMENTAL INDENTURE, dated as of March 2, 2026 (this “</w:t>
      </w:r>
      <w:r>
        <w:rPr>
          <w:rFonts w:ascii="Times New Roman;Times;serif" w:hAnsi="Times New Roman;Times;serif"/>
          <w:sz w:val="22"/>
          <w:u w:val="single"/>
        </w:rPr>
        <w:t>Supplemental Indenture</w:t>
      </w:r>
      <w:r>
        <w:rPr>
          <w:rFonts w:ascii="Aptos" w:hAnsi="Aptos"/>
          <w:sz w:val="22"/>
        </w:rPr>
        <w:t>”</w:t>
      </w:r>
      <w:r>
        <w:rPr>
          <w:rFonts w:ascii="Times New Roman;Times;serif" w:hAnsi="Times New Roman;Times;serif"/>
          <w:sz w:val="22"/>
        </w:rPr>
        <w:t>) is among Transocean International Limited (f/k/a Transocean Inc.), a Bermuda exempted company limited by shares (the “</w:t>
      </w:r>
      <w:r>
        <w:rPr>
          <w:rFonts w:ascii="Times New Roman;Times;serif" w:hAnsi="Times New Roman;Times;serif"/>
          <w:sz w:val="22"/>
          <w:u w:val="single"/>
        </w:rPr>
        <w:t>Company</w:t>
      </w:r>
      <w:r>
        <w:rPr>
          <w:rFonts w:ascii="Aptos" w:hAnsi="Aptos"/>
          <w:sz w:val="22"/>
        </w:rPr>
        <w:t>”</w:t>
      </w:r>
      <w:r>
        <w:rPr>
          <w:rFonts w:ascii="Times New Roman;Times;serif" w:hAnsi="Times New Roman;Times;serif"/>
          <w:sz w:val="22"/>
        </w:rPr>
        <w:t>), GlobalSantaFe Drilling Mexico, S. De R.L. De C.V., a company organized under the laws of Mexico (the “</w:t>
      </w:r>
      <w:r>
        <w:rPr>
          <w:rFonts w:ascii="Times New Roman;Times;serif" w:hAnsi="Times New Roman;Times;serif"/>
          <w:sz w:val="22"/>
          <w:u w:val="single"/>
        </w:rPr>
        <w:t>Additional Guarantor</w:t>
      </w:r>
      <w:r>
        <w:rPr>
          <w:rFonts w:ascii="Aptos" w:hAnsi="Aptos"/>
          <w:sz w:val="22"/>
        </w:rPr>
        <w:t>”</w:t>
      </w:r>
      <w:r>
        <w:rPr>
          <w:rFonts w:ascii="Times New Roman;Times;serif" w:hAnsi="Times New Roman;Times;serif"/>
          <w:sz w:val="22"/>
        </w:rPr>
        <w:t xml:space="preserve">), which is a subsidiary of Transocean Ltd., a limited liability company organized under the laws of Switzerland, each of the other existing Note Parties (as defined in the Indenture referred to below) and Truist Bank, as Trustee and Collateral Agent. </w:t>
      </w:r>
    </w:p>
    <w:p>
      <w:pPr>
        <w:pStyle w:val="TextBody"/>
        <w:bidi w:val="0"/>
        <w:spacing w:lineRule="auto" w:line="285" w:before="360" w:after="0"/>
        <w:ind w:left="0" w:right="0" w:hanging="0"/>
        <w:jc w:val="both"/>
        <w:rPr>
          <w:rFonts w:ascii="Times New Roman;Times;serif" w:hAnsi="Times New Roman;Times;serif"/>
          <w:sz w:val="22"/>
        </w:rPr>
      </w:pPr>
      <w:r>
        <w:rPr>
          <w:rFonts w:ascii="Times New Roman;Times;serif" w:hAnsi="Times New Roman;Times;serif"/>
          <w:sz w:val="22"/>
        </w:rPr>
        <w:t xml:space="preserve">RECITALS </w:t>
      </w:r>
    </w:p>
    <w:p>
      <w:pPr>
        <w:pStyle w:val="TextBody"/>
        <w:bidi w:val="0"/>
        <w:spacing w:lineRule="auto" w:line="285" w:before="180" w:after="0"/>
        <w:ind w:left="0" w:right="0" w:firstLine="720"/>
        <w:jc w:val="both"/>
        <w:rPr>
          <w:rFonts w:ascii="Aptos" w:hAnsi="Aptos"/>
          <w:sz w:val="22"/>
        </w:rPr>
      </w:pPr>
      <w:r>
        <w:rPr>
          <w:rFonts w:ascii="Times New Roman;Times;serif" w:hAnsi="Times New Roman;Times;serif"/>
          <w:sz w:val="22"/>
        </w:rPr>
        <w:t>WHEREAS, the Company, the other Note Parties, the Trustee and the Collateral Agent entered into an Indenture, dated as of January 31, 2023 (as heretofore amended, supplemented or otherwise modified, the “</w:t>
      </w:r>
      <w:r>
        <w:rPr>
          <w:rFonts w:ascii="Times New Roman;Times;serif" w:hAnsi="Times New Roman;Times;serif"/>
          <w:sz w:val="22"/>
          <w:u w:val="single"/>
        </w:rPr>
        <w:t>Indenture</w:t>
      </w:r>
      <w:r>
        <w:rPr>
          <w:rFonts w:ascii="Aptos" w:hAnsi="Aptos"/>
          <w:sz w:val="22"/>
        </w:rPr>
        <w:t>”</w:t>
      </w:r>
      <w:r>
        <w:rPr>
          <w:rFonts w:ascii="Times New Roman;Times;serif" w:hAnsi="Times New Roman;Times;serif"/>
          <w:sz w:val="22"/>
        </w:rPr>
        <w:t>), providing for the issuance of the Company’s 8.75% Senior Secured Notes due 2030 (the “</w:t>
      </w:r>
      <w:r>
        <w:rPr>
          <w:rFonts w:ascii="Times New Roman;Times;serif" w:hAnsi="Times New Roman;Times;serif"/>
          <w:sz w:val="22"/>
          <w:u w:val="single"/>
        </w:rPr>
        <w:t>Securities</w:t>
      </w:r>
      <w:r>
        <w:rPr>
          <w:rFonts w:ascii="Aptos" w:hAnsi="Aptos"/>
          <w:sz w:val="22"/>
        </w:rPr>
        <w:t>”</w:t>
      </w:r>
      <w:r>
        <w:rPr>
          <w:rFonts w:ascii="Times New Roman;Times;serif" w:hAnsi="Times New Roman;Times;serif"/>
          <w:sz w:val="22"/>
        </w:rPr>
        <w:t xml:space="preserve">); </w:t>
      </w:r>
    </w:p>
    <w:p>
      <w:pPr>
        <w:pStyle w:val="TextBody"/>
        <w:bidi w:val="0"/>
        <w:spacing w:lineRule="auto" w:line="285" w:before="180" w:after="0"/>
        <w:ind w:left="0" w:right="0" w:firstLine="720"/>
        <w:jc w:val="both"/>
        <w:rPr>
          <w:rFonts w:ascii="Times New Roman;Times;serif" w:hAnsi="Times New Roman;Times;serif"/>
          <w:sz w:val="22"/>
        </w:rPr>
      </w:pPr>
      <w:r>
        <w:rPr>
          <w:rFonts w:ascii="Times New Roman;Times;serif" w:hAnsi="Times New Roman;Times;serif"/>
          <w:sz w:val="22"/>
        </w:rPr>
        <w:t>WHEREAS, the Indenture provides that under certain circumstances the Additional Guarantor shall execute and deliver to the Trustee and the Collateral Agent a supplemental indenture pursuant to which the Additional Guarantor shall become a Guarantor (as defined in the Indenture); and</w:t>
      </w:r>
    </w:p>
    <w:p>
      <w:pPr>
        <w:pStyle w:val="TextBody"/>
        <w:bidi w:val="0"/>
        <w:spacing w:lineRule="auto" w:line="285" w:before="180" w:after="0"/>
        <w:ind w:left="0" w:right="0" w:firstLine="720"/>
        <w:jc w:val="both"/>
        <w:rPr>
          <w:rFonts w:ascii="Times New Roman;Times;serif" w:hAnsi="Times New Roman;Times;serif"/>
          <w:sz w:val="22"/>
        </w:rPr>
      </w:pPr>
      <w:r>
        <w:rPr>
          <w:rFonts w:ascii="Times New Roman;Times;serif" w:hAnsi="Times New Roman;Times;serif"/>
          <w:sz w:val="22"/>
        </w:rPr>
        <w:t xml:space="preserve">WHEREAS, Section 10.01(d) of the Indenture provides that the Company, the other Note Parties, the Trustee and the Collateral Agent may amend or supplement the Indenture in order to add any additional Guarantor with respect to the Securities, without the consent of the Holders of the Securities; </w:t>
      </w:r>
    </w:p>
    <w:p>
      <w:pPr>
        <w:pStyle w:val="TextBody"/>
        <w:bidi w:val="0"/>
        <w:spacing w:lineRule="auto" w:line="285" w:before="180" w:after="0"/>
        <w:ind w:left="0" w:right="0" w:firstLine="720"/>
        <w:jc w:val="both"/>
        <w:rPr>
          <w:rFonts w:ascii="Times New Roman;Times;serif" w:hAnsi="Times New Roman;Times;serif"/>
          <w:sz w:val="22"/>
        </w:rPr>
      </w:pPr>
      <w:r>
        <w:rPr>
          <w:rFonts w:ascii="Times New Roman;Times;serif" w:hAnsi="Times New Roman;Times;serif"/>
          <w:sz w:val="22"/>
        </w:rPr>
        <w:t xml:space="preserve">NOW, THEREFORE, to comply with the provisions of the Indenture and in consideration of the above premises, the Company, the Additional Guarantor, the other Note Parties, the Trustee and the Collateral Agent covenant and agree for the equal and proportionate benefit of the respective Holders of the Securities as follows: </w:t>
      </w:r>
    </w:p>
    <w:p>
      <w:pPr>
        <w:pStyle w:val="TextBody"/>
        <w:bidi w:val="0"/>
        <w:spacing w:lineRule="auto" w:line="285" w:before="180" w:after="0"/>
        <w:ind w:left="0" w:right="0" w:firstLine="720"/>
        <w:jc w:val="both"/>
        <w:rPr>
          <w:rFonts w:ascii="Aptos" w:hAnsi="Aptos"/>
          <w:sz w:val="22"/>
        </w:rPr>
      </w:pPr>
      <w:r>
        <w:rPr>
          <w:rFonts w:ascii="Times New Roman;Times;serif" w:hAnsi="Times New Roman;Times;serif"/>
          <w:sz w:val="22"/>
        </w:rPr>
        <w:t xml:space="preserve">Section 1. </w:t>
      </w:r>
      <w:r>
        <w:rPr>
          <w:rFonts w:ascii="Times New Roman;Times;serif" w:hAnsi="Times New Roman;Times;serif"/>
          <w:sz w:val="22"/>
          <w:u w:val="single"/>
        </w:rPr>
        <w:t>Capitalized Terms</w:t>
      </w:r>
      <w:r>
        <w:rPr>
          <w:rFonts w:ascii="Times New Roman;Times;serif" w:hAnsi="Times New Roman;Times;serif"/>
          <w:sz w:val="22"/>
        </w:rPr>
        <w:t xml:space="preserve">. Capitalized terms used herein without definition shall have the meanings ascribed to them in the Indenture. </w:t>
      </w:r>
    </w:p>
    <w:p>
      <w:pPr>
        <w:pStyle w:val="TextBody"/>
        <w:bidi w:val="0"/>
        <w:spacing w:lineRule="auto" w:line="285" w:before="180" w:after="0"/>
        <w:ind w:left="0" w:right="0" w:firstLine="720"/>
        <w:jc w:val="both"/>
        <w:rPr>
          <w:rFonts w:ascii="Aptos" w:hAnsi="Aptos"/>
          <w:sz w:val="22"/>
        </w:rPr>
      </w:pPr>
      <w:r>
        <w:rPr>
          <w:rFonts w:ascii="Times New Roman;Times;serif" w:hAnsi="Times New Roman;Times;serif"/>
          <w:sz w:val="22"/>
        </w:rPr>
        <w:t xml:space="preserve">Section 2. </w:t>
      </w:r>
      <w:r>
        <w:rPr>
          <w:rFonts w:ascii="Times New Roman;Times;serif" w:hAnsi="Times New Roman;Times;serif"/>
          <w:sz w:val="22"/>
          <w:u w:val="single"/>
        </w:rPr>
        <w:t>Relation to Indenture</w:t>
      </w:r>
      <w:r>
        <w:rPr>
          <w:rFonts w:ascii="Times New Roman;Times;serif" w:hAnsi="Times New Roman;Times;serif"/>
          <w:sz w:val="22"/>
        </w:rPr>
        <w:t xml:space="preserve">. This Supplemental Indenture is supplemental to the Indenture and does and shall be deemed to form a part of, and shall be construed in connection with and as part of, the Indenture for any and all purposes. </w:t>
      </w:r>
    </w:p>
    <w:p>
      <w:pPr>
        <w:pStyle w:val="TextBody"/>
        <w:bidi w:val="0"/>
        <w:spacing w:lineRule="auto" w:line="285" w:before="180" w:after="0"/>
        <w:ind w:left="0" w:right="0" w:firstLine="720"/>
        <w:jc w:val="both"/>
        <w:rPr>
          <w:rFonts w:ascii="Aptos" w:hAnsi="Aptos"/>
          <w:sz w:val="22"/>
        </w:rPr>
      </w:pPr>
      <w:r>
        <w:rPr>
          <w:rFonts w:ascii="Times New Roman;Times;serif" w:hAnsi="Times New Roman;Times;serif"/>
          <w:sz w:val="22"/>
        </w:rPr>
        <w:t xml:space="preserve">Section 3. </w:t>
      </w:r>
      <w:r>
        <w:rPr>
          <w:rFonts w:ascii="Times New Roman;Times;serif" w:hAnsi="Times New Roman;Times;serif"/>
          <w:sz w:val="22"/>
          <w:u w:val="single"/>
        </w:rPr>
        <w:t>Effectiveness of Supplemental Indenture</w:t>
      </w:r>
      <w:r>
        <w:rPr>
          <w:rFonts w:ascii="Times New Roman;Times;serif" w:hAnsi="Times New Roman;Times;serif"/>
          <w:sz w:val="22"/>
        </w:rPr>
        <w:t xml:space="preserve">. This Supplemental Indenture shall become effective immediately upon its execution and delivery by each of the Company, the Additional Guarantor, the other Note Parties, the Trustee and the Collateral Agent. </w:t>
      </w:r>
    </w:p>
    <w:p>
      <w:pPr>
        <w:pStyle w:val="TextBody"/>
        <w:bidi w:val="0"/>
        <w:spacing w:lineRule="auto" w:line="285" w:before="180" w:after="0"/>
        <w:ind w:left="0" w:right="0" w:firstLine="720"/>
        <w:jc w:val="both"/>
        <w:rPr>
          <w:rFonts w:ascii="Aptos" w:hAnsi="Aptos"/>
          <w:sz w:val="22"/>
        </w:rPr>
      </w:pPr>
      <w:r>
        <w:rPr>
          <w:rFonts w:ascii="Times New Roman;Times;serif" w:hAnsi="Times New Roman;Times;serif"/>
          <w:sz w:val="22"/>
        </w:rPr>
        <w:t xml:space="preserve">Section 4. </w:t>
      </w:r>
      <w:r>
        <w:rPr>
          <w:rFonts w:ascii="Times New Roman;Times;serif" w:hAnsi="Times New Roman;Times;serif"/>
          <w:sz w:val="22"/>
          <w:u w:val="single"/>
        </w:rPr>
        <w:t>Agreement to Guarantee</w:t>
      </w:r>
      <w:r>
        <w:rPr>
          <w:rFonts w:ascii="Times New Roman;Times;serif" w:hAnsi="Times New Roman;Times;serif"/>
          <w:sz w:val="22"/>
        </w:rPr>
        <w:t xml:space="preserve">. The Additional Guarantor hereby agrees to, and by its execution of this Supplemental Indenture hereby does, become a party to the Indenture as a Guarantor and as such shall have all of the rights and is bound by the provisions of the Indenture applicable to Guarantors to the extent provided for and subject to the limitations therein, including Article 11 thereof.  The Additional Guarantor hereby unconditionally and irrevocably guarantees, jointly and severally, on a senior basis to each Holder and to the Trustee and the Collateral Agent and their successors and assigns (a) the full and punctual payment of principal of and interest on the Securities when due, whether at maturity, by acceleration, by redemption or otherwise, and all other monetary obligations of the Company under the Indenture with respect to the Securities and (b) the full and punctual performance within applicable grace periods of all other obligations of the Company under the Indenture with respect to the Securities. </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hanging="0"/>
        <w:jc w:val="left"/>
        <w:rPr>
          <w:rFonts w:ascii="Aptos" w:hAnsi="Aptos"/>
          <w:sz w:val="16"/>
        </w:rPr>
      </w:pPr>
      <w:r>
        <w:rPr>
          <w:rFonts w:ascii="Aptos" w:hAnsi="Aptos"/>
          <w:sz w:val="16"/>
        </w:rPr>
        <w:t>514913740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both"/>
        <w:rPr>
          <w:rFonts w:ascii="Aptos" w:hAnsi="Aptos"/>
          <w:sz w:val="22"/>
        </w:rPr>
      </w:pPr>
      <w:r>
        <w:rPr>
          <w:rFonts w:ascii="Times New Roman;Times;serif" w:hAnsi="Times New Roman;Times;serif"/>
          <w:sz w:val="22"/>
        </w:rPr>
        <w:t xml:space="preserve">Section 5. </w:t>
      </w:r>
      <w:r>
        <w:rPr>
          <w:rFonts w:ascii="Times New Roman;Times;serif" w:hAnsi="Times New Roman;Times;serif"/>
          <w:sz w:val="22"/>
          <w:u w:val="single"/>
        </w:rPr>
        <w:t>Ratification of Obligations</w:t>
      </w:r>
      <w:r>
        <w:rPr>
          <w:rFonts w:ascii="Times New Roman;Times;serif" w:hAnsi="Times New Roman;Times;serif"/>
          <w:sz w:val="22"/>
        </w:rPr>
        <w:t>. Except as specifically modified herein, the Indenture and the Securities are in all respects ratified and confirmed (</w:t>
      </w:r>
      <w:r>
        <w:rPr>
          <w:rFonts w:ascii="Times New Roman;Times;serif" w:hAnsi="Times New Roman;Times;serif"/>
          <w:i/>
          <w:sz w:val="22"/>
        </w:rPr>
        <w:t>mutatis mutandis</w:t>
      </w:r>
      <w:r>
        <w:rPr>
          <w:rFonts w:ascii="Times New Roman;Times;serif" w:hAnsi="Times New Roman;Times;serif"/>
          <w:sz w:val="22"/>
        </w:rPr>
        <w:t xml:space="preserve">) and shall remain in full force and effect in accordance with their terms. </w:t>
      </w:r>
    </w:p>
    <w:p>
      <w:pPr>
        <w:pStyle w:val="TextBody"/>
        <w:bidi w:val="0"/>
        <w:spacing w:lineRule="auto" w:line="285" w:before="180" w:after="0"/>
        <w:ind w:left="0" w:right="0" w:firstLine="720"/>
        <w:jc w:val="both"/>
        <w:rPr>
          <w:rFonts w:ascii="Aptos" w:hAnsi="Aptos"/>
          <w:sz w:val="22"/>
        </w:rPr>
      </w:pPr>
      <w:r>
        <w:rPr>
          <w:rFonts w:ascii="Times New Roman;Times;serif" w:hAnsi="Times New Roman;Times;serif"/>
          <w:sz w:val="22"/>
        </w:rPr>
        <w:t xml:space="preserve">Section 6. </w:t>
      </w:r>
      <w:r>
        <w:rPr>
          <w:rFonts w:ascii="Times New Roman;Times;serif" w:hAnsi="Times New Roman;Times;serif"/>
          <w:sz w:val="22"/>
          <w:u w:val="single"/>
        </w:rPr>
        <w:t>The Trustee and Collateral Agent</w:t>
      </w:r>
      <w:r>
        <w:rPr>
          <w:rFonts w:ascii="Times New Roman;Times;serif" w:hAnsi="Times New Roman;Times;serif"/>
          <w:sz w:val="22"/>
        </w:rPr>
        <w:t xml:space="preserve">. Except as otherwise expressly provided herein, no duties, responsibilities or liabilities are assumed, or shall be construed to be assumed, by the Trustee or the Collateral Agent by reason of this Supplemental Indenture. This Supplemental Indenture is executed and accepted by the Trustee and the Collateral Agent subject to all the terms and conditions set forth in the Indenture with the same force and effect as if those terms and conditions were repeated at length herein and made applicable to the Trustee and the Collateral Agent with respect hereto. The Trustee and the Collateral Agent make no representation as to the validity or sufficiency of this Supplemental Indenture. </w:t>
      </w:r>
    </w:p>
    <w:p>
      <w:pPr>
        <w:pStyle w:val="TextBody"/>
        <w:bidi w:val="0"/>
        <w:spacing w:lineRule="auto" w:line="285" w:before="180" w:after="0"/>
        <w:ind w:left="0" w:right="0" w:firstLine="720"/>
        <w:jc w:val="both"/>
        <w:rPr>
          <w:rFonts w:ascii="Aptos" w:hAnsi="Aptos"/>
          <w:sz w:val="22"/>
        </w:rPr>
      </w:pPr>
      <w:r>
        <w:rPr>
          <w:rFonts w:ascii="Times New Roman;Times;serif" w:hAnsi="Times New Roman;Times;serif"/>
          <w:sz w:val="22"/>
        </w:rPr>
        <w:t xml:space="preserve">Section 7. </w:t>
      </w:r>
      <w:r>
        <w:rPr>
          <w:rFonts w:ascii="Times New Roman;Times;serif" w:hAnsi="Times New Roman;Times;serif"/>
          <w:sz w:val="22"/>
          <w:u w:val="single"/>
        </w:rPr>
        <w:t>Governing Law</w:t>
      </w:r>
      <w:r>
        <w:rPr>
          <w:rFonts w:ascii="Times New Roman;Times;serif" w:hAnsi="Times New Roman;Times;serif"/>
          <w:sz w:val="22"/>
        </w:rPr>
        <w:t xml:space="preserve">. THIS SUPPLEMENTAL INDENTURE SHALL BE GOVERNED BY, AND CONSTRUED IN ACCORDANCE WITH, THE LAWS OF THE STATE OF NEW YORK. </w:t>
      </w:r>
    </w:p>
    <w:p>
      <w:pPr>
        <w:pStyle w:val="TextBody"/>
        <w:bidi w:val="0"/>
        <w:spacing w:lineRule="auto" w:line="285" w:before="180" w:after="0"/>
        <w:ind w:left="0" w:right="0" w:firstLine="720"/>
        <w:jc w:val="both"/>
        <w:rPr>
          <w:rFonts w:ascii="Aptos" w:hAnsi="Aptos"/>
          <w:sz w:val="22"/>
        </w:rPr>
      </w:pPr>
      <w:r>
        <w:rPr>
          <w:rFonts w:ascii="Times New Roman;Times;serif" w:hAnsi="Times New Roman;Times;serif"/>
          <w:sz w:val="22"/>
        </w:rPr>
        <w:t xml:space="preserve">Section 8. </w:t>
      </w:r>
      <w:r>
        <w:rPr>
          <w:rFonts w:ascii="Times New Roman;Times;serif" w:hAnsi="Times New Roman;Times;serif"/>
          <w:sz w:val="22"/>
          <w:u w:val="single"/>
        </w:rPr>
        <w:t>Counterparts</w:t>
      </w:r>
      <w:r>
        <w:rPr>
          <w:rFonts w:ascii="Times New Roman;Times;serif" w:hAnsi="Times New Roman;Times;serif"/>
          <w:sz w:val="22"/>
        </w:rPr>
        <w:t xml:space="preserve">. The parties may sign any number of copies of this Supplemental Indenture. Each signed copy shall be an original, but all of such executed copies together shall represent the same agreement. Signature of the parties hereto transmitted by facsimile or PDF shall be deemed to be their original signatures for all purposes. </w:t>
      </w:r>
    </w:p>
    <w:p>
      <w:pPr>
        <w:pStyle w:val="TextBody"/>
        <w:bidi w:val="0"/>
        <w:spacing w:lineRule="auto" w:line="285" w:before="180" w:after="0"/>
        <w:ind w:left="0" w:right="0" w:hanging="0"/>
        <w:jc w:val="center"/>
        <w:rPr>
          <w:rFonts w:ascii="Aptos" w:hAnsi="Aptos"/>
          <w:sz w:val="22"/>
        </w:rPr>
      </w:pPr>
      <w:r>
        <w:rPr>
          <w:rFonts w:ascii="Times New Roman;Times;serif" w:hAnsi="Times New Roman;Times;serif"/>
          <w:sz w:val="22"/>
        </w:rPr>
        <w:t>[</w:t>
      </w:r>
      <w:r>
        <w:rPr>
          <w:rFonts w:ascii="Times New Roman;Times;serif" w:hAnsi="Times New Roman;Times;serif"/>
          <w:i/>
          <w:sz w:val="22"/>
        </w:rPr>
        <w:t>Signatures on following pages</w:t>
      </w:r>
      <w:r>
        <w:rPr>
          <w:rFonts w:ascii="Times New Roman;Times;serif" w:hAnsi="Times New Roman;Times;serif"/>
          <w:sz w:val="22"/>
        </w:rPr>
        <w:t>]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[Signature Page to Third Supplemental Indenture]</w:t>
      </w:r>
    </w:p>
    <w:p>
      <w:pPr>
        <w:pStyle w:val="HorizontalLine"/>
        <w:pBdr>
          <w:bottom w:val="double" w:sz="2" w:space="0" w:color="808080"/>
        </w:pBdr>
        <w:bidi w:val="0"/>
        <w:spacing w:before="0" w:after="283"/>
        <w:jc w:val="left"/>
        <w:rPr/>
      </w:pPr>
      <w:r>
        <w:rPr/>
      </w:r>
    </w:p>
    <w:tbl>
      <w:tblPr>
        <w:tblW w:w="6135" w:type="dxa"/>
        <w:jc w:val="right"/>
        <w:tblInd w:w="0" w:type="dxa"/>
        <w:tblLayout w:type="fixed"/>
        <w:tblCellMar>
          <w:top w:w="0" w:type="dxa"/>
          <w:left w:w="0" w:type="dxa"/>
          <w:bottom w:w="0" w:type="dxa"/>
          <w:right w:w="0" w:type="dxa"/>
        </w:tblCellMar>
      </w:tblPr>
      <w:tblGrid>
        <w:gridCol w:w="2047"/>
        <w:gridCol w:w="660"/>
        <w:gridCol w:w="3428"/>
      </w:tblGrid>
      <w:tr>
        <w:trPr/>
        <w:tc>
          <w:tcPr>
            <w:tcW w:w="2047" w:type="dxa"/>
            <w:tcBorders/>
            <w:vAlign w:val="center"/>
          </w:tcPr>
          <w:p>
            <w:pPr>
              <w:pStyle w:val="TableContents"/>
              <w:bidi w:val="0"/>
              <w:spacing w:lineRule="auto" w:line="331" w:before="0" w:after="160"/>
              <w:ind w:left="0" w:right="0" w:hanging="0"/>
              <w:jc w:val="left"/>
              <w:rPr/>
            </w:pPr>
            <w:r>
              <w:rPr/>
              <w:t>​</w:t>
            </w:r>
          </w:p>
        </w:tc>
        <w:tc>
          <w:tcPr>
            <w:tcW w:w="660" w:type="dxa"/>
            <w:tcBorders/>
            <w:vAlign w:val="center"/>
          </w:tcPr>
          <w:p>
            <w:pPr>
              <w:pStyle w:val="TableContents"/>
              <w:bidi w:val="0"/>
              <w:spacing w:lineRule="auto" w:line="331" w:before="0" w:after="160"/>
              <w:ind w:left="0" w:right="0" w:hanging="0"/>
              <w:jc w:val="left"/>
              <w:rPr/>
            </w:pPr>
            <w:r>
              <w:rPr/>
              <w:t>​</w:t>
            </w:r>
          </w:p>
        </w:tc>
        <w:tc>
          <w:tcPr>
            <w:tcW w:w="3428" w:type="dxa"/>
            <w:tcBorders/>
            <w:vAlign w:val="center"/>
          </w:tcPr>
          <w:p>
            <w:pPr>
              <w:pStyle w:val="TableContents"/>
              <w:bidi w:val="0"/>
              <w:spacing w:lineRule="auto" w:line="331" w:before="0" w:after="160"/>
              <w:ind w:left="0" w:right="0" w:hanging="0"/>
              <w:jc w:val="left"/>
              <w:rPr/>
            </w:pPr>
            <w:r>
              <w:rPr/>
              <w:t>​</w:t>
            </w:r>
          </w:p>
        </w:tc>
      </w:tr>
      <w:tr>
        <w:trPr/>
        <w:tc>
          <w:tcPr>
            <w:tcW w:w="6135" w:type="dxa"/>
            <w:gridSpan w:val="3"/>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COMPANY:</w:t>
            </w:r>
          </w:p>
        </w:tc>
      </w:tr>
      <w:tr>
        <w:trPr/>
        <w:tc>
          <w:tcPr>
            <w:tcW w:w="6135" w:type="dxa"/>
            <w:gridSpan w:val="3"/>
            <w:tcBorders/>
            <w:vAlign w:val="center"/>
          </w:tcPr>
          <w:p>
            <w:pPr>
              <w:pStyle w:val="TableContents"/>
              <w:bidi w:val="0"/>
              <w:spacing w:lineRule="auto" w:line="331" w:before="0" w:after="160"/>
              <w:ind w:left="0" w:right="0" w:hanging="0"/>
              <w:jc w:val="left"/>
              <w:rPr/>
            </w:pPr>
            <w:r>
              <w:rPr/>
              <w:t>​</w:t>
            </w:r>
          </w:p>
        </w:tc>
      </w:tr>
      <w:tr>
        <w:trPr/>
        <w:tc>
          <w:tcPr>
            <w:tcW w:w="6135"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INTERNATIONAL LIMITED</w:t>
            </w:r>
          </w:p>
          <w:p>
            <w:pPr>
              <w:pStyle w:val="TableContents"/>
              <w:bidi w:val="0"/>
              <w:spacing w:lineRule="auto" w:line="331" w:before="0" w:after="160"/>
              <w:ind w:left="0" w:right="0" w:hanging="0"/>
              <w:jc w:val="left"/>
              <w:rPr/>
            </w:pPr>
            <w:r>
              <w:rPr/>
              <w:t>​</w:t>
            </w:r>
          </w:p>
        </w:tc>
      </w:tr>
      <w:tr>
        <w:trPr/>
        <w:tc>
          <w:tcPr>
            <w:tcW w:w="2047" w:type="dxa"/>
            <w:tcBorders/>
            <w:vAlign w:val="center"/>
          </w:tcPr>
          <w:p>
            <w:pPr>
              <w:pStyle w:val="TableContents"/>
              <w:bidi w:val="0"/>
              <w:spacing w:lineRule="auto" w:line="331" w:before="0" w:after="160"/>
              <w:ind w:left="0" w:right="0" w:hanging="0"/>
              <w:jc w:val="left"/>
              <w:rPr/>
            </w:pPr>
            <w:r>
              <w:rPr/>
              <w:t>​</w:t>
            </w:r>
          </w:p>
        </w:tc>
        <w:tc>
          <w:tcPr>
            <w:tcW w:w="4088" w:type="dxa"/>
            <w:gridSpan w:val="2"/>
            <w:tcBorders/>
            <w:vAlign w:val="center"/>
          </w:tcPr>
          <w:p>
            <w:pPr>
              <w:pStyle w:val="TableContents"/>
              <w:bidi w:val="0"/>
              <w:spacing w:lineRule="auto" w:line="331" w:before="0" w:after="160"/>
              <w:ind w:left="0" w:right="0" w:hanging="0"/>
              <w:jc w:val="left"/>
              <w:rPr/>
            </w:pPr>
            <w:r>
              <w:rPr/>
              <w:t>​</w:t>
            </w:r>
          </w:p>
        </w:tc>
      </w:tr>
      <w:tr>
        <w:trPr/>
        <w:tc>
          <w:tcPr>
            <w:tcW w:w="2047"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60" w:type="dxa"/>
            <w:tcBorders/>
            <w:vAlign w:val="center"/>
          </w:tcPr>
          <w:p>
            <w:pPr>
              <w:pStyle w:val="TableContents"/>
              <w:bidi w:val="0"/>
              <w:spacing w:lineRule="auto" w:line="285" w:before="0" w:after="0"/>
              <w:ind w:left="0" w:right="0" w:hanging="0"/>
              <w:jc w:val="left"/>
              <w:rPr/>
            </w:pPr>
            <w:r>
              <w:rPr/>
              <w:t> </w:t>
            </w:r>
          </w:p>
        </w:tc>
        <w:tc>
          <w:tcPr>
            <w:tcW w:w="3428" w:type="dxa"/>
            <w:tcBorders/>
            <w:vAlign w:val="center"/>
          </w:tcPr>
          <w:p>
            <w:pPr>
              <w:pStyle w:val="TableContents"/>
              <w:pBdr>
                <w:bottom w:val="single" w:sz="2" w:space="1" w:color="000000"/>
              </w:pBdr>
              <w:bidi w:val="0"/>
              <w:spacing w:lineRule="auto" w:line="285" w:before="0" w:after="15"/>
              <w:ind w:left="0" w:right="0" w:hanging="0"/>
              <w:jc w:val="left"/>
              <w:rPr/>
            </w:pPr>
            <w:r>
              <w:rPr/>
              <w:t> </w:t>
            </w:r>
          </w:p>
        </w:tc>
      </w:tr>
      <w:tr>
        <w:trPr/>
        <w:tc>
          <w:tcPr>
            <w:tcW w:w="2047" w:type="dxa"/>
            <w:tcBorders/>
            <w:vAlign w:val="center"/>
          </w:tcPr>
          <w:p>
            <w:pPr>
              <w:pStyle w:val="TableContents"/>
              <w:bidi w:val="0"/>
              <w:spacing w:lineRule="auto" w:line="331" w:before="0" w:after="160"/>
              <w:ind w:left="0" w:right="0" w:hanging="0"/>
              <w:jc w:val="left"/>
              <w:rPr/>
            </w:pPr>
            <w:r>
              <w:rPr/>
              <w:t>​</w:t>
            </w:r>
          </w:p>
        </w:tc>
        <w:tc>
          <w:tcPr>
            <w:tcW w:w="660" w:type="dxa"/>
            <w:tcBorders/>
            <w:vAlign w:val="center"/>
          </w:tcPr>
          <w:p>
            <w:pPr>
              <w:pStyle w:val="TableContents"/>
              <w:bidi w:val="0"/>
              <w:spacing w:lineRule="auto" w:line="285" w:before="0" w:after="0"/>
              <w:ind w:left="0" w:right="0" w:hanging="0"/>
              <w:jc w:val="left"/>
              <w:rPr/>
            </w:pPr>
            <w:r>
              <w:rPr/>
              <w:t> </w:t>
            </w:r>
          </w:p>
        </w:tc>
        <w:tc>
          <w:tcPr>
            <w:tcW w:w="3428"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2047" w:type="dxa"/>
            <w:tcBorders/>
            <w:vAlign w:val="center"/>
          </w:tcPr>
          <w:p>
            <w:pPr>
              <w:pStyle w:val="TableContents"/>
              <w:bidi w:val="0"/>
              <w:spacing w:lineRule="auto" w:line="331" w:before="0" w:after="160"/>
              <w:ind w:left="0" w:right="0" w:hanging="0"/>
              <w:jc w:val="left"/>
              <w:rPr/>
            </w:pPr>
            <w:r>
              <w:rPr/>
              <w:t>​</w:t>
            </w:r>
          </w:p>
        </w:tc>
        <w:tc>
          <w:tcPr>
            <w:tcW w:w="660" w:type="dxa"/>
            <w:tcBorders/>
            <w:vAlign w:val="center"/>
          </w:tcPr>
          <w:p>
            <w:pPr>
              <w:pStyle w:val="TableContents"/>
              <w:bidi w:val="0"/>
              <w:spacing w:lineRule="auto" w:line="285" w:before="0" w:after="0"/>
              <w:ind w:left="0" w:right="0" w:hanging="0"/>
              <w:jc w:val="left"/>
              <w:rPr/>
            </w:pPr>
            <w:r>
              <w:rPr/>
              <w:t> </w:t>
            </w:r>
          </w:p>
        </w:tc>
        <w:tc>
          <w:tcPr>
            <w:tcW w:w="3428"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6135" w:type="dxa"/>
            <w:gridSpan w:val="3"/>
            <w:tcBorders/>
            <w:vAlign w:val="center"/>
          </w:tcPr>
          <w:p>
            <w:pPr>
              <w:pStyle w:val="TableContents"/>
              <w:bidi w:val="0"/>
              <w:spacing w:lineRule="auto" w:line="331" w:before="0" w:after="160"/>
              <w:ind w:left="0" w:right="0" w:hanging="0"/>
              <w:jc w:val="left"/>
              <w:rPr/>
            </w:pPr>
            <w:r>
              <w:rPr/>
              <w:t>​</w:t>
            </w:r>
          </w:p>
        </w:tc>
      </w:tr>
      <w:tr>
        <w:trPr/>
        <w:tc>
          <w:tcPr>
            <w:tcW w:w="6135" w:type="dxa"/>
            <w:gridSpan w:val="3"/>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ADDITIONAL GUARANTOR:</w:t>
            </w:r>
          </w:p>
        </w:tc>
      </w:tr>
      <w:tr>
        <w:trPr/>
        <w:tc>
          <w:tcPr>
            <w:tcW w:w="6135" w:type="dxa"/>
            <w:gridSpan w:val="3"/>
            <w:tcBorders/>
            <w:vAlign w:val="center"/>
          </w:tcPr>
          <w:p>
            <w:pPr>
              <w:pStyle w:val="TableContents"/>
              <w:bidi w:val="0"/>
              <w:spacing w:lineRule="auto" w:line="331" w:before="0" w:after="160"/>
              <w:ind w:left="0" w:right="0" w:hanging="0"/>
              <w:jc w:val="left"/>
              <w:rPr/>
            </w:pPr>
            <w:r>
              <w:rPr/>
              <w:t>​</w:t>
            </w:r>
          </w:p>
        </w:tc>
      </w:tr>
      <w:tr>
        <w:trPr/>
        <w:tc>
          <w:tcPr>
            <w:tcW w:w="6135"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GLOBALSANTAFE DRILLING MEXICO, S. DE R.L. DE C.V.</w:t>
            </w:r>
          </w:p>
        </w:tc>
      </w:tr>
      <w:tr>
        <w:trPr/>
        <w:tc>
          <w:tcPr>
            <w:tcW w:w="2047" w:type="dxa"/>
            <w:tcBorders/>
            <w:vAlign w:val="center"/>
          </w:tcPr>
          <w:p>
            <w:pPr>
              <w:pStyle w:val="TableContents"/>
              <w:bidi w:val="0"/>
              <w:spacing w:lineRule="auto" w:line="331" w:before="0" w:after="160"/>
              <w:ind w:left="0" w:right="0" w:hanging="0"/>
              <w:jc w:val="left"/>
              <w:rPr/>
            </w:pPr>
            <w:r>
              <w:rPr/>
              <w:t>​</w:t>
            </w:r>
          </w:p>
        </w:tc>
        <w:tc>
          <w:tcPr>
            <w:tcW w:w="4088" w:type="dxa"/>
            <w:gridSpan w:val="2"/>
            <w:tcBorders/>
            <w:vAlign w:val="center"/>
          </w:tcPr>
          <w:p>
            <w:pPr>
              <w:pStyle w:val="TableContents"/>
              <w:bidi w:val="0"/>
              <w:spacing w:lineRule="auto" w:line="331" w:before="0" w:after="160"/>
              <w:ind w:left="0" w:right="0" w:hanging="0"/>
              <w:jc w:val="left"/>
              <w:rPr/>
            </w:pPr>
            <w:r>
              <w:rPr/>
              <w:t>​</w:t>
            </w:r>
          </w:p>
        </w:tc>
      </w:tr>
      <w:tr>
        <w:trPr/>
        <w:tc>
          <w:tcPr>
            <w:tcW w:w="2047"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60" w:type="dxa"/>
            <w:tcBorders/>
            <w:vAlign w:val="center"/>
          </w:tcPr>
          <w:p>
            <w:pPr>
              <w:pStyle w:val="TableContents"/>
              <w:bidi w:val="0"/>
              <w:spacing w:lineRule="auto" w:line="285" w:before="0" w:after="0"/>
              <w:ind w:left="0" w:right="0" w:hanging="0"/>
              <w:jc w:val="left"/>
              <w:rPr/>
            </w:pPr>
            <w:r>
              <w:rPr/>
              <w:t> </w:t>
            </w:r>
          </w:p>
        </w:tc>
        <w:tc>
          <w:tcPr>
            <w:tcW w:w="3428" w:type="dxa"/>
            <w:tcBorders/>
            <w:vAlign w:val="center"/>
          </w:tcPr>
          <w:p>
            <w:pPr>
              <w:pStyle w:val="TableContents"/>
              <w:pBdr>
                <w:bottom w:val="single" w:sz="2" w:space="1" w:color="000000"/>
              </w:pBdr>
              <w:bidi w:val="0"/>
              <w:spacing w:lineRule="auto" w:line="285" w:before="0" w:after="15"/>
              <w:ind w:left="0" w:right="0" w:hanging="0"/>
              <w:jc w:val="left"/>
              <w:rPr/>
            </w:pPr>
            <w:r>
              <w:rPr/>
              <w:t> </w:t>
            </w:r>
          </w:p>
        </w:tc>
      </w:tr>
      <w:tr>
        <w:trPr/>
        <w:tc>
          <w:tcPr>
            <w:tcW w:w="2047" w:type="dxa"/>
            <w:tcBorders/>
            <w:vAlign w:val="center"/>
          </w:tcPr>
          <w:p>
            <w:pPr>
              <w:pStyle w:val="TableContents"/>
              <w:bidi w:val="0"/>
              <w:spacing w:lineRule="auto" w:line="331" w:before="0" w:after="160"/>
              <w:ind w:left="0" w:right="0" w:hanging="0"/>
              <w:jc w:val="left"/>
              <w:rPr/>
            </w:pPr>
            <w:r>
              <w:rPr/>
              <w:t>​</w:t>
            </w:r>
          </w:p>
        </w:tc>
        <w:tc>
          <w:tcPr>
            <w:tcW w:w="660" w:type="dxa"/>
            <w:tcBorders/>
            <w:vAlign w:val="center"/>
          </w:tcPr>
          <w:p>
            <w:pPr>
              <w:pStyle w:val="TableContents"/>
              <w:bidi w:val="0"/>
              <w:spacing w:lineRule="auto" w:line="285" w:before="0" w:after="0"/>
              <w:ind w:left="0" w:right="0" w:hanging="0"/>
              <w:jc w:val="left"/>
              <w:rPr/>
            </w:pPr>
            <w:r>
              <w:rPr/>
              <w:t> </w:t>
            </w:r>
          </w:p>
        </w:tc>
        <w:tc>
          <w:tcPr>
            <w:tcW w:w="3428"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2047" w:type="dxa"/>
            <w:tcBorders/>
            <w:vAlign w:val="center"/>
          </w:tcPr>
          <w:p>
            <w:pPr>
              <w:pStyle w:val="TableContents"/>
              <w:bidi w:val="0"/>
              <w:spacing w:lineRule="auto" w:line="331" w:before="0" w:after="160"/>
              <w:ind w:left="0" w:right="0" w:hanging="0"/>
              <w:jc w:val="left"/>
              <w:rPr/>
            </w:pPr>
            <w:r>
              <w:rPr/>
              <w:t>​</w:t>
            </w:r>
          </w:p>
        </w:tc>
        <w:tc>
          <w:tcPr>
            <w:tcW w:w="660" w:type="dxa"/>
            <w:tcBorders/>
            <w:vAlign w:val="center"/>
          </w:tcPr>
          <w:p>
            <w:pPr>
              <w:pStyle w:val="TableContents"/>
              <w:bidi w:val="0"/>
              <w:spacing w:lineRule="auto" w:line="285" w:before="0" w:after="0"/>
              <w:ind w:left="0" w:right="0" w:hanging="0"/>
              <w:jc w:val="left"/>
              <w:rPr/>
            </w:pPr>
            <w:r>
              <w:rPr/>
              <w:t> </w:t>
            </w:r>
          </w:p>
        </w:tc>
        <w:tc>
          <w:tcPr>
            <w:tcW w:w="3428"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bl>
    <w:p>
      <w:pPr>
        <w:pStyle w:val="TextBody"/>
        <w:bidi w:val="0"/>
        <w:spacing w:lineRule="auto" w:line="285" w:before="0" w:after="0"/>
        <w:ind w:left="0" w:right="0" w:hanging="0"/>
        <w:jc w:val="left"/>
        <w:rPr/>
      </w:pPr>
      <w:r>
        <w:rPr/>
        <w:t> </w:t>
      </w:r>
    </w:p>
    <w:tbl>
      <w:tblPr>
        <w:tblW w:w="4214" w:type="dxa"/>
        <w:jc w:val="right"/>
        <w:tblInd w:w="0" w:type="dxa"/>
        <w:tblLayout w:type="fixed"/>
        <w:tblCellMar>
          <w:top w:w="0" w:type="dxa"/>
          <w:left w:w="0" w:type="dxa"/>
          <w:bottom w:w="0" w:type="dxa"/>
          <w:right w:w="0" w:type="dxa"/>
        </w:tblCellMar>
      </w:tblPr>
      <w:tblGrid>
        <w:gridCol w:w="1347"/>
        <w:gridCol w:w="1185"/>
        <w:gridCol w:w="1682"/>
      </w:tblGrid>
      <w:tr>
        <w:trPr/>
        <w:tc>
          <w:tcPr>
            <w:tcW w:w="1347" w:type="dxa"/>
            <w:tcBorders/>
            <w:vAlign w:val="center"/>
          </w:tcPr>
          <w:p>
            <w:pPr>
              <w:pStyle w:val="TableContents"/>
              <w:bidi w:val="0"/>
              <w:spacing w:lineRule="auto" w:line="331" w:before="0" w:after="160"/>
              <w:ind w:left="0" w:right="0" w:hanging="0"/>
              <w:jc w:val="left"/>
              <w:rPr/>
            </w:pPr>
            <w:r>
              <w:rPr/>
              <w:t>​</w:t>
            </w:r>
          </w:p>
        </w:tc>
        <w:tc>
          <w:tcPr>
            <w:tcW w:w="1185" w:type="dxa"/>
            <w:tcBorders/>
            <w:vAlign w:val="center"/>
          </w:tcPr>
          <w:p>
            <w:pPr>
              <w:pStyle w:val="TableContents"/>
              <w:bidi w:val="0"/>
              <w:spacing w:lineRule="auto" w:line="331" w:before="0" w:after="160"/>
              <w:ind w:left="0" w:right="0" w:hanging="0"/>
              <w:jc w:val="left"/>
              <w:rPr/>
            </w:pPr>
            <w:r>
              <w:rPr/>
              <w:t>​</w:t>
            </w:r>
          </w:p>
        </w:tc>
        <w:tc>
          <w:tcPr>
            <w:tcW w:w="1682" w:type="dxa"/>
            <w:tcBorders/>
            <w:vAlign w:val="center"/>
          </w:tcPr>
          <w:p>
            <w:pPr>
              <w:pStyle w:val="TableContents"/>
              <w:bidi w:val="0"/>
              <w:spacing w:lineRule="auto" w:line="331" w:before="0" w:after="160"/>
              <w:ind w:left="0" w:right="0" w:hanging="0"/>
              <w:jc w:val="left"/>
              <w:rPr/>
            </w:pPr>
            <w:r>
              <w:rPr/>
              <w:t>​</w:t>
            </w:r>
          </w:p>
        </w:tc>
      </w:tr>
      <w:tr>
        <w:trPr/>
        <w:tc>
          <w:tcPr>
            <w:tcW w:w="4214" w:type="dxa"/>
            <w:gridSpan w:val="3"/>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EXISTING NOTE PARTIES:</w:t>
            </w:r>
          </w:p>
        </w:tc>
      </w:tr>
      <w:tr>
        <w:trPr/>
        <w:tc>
          <w:tcPr>
            <w:tcW w:w="4214" w:type="dxa"/>
            <w:gridSpan w:val="3"/>
            <w:tcBorders/>
            <w:vAlign w:val="center"/>
          </w:tcPr>
          <w:p>
            <w:pPr>
              <w:pStyle w:val="TableContents"/>
              <w:bidi w:val="0"/>
              <w:spacing w:lineRule="auto" w:line="331" w:before="0" w:after="160"/>
              <w:ind w:left="0" w:right="0" w:hanging="0"/>
              <w:jc w:val="left"/>
              <w:rPr/>
            </w:pPr>
            <w:r>
              <w:rPr/>
              <w:t>​</w:t>
            </w:r>
          </w:p>
        </w:tc>
      </w:tr>
      <w:tr>
        <w:trPr/>
        <w:tc>
          <w:tcPr>
            <w:tcW w:w="4214" w:type="dxa"/>
            <w:gridSpan w:val="3"/>
            <w:tcBorders/>
            <w:vAlign w:val="center"/>
          </w:tcPr>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LTD.</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tc>
      </w:tr>
    </w:tbl>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[Signature Page to Third Supplemental Indenture]</w:t>
      </w:r>
    </w:p>
    <w:p>
      <w:pPr>
        <w:pStyle w:val="HorizontalLine"/>
        <w:pBdr>
          <w:bottom w:val="double" w:sz="2" w:space="0" w:color="808080"/>
        </w:pBdr>
        <w:bidi w:val="0"/>
        <w:spacing w:before="0" w:after="283"/>
        <w:jc w:val="left"/>
        <w:rPr/>
      </w:pPr>
      <w:r>
        <w:rPr/>
      </w:r>
    </w:p>
    <w:tbl>
      <w:tblPr>
        <w:tblW w:w="4216" w:type="dxa"/>
        <w:jc w:val="right"/>
        <w:tblInd w:w="0" w:type="dxa"/>
        <w:tblLayout w:type="fixed"/>
        <w:tblCellMar>
          <w:top w:w="0" w:type="dxa"/>
          <w:left w:w="0" w:type="dxa"/>
          <w:bottom w:w="0" w:type="dxa"/>
          <w:right w:w="0" w:type="dxa"/>
        </w:tblCellMar>
      </w:tblPr>
      <w:tblGrid>
        <w:gridCol w:w="4216"/>
      </w:tblGrid>
      <w:tr>
        <w:trPr/>
        <w:tc>
          <w:tcPr>
            <w:tcW w:w="4216" w:type="dxa"/>
            <w:tcBorders/>
            <w:vAlign w:val="center"/>
          </w:tcPr>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TRITON CAPITAL II GMBH</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PROTEUS LIMITED</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TRITON CAPITAL I GMBH</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GUARDIAN LIMITED</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ENABLER LIMITED</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tc>
      </w:tr>
    </w:tbl>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[Signature Page to Third Supplemental Indenture]</w:t>
      </w:r>
    </w:p>
    <w:p>
      <w:pPr>
        <w:pStyle w:val="HorizontalLine"/>
        <w:pBdr>
          <w:bottom w:val="double" w:sz="2" w:space="0" w:color="808080"/>
        </w:pBdr>
        <w:bidi w:val="0"/>
        <w:spacing w:before="0" w:after="283"/>
        <w:jc w:val="left"/>
        <w:rPr/>
      </w:pPr>
      <w:r>
        <w:rPr/>
      </w:r>
    </w:p>
    <w:tbl>
      <w:tblPr>
        <w:tblW w:w="5055" w:type="dxa"/>
        <w:jc w:val="right"/>
        <w:tblInd w:w="0" w:type="dxa"/>
        <w:tblLayout w:type="fixed"/>
        <w:tblCellMar>
          <w:top w:w="0" w:type="dxa"/>
          <w:left w:w="0" w:type="dxa"/>
          <w:bottom w:w="0" w:type="dxa"/>
          <w:right w:w="0" w:type="dxa"/>
        </w:tblCellMar>
      </w:tblPr>
      <w:tblGrid>
        <w:gridCol w:w="406"/>
        <w:gridCol w:w="1925"/>
        <w:gridCol w:w="2724"/>
      </w:tblGrid>
      <w:tr>
        <w:trPr/>
        <w:tc>
          <w:tcPr>
            <w:tcW w:w="5055"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ENCOURAGE LIMITED</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PONTUS LIMITED</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TRITON GEMINI GMBH</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ENABLER FINANCING LIMITED</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TRANSOCEAN ENCOURAGE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FINANCING LIMITED</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By:_______________________________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406" w:type="dxa"/>
            <w:tcBorders/>
            <w:vAlign w:val="center"/>
          </w:tcPr>
          <w:p>
            <w:pPr>
              <w:pStyle w:val="TableContents"/>
              <w:bidi w:val="0"/>
              <w:spacing w:lineRule="auto" w:line="285" w:before="0" w:after="0"/>
              <w:ind w:left="0" w:right="0" w:hanging="0"/>
              <w:jc w:val="left"/>
              <w:rPr/>
            </w:pPr>
            <w:r>
              <w:rPr/>
              <w:t> </w:t>
            </w:r>
          </w:p>
        </w:tc>
        <w:tc>
          <w:tcPr>
            <w:tcW w:w="1925" w:type="dxa"/>
            <w:tcBorders/>
            <w:vAlign w:val="center"/>
          </w:tcPr>
          <w:p>
            <w:pPr>
              <w:pStyle w:val="TableContents"/>
              <w:bidi w:val="0"/>
              <w:spacing w:lineRule="auto" w:line="331" w:before="0" w:after="160"/>
              <w:ind w:left="0" w:right="0" w:hanging="0"/>
              <w:jc w:val="left"/>
              <w:rPr/>
            </w:pPr>
            <w:r>
              <w:rPr/>
              <w:t>​</w:t>
            </w:r>
          </w:p>
        </w:tc>
        <w:tc>
          <w:tcPr>
            <w:tcW w:w="2724" w:type="dxa"/>
            <w:tcBorders/>
            <w:vAlign w:val="center"/>
          </w:tcPr>
          <w:p>
            <w:pPr>
              <w:pStyle w:val="TableContents"/>
              <w:bidi w:val="0"/>
              <w:spacing w:lineRule="auto" w:line="331" w:before="0" w:after="160"/>
              <w:ind w:left="0" w:right="0" w:hanging="0"/>
              <w:jc w:val="left"/>
              <w:rPr/>
            </w:pPr>
            <w:r>
              <w:rPr/>
              <w:t>​</w:t>
            </w:r>
          </w:p>
        </w:tc>
      </w:tr>
      <w:tr>
        <w:trPr/>
        <w:tc>
          <w:tcPr>
            <w:tcW w:w="5055" w:type="dxa"/>
            <w:gridSpan w:val="3"/>
            <w:tcBorders/>
            <w:vAlign w:val="center"/>
          </w:tcPr>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p>
            <w:pPr>
              <w:pStyle w:val="TableContents"/>
              <w:bidi w:val="0"/>
              <w:spacing w:lineRule="auto" w:line="331" w:before="0" w:after="160"/>
              <w:ind w:left="0" w:right="0" w:hanging="0"/>
              <w:jc w:val="left"/>
              <w:rPr/>
            </w:pPr>
            <w:r>
              <w:rPr/>
              <w:t>​</w:t>
            </w:r>
          </w:p>
        </w:tc>
      </w:tr>
    </w:tbl>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[Signature Page to Third Supplemental Indenture]</w:t>
      </w:r>
    </w:p>
    <w:p>
      <w:pPr>
        <w:pStyle w:val="HorizontalLine"/>
        <w:pBdr>
          <w:bottom w:val="double" w:sz="2" w:space="0" w:color="808080"/>
        </w:pBdr>
        <w:bidi w:val="0"/>
        <w:spacing w:before="0" w:after="283"/>
        <w:jc w:val="left"/>
        <w:rPr/>
      </w:pPr>
      <w:r>
        <w:rPr/>
      </w:r>
    </w:p>
    <w:tbl>
      <w:tblPr>
        <w:tblW w:w="5146" w:type="dxa"/>
        <w:jc w:val="right"/>
        <w:tblInd w:w="0" w:type="dxa"/>
        <w:tblLayout w:type="fixed"/>
        <w:tblCellMar>
          <w:top w:w="0" w:type="dxa"/>
          <w:left w:w="0" w:type="dxa"/>
          <w:bottom w:w="0" w:type="dxa"/>
          <w:right w:w="0" w:type="dxa"/>
        </w:tblCellMar>
      </w:tblPr>
      <w:tblGrid>
        <w:gridCol w:w="736"/>
        <w:gridCol w:w="1910"/>
        <w:gridCol w:w="2500"/>
      </w:tblGrid>
      <w:tr>
        <w:trPr/>
        <w:tc>
          <w:tcPr>
            <w:tcW w:w="5146" w:type="dxa"/>
            <w:gridSpan w:val="3"/>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TRUSTEE AND COLLATERAL AGENT:</w:t>
            </w:r>
          </w:p>
        </w:tc>
      </w:tr>
      <w:tr>
        <w:trPr/>
        <w:tc>
          <w:tcPr>
            <w:tcW w:w="5146" w:type="dxa"/>
            <w:gridSpan w:val="3"/>
            <w:tcBorders/>
            <w:vAlign w:val="center"/>
          </w:tcPr>
          <w:p>
            <w:pPr>
              <w:pStyle w:val="TableContents"/>
              <w:bidi w:val="0"/>
              <w:spacing w:lineRule="auto" w:line="331" w:before="0" w:after="160"/>
              <w:ind w:left="0" w:right="0" w:hanging="0"/>
              <w:jc w:val="left"/>
              <w:rPr/>
            </w:pPr>
            <w:r>
              <w:rPr/>
              <w:t>​</w:t>
            </w:r>
          </w:p>
        </w:tc>
      </w:tr>
      <w:tr>
        <w:trPr/>
        <w:tc>
          <w:tcPr>
            <w:tcW w:w="5146"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TRUIST BANK, as Trustee and Collateral Agent</w:t>
            </w:r>
          </w:p>
        </w:tc>
      </w:tr>
      <w:tr>
        <w:trPr/>
        <w:tc>
          <w:tcPr>
            <w:tcW w:w="736" w:type="dxa"/>
            <w:tcBorders/>
            <w:vAlign w:val="center"/>
          </w:tcPr>
          <w:p>
            <w:pPr>
              <w:pStyle w:val="TableContents"/>
              <w:bidi w:val="0"/>
              <w:spacing w:lineRule="auto" w:line="331" w:before="0" w:after="160"/>
              <w:ind w:left="0" w:right="0" w:hanging="0"/>
              <w:jc w:val="left"/>
              <w:rPr/>
            </w:pPr>
            <w:r>
              <w:rPr/>
              <w:t>​</w:t>
            </w:r>
          </w:p>
        </w:tc>
        <w:tc>
          <w:tcPr>
            <w:tcW w:w="4410" w:type="dxa"/>
            <w:gridSpan w:val="2"/>
            <w:tcBorders/>
            <w:vAlign w:val="center"/>
          </w:tcPr>
          <w:p>
            <w:pPr>
              <w:pStyle w:val="TableContents"/>
              <w:bidi w:val="0"/>
              <w:spacing w:lineRule="auto" w:line="331" w:before="0" w:after="160"/>
              <w:ind w:left="0" w:right="0" w:hanging="0"/>
              <w:jc w:val="left"/>
              <w:rPr/>
            </w:pPr>
            <w:r>
              <w:rPr/>
              <w:t>​</w:t>
            </w:r>
          </w:p>
        </w:tc>
      </w:tr>
      <w:tr>
        <w:trPr/>
        <w:tc>
          <w:tcPr>
            <w:tcW w:w="736" w:type="dxa"/>
            <w:tcBorders/>
            <w:vAlign w:val="center"/>
          </w:tcPr>
          <w:p>
            <w:pPr>
              <w:pStyle w:val="TableContents"/>
              <w:bidi w:val="0"/>
              <w:spacing w:lineRule="auto" w:line="331" w:before="0" w:after="160"/>
              <w:ind w:left="0" w:right="0" w:hanging="0"/>
              <w:jc w:val="left"/>
              <w:rPr/>
            </w:pPr>
            <w:r>
              <w:rPr/>
              <w:t>​</w:t>
            </w:r>
          </w:p>
        </w:tc>
        <w:tc>
          <w:tcPr>
            <w:tcW w:w="4410" w:type="dxa"/>
            <w:gridSpan w:val="2"/>
            <w:tcBorders/>
            <w:vAlign w:val="center"/>
          </w:tcPr>
          <w:p>
            <w:pPr>
              <w:pStyle w:val="TableContents"/>
              <w:bidi w:val="0"/>
              <w:spacing w:lineRule="auto" w:line="331" w:before="0" w:after="160"/>
              <w:ind w:left="0" w:right="0" w:hanging="0"/>
              <w:jc w:val="left"/>
              <w:rPr/>
            </w:pPr>
            <w:r>
              <w:rPr/>
              <w:t>​</w:t>
            </w:r>
          </w:p>
        </w:tc>
      </w:tr>
      <w:tr>
        <w:trPr/>
        <w:tc>
          <w:tcPr>
            <w:tcW w:w="736"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910" w:type="dxa"/>
            <w:tcBorders/>
            <w:vAlign w:val="center"/>
          </w:tcPr>
          <w:p>
            <w:pPr>
              <w:pStyle w:val="TableContents"/>
              <w:bidi w:val="0"/>
              <w:spacing w:lineRule="auto" w:line="285" w:before="0" w:after="0"/>
              <w:ind w:left="0" w:right="0" w:hanging="0"/>
              <w:jc w:val="left"/>
              <w:rPr/>
            </w:pPr>
            <w:r>
              <w:rPr/>
              <w:t> </w:t>
            </w:r>
          </w:p>
        </w:tc>
        <w:tc>
          <w:tcPr>
            <w:tcW w:w="2500" w:type="dxa"/>
            <w:tcBorders/>
            <w:vAlign w:val="center"/>
          </w:tcPr>
          <w:p>
            <w:pPr>
              <w:pStyle w:val="TableContents"/>
              <w:pBdr>
                <w:bottom w:val="single" w:sz="2" w:space="1" w:color="000000"/>
              </w:pBdr>
              <w:bidi w:val="0"/>
              <w:spacing w:lineRule="auto" w:line="285" w:before="0" w:after="15"/>
              <w:ind w:left="0" w:right="0" w:hanging="0"/>
              <w:jc w:val="left"/>
              <w:rPr/>
            </w:pPr>
            <w:r>
              <w:rPr/>
              <w:t> </w:t>
            </w:r>
          </w:p>
        </w:tc>
      </w:tr>
      <w:tr>
        <w:trPr/>
        <w:tc>
          <w:tcPr>
            <w:tcW w:w="736"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910" w:type="dxa"/>
            <w:tcBorders/>
            <w:vAlign w:val="center"/>
          </w:tcPr>
          <w:p>
            <w:pPr>
              <w:pStyle w:val="TableContents"/>
              <w:bidi w:val="0"/>
              <w:spacing w:lineRule="auto" w:line="285" w:before="0" w:after="0"/>
              <w:ind w:left="0" w:right="0" w:hanging="0"/>
              <w:jc w:val="left"/>
              <w:rPr/>
            </w:pPr>
            <w:r>
              <w:rPr/>
              <w:t> </w:t>
            </w:r>
          </w:p>
        </w:tc>
        <w:tc>
          <w:tcPr>
            <w:tcW w:w="2500" w:type="dxa"/>
            <w:tcBorders/>
            <w:vAlign w:val="center"/>
          </w:tcPr>
          <w:p>
            <w:pPr>
              <w:pStyle w:val="TableContents"/>
              <w:bidi w:val="0"/>
              <w:spacing w:lineRule="auto" w:line="331" w:before="0" w:after="160"/>
              <w:ind w:left="0" w:right="0" w:hanging="0"/>
              <w:jc w:val="left"/>
              <w:rPr/>
            </w:pPr>
            <w:r>
              <w:rPr/>
              <w:t>​</w:t>
            </w:r>
          </w:p>
        </w:tc>
      </w:tr>
      <w:tr>
        <w:trPr/>
        <w:tc>
          <w:tcPr>
            <w:tcW w:w="736"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910" w:type="dxa"/>
            <w:tcBorders/>
            <w:vAlign w:val="center"/>
          </w:tcPr>
          <w:p>
            <w:pPr>
              <w:pStyle w:val="TableContents"/>
              <w:bidi w:val="0"/>
              <w:spacing w:lineRule="auto" w:line="285" w:before="0" w:after="0"/>
              <w:ind w:left="0" w:right="0" w:hanging="0"/>
              <w:jc w:val="left"/>
              <w:rPr/>
            </w:pPr>
            <w:r>
              <w:rPr/>
              <w:t> </w:t>
            </w:r>
          </w:p>
        </w:tc>
        <w:tc>
          <w:tcPr>
            <w:tcW w:w="2500" w:type="dxa"/>
            <w:tcBorders/>
            <w:vAlign w:val="center"/>
          </w:tcPr>
          <w:p>
            <w:pPr>
              <w:pStyle w:val="TableContents"/>
              <w:bidi w:val="0"/>
              <w:spacing w:lineRule="auto" w:line="331" w:before="0" w:after="160"/>
              <w:ind w:left="0" w:right="0" w:hanging="0"/>
              <w:jc w:val="left"/>
              <w:rPr/>
            </w:pPr>
            <w:r>
              <w:rPr/>
              <w:t>​</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[Signature Page to Third Supplemental Indenture]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Helvetica;sans-serif" w:hAnsi="Helvetica;sans-serif"/>
          <w:sz w:val="22"/>
        </w:rPr>
      </w:pPr>
      <w:bookmarkStart w:id="714" w:name="rig-20260331xex10d1.htm"/>
      <w:bookmarkStart w:id="715" w:name="ksrig20260331xex10d1"/>
      <w:bookmarkEnd w:id="714"/>
      <w:bookmarkEnd w:id="715"/>
      <w:r>
        <w:rPr>
          <w:rFonts w:ascii="Helvetica;sans-serif" w:hAnsi="Helvetica;sans-serif"/>
          <w:sz w:val="22"/>
        </w:rPr>
        <w:t>Exhibit 10.1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Transocean Ltd. 2015 Long-Term Incentive Plan</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(As Amended and Restated Effective May 30, 2025)</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Appendix A to Award Letter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Terms and Conditions of Awards</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February 5, 2026</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To the extent you are granted an award of (1) Performance Units and (2) Restricted Share Units (the award of the Performance Units and Restricted Share Units together, the “Awards”) under the Transocean Ltd. 2015 Long-Term Incentive Plan, as amended and restated effective May 30, 2025 (the “Plan”) effective as of the date indicated above (the “Grant Date”), the target number of Performance Units and the number of shares of Restricted Share Units subject to such grant is set forth in an award letter to you (the “Award Letter”).  Any such Award is subject to the terms and conditions set forth in the Plan, the Prospectus for the Plan, any rules and regulations adopted by the Committee, and the additional terms and conditions set forth in this Appendix A which forms а part of your Award Letter.  Any terms used in the Award Letter or this Appendix A and not defined herein have the meanings set forth in the Plan.  The terms and provisions of your Award are governed by the terms of the Plan as effective May 30, 2025, and amended from time to time thereafter.  In the event there is an inconsistency between the terms of the Plan and the Award Letter, the terms of the Plan will control.</w:t>
      </w:r>
    </w:p>
    <w:tbl>
      <w:tblPr>
        <w:tblW w:w="3520" w:type="dxa"/>
        <w:jc w:val="left"/>
        <w:tblInd w:w="0" w:type="dxa"/>
        <w:tblLayout w:type="fixed"/>
        <w:tblCellMar>
          <w:top w:w="0" w:type="dxa"/>
          <w:left w:w="0" w:type="dxa"/>
          <w:bottom w:w="0" w:type="dxa"/>
          <w:right w:w="0" w:type="dxa"/>
        </w:tblCellMar>
      </w:tblPr>
      <w:tblGrid>
        <w:gridCol w:w="995"/>
        <w:gridCol w:w="2525"/>
      </w:tblGrid>
      <w:tr>
        <w:trPr/>
        <w:tc>
          <w:tcPr>
            <w:tcW w:w="995"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Section I.</w:t>
            </w:r>
          </w:p>
        </w:tc>
        <w:tc>
          <w:tcPr>
            <w:tcW w:w="252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PERFORMANCE UNITS</w:t>
            </w:r>
          </w:p>
        </w:tc>
      </w:tr>
    </w:tbl>
    <w:tbl>
      <w:tblPr>
        <w:tblW w:w="4810" w:type="dxa"/>
        <w:jc w:val="left"/>
        <w:tblInd w:w="0" w:type="dxa"/>
        <w:tblLayout w:type="fixed"/>
        <w:tblCellMar>
          <w:top w:w="0" w:type="dxa"/>
          <w:left w:w="0" w:type="dxa"/>
          <w:bottom w:w="0" w:type="dxa"/>
          <w:right w:w="0" w:type="dxa"/>
        </w:tblCellMar>
      </w:tblPr>
      <w:tblGrid>
        <w:gridCol w:w="200"/>
        <w:gridCol w:w="461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w:t>
            </w:r>
          </w:p>
        </w:tc>
        <w:tc>
          <w:tcPr>
            <w:tcW w:w="461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Determination of Earned Performance Units</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Total Target Performance Unit Grant</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 xml:space="preserve">For purposes of the Award Letter (including this Appendix A), the term “Total Target Performance Units” shall mean the total number of target Shares (or other consideration) that may be issued to you in respect of the achievement of certain target performance standards as described herein, subject to the terms and conditions hereof. </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Earned Performance Units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exact number of Performance Units that will actually be earned by and issued to you and subject to the vesting described in Section I.2 (the “Earned Performance Units”) will be based upon the achievement by the Company of the performance standard, as described in this Section I.1(b).  </w:t>
      </w:r>
    </w:p>
    <w:p>
      <w:pPr>
        <w:pStyle w:val="TextBody"/>
        <w:bidi w:val="0"/>
        <w:spacing w:before="0" w:after="0"/>
        <w:ind w:left="1440" w:right="0" w:hanging="0"/>
        <w:jc w:val="both"/>
        <w:rPr>
          <w:rFonts w:ascii="Helvetica;sans-serif" w:hAnsi="Helvetica;sans-serif"/>
          <w:sz w:val="22"/>
        </w:rPr>
      </w:pPr>
      <w:r>
        <w:rPr>
          <w:rFonts w:ascii="Helvetica;sans-serif" w:hAnsi="Helvetica;sans-serif"/>
          <w:sz w:val="22"/>
        </w:rPr>
        <w:t xml:space="preserve">After the conclusion of the period beginning January 1, 2026 and ending December 31, 2028 (the “PSU Performance Cycle”), the Committee will make a determination as to the number of Earned Performance Units based on performance standards established for free cash flow (“FCF”) and the Company’s relative performance on total shareholder return (“TSR”) as compared against a peer group (as identified in Exhibit A).  FCF performance will be measured over the three twelve-month calendar periods during the PSU Performance Cycle, with performance achievement calculated between 0% and 200% for each twelve-month period (the “FCF Performance Percentage”), and then the average of the resulting three FCF Performance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Appendix A</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Percentages will be calculated (the “Average FCF Performance Percentage”).  The Average FCF Performance Percentage will be modified by applying a percentage between negative 25% and positive 25% (the “TSR Modifier”) determined based on the Company’s relative performance on TSR as compared against a peer group (as identified in Exhibit A) over the PSU Performance Cycle, and the result shall be referred to as the “Combined Performance Achievement Percentage.” The determination by the Committee of the Average FCF Performance Percentage and the TSR Modifier will be made following the end of the PSU Performance Cycle after all necessary Company and peer information is available.  The specific date on which such determination is formally made and approved by the Committee is referred to as the “Determination Date”.  After the Determination Date, the Company will notify you of the number of Earned Performance Units, if any.</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More detailed definitions for FCF and TSR and the methodology for determining the Combined Performance Achievement Percentage and the resulting number of Earned Performance Units are incorporated herein as Exhibit A.</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Committee Determinations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Committee shall have absolute discretion to determine the number of Earned Performance Units to which you are entitled, if any, including without limitation such adjustments as may be necessary in the opinion of the Committee to account for changes since the date of the Award Letter.  The Committee’s determination shall be final, conclusive and binding upon you.  You shall not have any right or claim with respect to any units other than Earned Performance Units to which you become entitled based on action by the Committee in accordance with this Appendix A.</w:t>
      </w:r>
    </w:p>
    <w:tbl>
      <w:tblPr>
        <w:tblW w:w="1015" w:type="dxa"/>
        <w:jc w:val="left"/>
        <w:tblInd w:w="0" w:type="dxa"/>
        <w:tblLayout w:type="fixed"/>
        <w:tblCellMar>
          <w:top w:w="0" w:type="dxa"/>
          <w:left w:w="0" w:type="dxa"/>
          <w:bottom w:w="0" w:type="dxa"/>
          <w:right w:w="0" w:type="dxa"/>
        </w:tblCellMar>
      </w:tblPr>
      <w:tblGrid>
        <w:gridCol w:w="200"/>
        <w:gridCol w:w="81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w:t>
            </w:r>
          </w:p>
        </w:tc>
        <w:tc>
          <w:tcPr>
            <w:tcW w:w="81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Vesting</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(a)Unless vested on an earlier date as provided in this Appendix A, the Earned Performance Units will be vested on December 31, 2028, subject to your continued employment through that date.</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(b)In certain circumstances more particularly described in Sections I.5 and I.6 below, your Earned Performance Units may vest before the date set forth in Section I.2(a) or may continue to vest following your Termination of Employment.  In addition, the Committee may accelerate the vesting of all or a portion of your Earned Performance Units at any time in its discretion</w:t>
      </w:r>
      <w:bookmarkStart w:id="716" w:name="_Hlk157776809"/>
      <w:bookmarkEnd w:id="716"/>
      <w:r>
        <w:rPr>
          <w:rFonts w:ascii="Helvetica;sans-serif" w:hAnsi="Helvetica;sans-serif"/>
          <w:sz w:val="22"/>
        </w:rPr>
        <w:t>, subject to Section III.8.</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(c)You do not need to pay any purchase price for the Earned Performance Units unless otherwise required in accordance with applicable law.</w:t>
      </w:r>
    </w:p>
    <w:tbl>
      <w:tblPr>
        <w:tblW w:w="1495" w:type="dxa"/>
        <w:jc w:val="left"/>
        <w:tblInd w:w="0" w:type="dxa"/>
        <w:tblLayout w:type="fixed"/>
        <w:tblCellMar>
          <w:top w:w="0" w:type="dxa"/>
          <w:left w:w="0" w:type="dxa"/>
          <w:bottom w:w="0" w:type="dxa"/>
          <w:right w:w="0" w:type="dxa"/>
        </w:tblCellMar>
      </w:tblPr>
      <w:tblGrid>
        <w:gridCol w:w="200"/>
        <w:gridCol w:w="129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w:t>
            </w:r>
          </w:p>
        </w:tc>
        <w:tc>
          <w:tcPr>
            <w:tcW w:w="129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Restrictions</w:t>
            </w:r>
          </w:p>
        </w:tc>
      </w:tr>
    </w:tbl>
    <w:p>
      <w:pPr>
        <w:pStyle w:val="TextBody"/>
        <w:bidi w:val="0"/>
        <w:spacing w:before="0" w:after="0"/>
        <w:ind w:left="720" w:right="0" w:hanging="0"/>
        <w:jc w:val="both"/>
        <w:rPr>
          <w:rFonts w:ascii="Helvetica;sans-serif" w:hAnsi="Helvetica;sans-serif"/>
          <w:sz w:val="22"/>
        </w:rPr>
      </w:pPr>
      <w:r>
        <w:rPr>
          <w:rFonts w:ascii="Helvetica;sans-serif" w:hAnsi="Helvetica;sans-serif"/>
          <w:sz w:val="22"/>
        </w:rPr>
        <w:t xml:space="preserve">Until and unless you vest in your Earned Performance Units and receive a distribution of Shares, you do not own any of the Shares potentially subject to this performance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award and may not attempt to sell, transfer, assign or pledge any such Shares.  After the PSU Performance Cycle has ended and all Earned Performance Units are determined, the net Shares (total Shares distributable in respect of vested Earned Performance Units minus any Shares retained by the Company in accordance with the policies and requirements described in Section IV.4) will be delivered on March 15, 2028 in street name to your brokerage account (or, in the event of your death, to a brokerage account in the name of your beneficiary under the Plan) with the broker retained by the Company for such purpose (the “Broker”).  Any Shares distributed to you in respect of vested Earned Performance Units will be registered in your name and will not be subject to any restrictions.  Notwithstanding the foregoing, the number of Shares distributed to you will be subject to the number of Shares that remain available for issuance under Paragraph 5 of the Plan, as amended, and the Committee may make such adjustment as it deems appropriate to the number of Shares distributed to reflect any limitation on Shares available.  </w:t>
      </w:r>
    </w:p>
    <w:tbl>
      <w:tblPr>
        <w:tblW w:w="4810" w:type="dxa"/>
        <w:jc w:val="left"/>
        <w:tblInd w:w="0" w:type="dxa"/>
        <w:tblLayout w:type="fixed"/>
        <w:tblCellMar>
          <w:top w:w="0" w:type="dxa"/>
          <w:left w:w="0" w:type="dxa"/>
          <w:bottom w:w="0" w:type="dxa"/>
          <w:right w:w="0" w:type="dxa"/>
        </w:tblCellMar>
      </w:tblPr>
      <w:tblGrid>
        <w:gridCol w:w="200"/>
        <w:gridCol w:w="461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w:t>
            </w:r>
          </w:p>
        </w:tc>
        <w:tc>
          <w:tcPr>
            <w:tcW w:w="461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Dividend Equivalents, Dividends and Voting</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Vested Earned Performance Units</w:t>
      </w:r>
      <w:r>
        <w:rPr>
          <w:rFonts w:ascii="Helvetica;sans-serif" w:hAnsi="Helvetica;sans-serif"/>
          <w:sz w:val="22"/>
        </w:rPr>
        <w:t>.  In the event that dividends are paid with respect to Shares such that the applicable record date for such dividends occurs during the period beginning on the Grant Date and ending on the date you receive a distribution of Shares in satisfaction of your vested Earned Performance Units, you will be entitled to receive a cash payment equal to the amount of the dividend paid per Share as of each such dividend payment date multiplied by the number of vested Earned Performance Units (the “Earned Dividend Equivalent”).  You will have no right to receive any payment of dividend equivalents with respect to Performance Units that do not become vested Earned Performance Units.  All Earned Dividend Equivalents (if any) will be paid in cash on the date of the regularly scheduled payroll next following the date of distribution of Shares with respect to your vested Earned Performance Units, or as soon as administratively practicable following such date and shall be subject to all applicable withholding taxes.  For any non-cash dividends, the Committee may determine in its sole discretion the cash value to be so paid to you in respect of such vested Earned Performance Units or, if applicable, the adjustment to be applied pursuant to Section 15 of the Plan.</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Voting Shares</w:t>
      </w:r>
      <w:r>
        <w:rPr>
          <w:rFonts w:ascii="Helvetica;sans-serif" w:hAnsi="Helvetica;sans-serif"/>
          <w:sz w:val="22"/>
        </w:rPr>
        <w:t>.  You will have the right to vote your Shares that have been distributed in respect of any vested Earned Performance Units. There are no voting rights associated with Performance Units (including Earned Performance Units).</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No Other Rights</w:t>
      </w:r>
      <w:r>
        <w:rPr>
          <w:rFonts w:ascii="Helvetica;sans-serif" w:hAnsi="Helvetica;sans-serif"/>
          <w:sz w:val="22"/>
        </w:rPr>
        <w:t>.  You shall have no other dividend equivalent, dividend or voting rights with respect to any Performance Unit.</w:t>
      </w:r>
    </w:p>
    <w:tbl>
      <w:tblPr>
        <w:tblW w:w="3130" w:type="dxa"/>
        <w:jc w:val="left"/>
        <w:tblInd w:w="0" w:type="dxa"/>
        <w:tblLayout w:type="fixed"/>
        <w:tblCellMar>
          <w:top w:w="0" w:type="dxa"/>
          <w:left w:w="0" w:type="dxa"/>
          <w:bottom w:w="0" w:type="dxa"/>
          <w:right w:w="0" w:type="dxa"/>
        </w:tblCellMar>
      </w:tblPr>
      <w:tblGrid>
        <w:gridCol w:w="200"/>
        <w:gridCol w:w="293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w:t>
            </w:r>
          </w:p>
        </w:tc>
        <w:tc>
          <w:tcPr>
            <w:tcW w:w="293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Termination of Employment</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Termination prior to the end of the PSU Performance Cycle</w:t>
      </w:r>
    </w:p>
    <w:p>
      <w:pPr>
        <w:pStyle w:val="TextBody"/>
        <w:bidi w:val="0"/>
        <w:spacing w:before="0" w:after="0"/>
        <w:ind w:left="1440" w:right="0" w:hanging="0"/>
        <w:jc w:val="both"/>
        <w:rPr>
          <w:rFonts w:ascii="Helvetica;sans-serif" w:hAnsi="Helvetica;sans-serif"/>
          <w:sz w:val="22"/>
        </w:rPr>
      </w:pPr>
      <w:r>
        <w:rPr>
          <w:rFonts w:ascii="Helvetica;sans-serif" w:hAnsi="Helvetica;sans-serif"/>
          <w:sz w:val="22"/>
        </w:rPr>
        <w:t xml:space="preserve">The terms set out in subsections (i)–(iii) below of this Section I.5(a) shall apply to the vesting and settlement of Earned Performance Units in the event of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your Termination of Employment prior to the last day of the PSU Performance Cycle.</w:t>
      </w:r>
    </w:p>
    <w:p>
      <w:pPr>
        <w:pStyle w:val="TextBody"/>
        <w:bidi w:val="0"/>
        <w:spacing w:before="0" w:after="240"/>
        <w:ind w:left="1440" w:right="0" w:hanging="0"/>
        <w:jc w:val="both"/>
        <w:rPr>
          <w:rFonts w:ascii="Times New Roman;Times;serif" w:hAnsi="Times New Roman;Times;serif"/>
          <w:sz w:val="24"/>
        </w:rPr>
      </w:pPr>
      <w:r>
        <w:rPr>
          <w:rFonts w:ascii="Helvetica;sans-serif" w:hAnsi="Helvetica;sans-serif"/>
          <w:sz w:val="22"/>
        </w:rPr>
        <w:t>(i)</w:t>
      </w:r>
      <w:r>
        <w:rPr>
          <w:rFonts w:ascii="Helvetica;sans-serif" w:hAnsi="Helvetica;sans-serif"/>
          <w:b/>
          <w:sz w:val="22"/>
        </w:rPr>
        <w:t>Death or Disability</w:t>
      </w:r>
      <w:r>
        <w:rPr>
          <w:rFonts w:ascii="Helvetica;sans-serif" w:hAnsi="Helvetica;sans-serif"/>
          <w:sz w:val="22"/>
        </w:rPr>
        <w:t>.  If you have a Termination of Employment by reason of death or Disability prior to the first anniversary of the Grant Date, you will be entitled to earn a Pro-Rata Earned Award.  Distribution under Section I.3 in satisfaction of all such Earned Performance Units shall be made on March 15, 2029. If your Termination of Employment is by reason of death or Disability on or after the first anniversary of the Grant Date, you will continue to earn your Performance Units as if you had remained continuously employed through December 31, 2028.</w:t>
      </w:r>
    </w:p>
    <w:p>
      <w:pPr>
        <w:pStyle w:val="TextBody"/>
        <w:bidi w:val="0"/>
        <w:spacing w:before="0" w:after="240"/>
        <w:ind w:left="1440" w:right="0" w:hanging="0"/>
        <w:jc w:val="both"/>
        <w:rPr>
          <w:rFonts w:ascii="Times New Roman;Times;serif" w:hAnsi="Times New Roman;Times;serif"/>
          <w:sz w:val="24"/>
        </w:rPr>
      </w:pPr>
      <w:r>
        <w:rPr>
          <w:rFonts w:ascii="Helvetica;sans-serif" w:hAnsi="Helvetica;sans-serif"/>
          <w:sz w:val="22"/>
        </w:rPr>
        <w:t>(ii)</w:t>
      </w:r>
      <w:r>
        <w:rPr>
          <w:rFonts w:ascii="Helvetica;sans-serif" w:hAnsi="Helvetica;sans-serif"/>
          <w:b/>
          <w:sz w:val="22"/>
        </w:rPr>
        <w:t>Involuntary Termination or Retirement</w:t>
      </w:r>
      <w:r>
        <w:rPr>
          <w:rFonts w:ascii="Helvetica;sans-serif" w:hAnsi="Helvetica;sans-serif"/>
          <w:sz w:val="22"/>
        </w:rPr>
        <w:t>.  If you have an Involuntary Termination or you become a Retiree prior to the first anniversary of the Grant Date, you will be entitled to earn a Pro-Rata Earned Award.  Distribution under Section I.3 in satisfaction of all such Earned Performance Units shall be made on March 15, 2029. If you have an Involuntary Termination or you become a Retiree on or after the first anniversary of the Grant Date, you will continue to earn your Performance Units as if you had remained continuously employed through December 31, 2028. Notwithstanding the preceding and to the extent permissible under applicable law, your right to any Earned Performance Units shall be forfeited on the date you first provide services to a Competitor, as described in Section III below.  </w:t>
      </w:r>
    </w:p>
    <w:p>
      <w:pPr>
        <w:pStyle w:val="TextBody"/>
        <w:bidi w:val="0"/>
        <w:spacing w:before="0" w:after="240"/>
        <w:ind w:left="1440" w:right="0" w:hanging="0"/>
        <w:jc w:val="both"/>
        <w:rPr>
          <w:rFonts w:ascii="Times New Roman;Times;serif" w:hAnsi="Times New Roman;Times;serif"/>
          <w:sz w:val="24"/>
        </w:rPr>
      </w:pPr>
      <w:r>
        <w:rPr>
          <w:rFonts w:ascii="Helvetica;sans-serif" w:hAnsi="Helvetica;sans-serif"/>
          <w:sz w:val="22"/>
        </w:rPr>
        <w:t>(iii)</w:t>
      </w:r>
      <w:r>
        <w:rPr>
          <w:rFonts w:ascii="Helvetica;sans-serif" w:hAnsi="Helvetica;sans-serif"/>
          <w:b/>
          <w:sz w:val="22"/>
        </w:rPr>
        <w:t>Other Termination of Employment</w:t>
      </w:r>
      <w:r>
        <w:rPr>
          <w:rFonts w:ascii="Helvetica;sans-serif" w:hAnsi="Helvetica;sans-serif"/>
          <w:sz w:val="22"/>
        </w:rPr>
        <w:t>.  If you have a Termination of Employment prior to the end of the PSU Performance Cycle for any reason other than those set forth in Section I.5(a)(i), I.5(a)(ii) and I.6(b), you will not be entitled to any Earned Performance Units.</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Adjustments by the Committee</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Committee may, in its sole discretion, accelerate the vesting of your right to receive all or any portion of any Earned Performance Units, distributed on the distribution date under Section I.3.</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Forfeiture of Performance Units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In addition to forfeitures of Performance Units pursuant to Section I.5(a) above, if you violate or fail to comply with any of the covenants or obligations applicable to you, you shall immediately forfeit any Performance Units, whether or not earned.</w:t>
      </w:r>
    </w:p>
    <w:tbl>
      <w:tblPr>
        <w:tblW w:w="2155" w:type="dxa"/>
        <w:jc w:val="left"/>
        <w:tblInd w:w="0" w:type="dxa"/>
        <w:tblLayout w:type="fixed"/>
        <w:tblCellMar>
          <w:top w:w="0" w:type="dxa"/>
          <w:left w:w="0" w:type="dxa"/>
          <w:bottom w:w="0" w:type="dxa"/>
          <w:right w:w="0" w:type="dxa"/>
        </w:tblCellMar>
      </w:tblPr>
      <w:tblGrid>
        <w:gridCol w:w="200"/>
        <w:gridCol w:w="195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w:t>
            </w:r>
          </w:p>
        </w:tc>
        <w:tc>
          <w:tcPr>
            <w:tcW w:w="195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Change of Control</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Change of Control</w:t>
      </w:r>
    </w:p>
    <w:p>
      <w:pPr>
        <w:pStyle w:val="TextBody"/>
        <w:bidi w:val="0"/>
        <w:spacing w:before="0" w:after="0"/>
        <w:ind w:left="1440" w:right="0" w:hanging="0"/>
        <w:jc w:val="both"/>
        <w:rPr>
          <w:rFonts w:ascii="Helvetica;sans-serif" w:hAnsi="Helvetica;sans-serif"/>
          <w:sz w:val="22"/>
        </w:rPr>
      </w:pPr>
      <w:r>
        <w:rPr>
          <w:rFonts w:ascii="Helvetica;sans-serif" w:hAnsi="Helvetica;sans-serif"/>
          <w:sz w:val="22"/>
        </w:rPr>
        <w:t xml:space="preserve">Upon the occurrence of a Change of Control, if you are employed by the Company on the date of such Change of Control and the Determination Date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has not occurred, the number of Earned Performance Units to which you are entitled shall be equal to the Total Target Performance Units, subject to the vesting provisions described in the Award Letter and Section I.2, I.5, and I.6(b).</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Shares (or other consideration) shall be issued in satisfaction of the Earned Performance Units on the distribution date under Section I.3.</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Change of Control Termination</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Notwithstanding the provisions of the Award Letter or Sections I.2, I.5 or I.6(a), all of your Earned Performance Units (as described in Section I.6(a)) will vest immediately upon a Change of Control Termination and the Shares (or other consideration) shall be issued in satisfaction of the Earned Performance Units thirty days after the date of such Change of Control Termination.</w:t>
      </w:r>
    </w:p>
    <w:tbl>
      <w:tblPr>
        <w:tblW w:w="4105" w:type="dxa"/>
        <w:jc w:val="left"/>
        <w:tblInd w:w="0" w:type="dxa"/>
        <w:tblLayout w:type="fixed"/>
        <w:tblCellMar>
          <w:top w:w="0" w:type="dxa"/>
          <w:left w:w="0" w:type="dxa"/>
          <w:bottom w:w="0" w:type="dxa"/>
          <w:right w:w="0" w:type="dxa"/>
        </w:tblCellMar>
      </w:tblPr>
      <w:tblGrid>
        <w:gridCol w:w="1055"/>
        <w:gridCol w:w="3050"/>
      </w:tblGrid>
      <w:tr>
        <w:trPr/>
        <w:tc>
          <w:tcPr>
            <w:tcW w:w="1055"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Section II.</w:t>
            </w:r>
          </w:p>
        </w:tc>
        <w:tc>
          <w:tcPr>
            <w:tcW w:w="305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RESTRICTED SHARE UNITS</w:t>
            </w:r>
          </w:p>
        </w:tc>
      </w:tr>
    </w:tbl>
    <w:tbl>
      <w:tblPr>
        <w:tblW w:w="3895" w:type="dxa"/>
        <w:jc w:val="left"/>
        <w:tblInd w:w="0" w:type="dxa"/>
        <w:tblLayout w:type="fixed"/>
        <w:tblCellMar>
          <w:top w:w="0" w:type="dxa"/>
          <w:left w:w="0" w:type="dxa"/>
          <w:bottom w:w="0" w:type="dxa"/>
          <w:right w:w="0" w:type="dxa"/>
        </w:tblCellMar>
      </w:tblPr>
      <w:tblGrid>
        <w:gridCol w:w="200"/>
        <w:gridCol w:w="369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w:t>
            </w:r>
          </w:p>
        </w:tc>
        <w:tc>
          <w:tcPr>
            <w:tcW w:w="369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Vesting and Restricted Share Units</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(a)Unless vested on an earlier date as provided in this Appendix A, the Restricted Share Units granted pursuant to your Award Letter will fully vest in installments in accordance with the following vesting schedule (each date below, an “RSU Vesting Date”) provided that you do not have a Termination of Employment prior to the applicable RSU Vesting Date:</w:t>
      </w:r>
    </w:p>
    <w:tbl>
      <w:tblPr>
        <w:tblW w:w="6482" w:type="dxa"/>
        <w:jc w:val="left"/>
        <w:tblInd w:w="0" w:type="dxa"/>
        <w:tblLayout w:type="fixed"/>
        <w:tblCellMar>
          <w:top w:w="28" w:type="dxa"/>
          <w:left w:w="112" w:type="dxa"/>
          <w:bottom w:w="28" w:type="dxa"/>
          <w:right w:w="112" w:type="dxa"/>
        </w:tblCellMar>
      </w:tblPr>
      <w:tblGrid>
        <w:gridCol w:w="1996"/>
        <w:gridCol w:w="4486"/>
      </w:tblGrid>
      <w:tr>
        <w:trPr/>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58"/>
              <w:ind w:left="0" w:right="0" w:hanging="0"/>
              <w:jc w:val="center"/>
              <w:rPr>
                <w:rFonts w:ascii="Helvetica;sans-serif" w:hAnsi="Helvetica;sans-serif"/>
                <w:b/>
                <w:sz w:val="22"/>
              </w:rPr>
            </w:pPr>
            <w:r>
              <w:rPr>
                <w:rFonts w:ascii="Helvetica;sans-serif" w:hAnsi="Helvetica;sans-serif"/>
                <w:b/>
                <w:sz w:val="22"/>
              </w:rPr>
              <w:t>RSU Vesting Date</w:t>
            </w:r>
          </w:p>
        </w:tc>
        <w:tc>
          <w:tcPr>
            <w:tcW w:w="4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58"/>
              <w:ind w:left="0" w:right="0" w:hanging="0"/>
              <w:jc w:val="center"/>
              <w:rPr>
                <w:rFonts w:ascii="Helvetica;sans-serif" w:hAnsi="Helvetica;sans-serif"/>
                <w:b/>
                <w:sz w:val="22"/>
              </w:rPr>
            </w:pPr>
            <w:r>
              <w:rPr>
                <w:rFonts w:ascii="Helvetica;sans-serif" w:hAnsi="Helvetica;sans-serif"/>
                <w:b/>
                <w:sz w:val="22"/>
              </w:rPr>
              <w:t>Portion of Restricted Share Units Vesting</w:t>
            </w:r>
          </w:p>
        </w:tc>
      </w:tr>
      <w:tr>
        <w:trPr/>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March 1, 2027</w:t>
            </w:r>
          </w:p>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March 1, 2028</w:t>
            </w:r>
          </w:p>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March 1, 2029</w:t>
            </w:r>
          </w:p>
        </w:tc>
        <w:tc>
          <w:tcPr>
            <w:tcW w:w="4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1/3</w:t>
            </w:r>
          </w:p>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1/3</w:t>
            </w:r>
          </w:p>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1/3</w:t>
            </w:r>
          </w:p>
        </w:tc>
      </w:tr>
    </w:tbl>
    <w:p>
      <w:pPr>
        <w:pStyle w:val="TextBody"/>
        <w:bidi w:val="0"/>
        <w:spacing w:before="0" w:after="240"/>
        <w:ind w:left="0" w:right="0" w:hanging="0"/>
        <w:jc w:val="both"/>
        <w:rPr/>
      </w:pPr>
      <w:r>
        <w:rPr/>
        <w:t>​</w:t>
      </w:r>
    </w:p>
    <w:p>
      <w:pPr>
        <w:pStyle w:val="TextBody"/>
        <w:bidi w:val="0"/>
        <w:spacing w:before="0" w:after="0"/>
        <w:ind w:left="1440" w:right="0" w:hanging="0"/>
        <w:jc w:val="both"/>
        <w:rPr>
          <w:rFonts w:ascii="Helvetica;sans-serif" w:hAnsi="Helvetica;sans-serif"/>
          <w:sz w:val="22"/>
        </w:rPr>
      </w:pPr>
      <w:r>
        <w:rPr>
          <w:rFonts w:ascii="Helvetica;sans-serif" w:hAnsi="Helvetica;sans-serif"/>
          <w:sz w:val="22"/>
        </w:rPr>
        <w:t>To the extent that the vesting schedule above would result in vesting of a fractional Restricted Share Unit, such fractional Restricted Share Unit shall be rounded to a whole number as determined by the Committee.</w:t>
      </w:r>
    </w:p>
    <w:p>
      <w:pPr>
        <w:pStyle w:val="TextBody"/>
        <w:bidi w:val="0"/>
        <w:spacing w:before="0" w:after="240"/>
        <w:ind w:left="0" w:right="0" w:hanging="0"/>
        <w:jc w:val="both"/>
        <w:rPr/>
      </w:pPr>
      <w:r>
        <w:rPr/>
        <w:t>​</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(b)In certain circumstances described in Section II.4 below, your Restricted Share Units may continue to vest following Termination of Employment or may fully vest before the final scheduled RSU Vesting Date.  In addition, the Committee may accelerate the vesting of all or a portion of your Restricted Share Units at any time in its discretion, subject to the provisions of Section II.4(d).  The date of any accelerated vesting under Section II.4(a) below will be a RSU Vesting Date for purposes of this Appendix A.</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(c)You do not need to pay any purchase price for the Restricted Share Units unless otherwise required in accordance with applicable law.</w:t>
      </w:r>
    </w:p>
    <w:tbl>
      <w:tblPr>
        <w:tblW w:w="4645" w:type="dxa"/>
        <w:jc w:val="left"/>
        <w:tblInd w:w="0" w:type="dxa"/>
        <w:tblLayout w:type="fixed"/>
        <w:tblCellMar>
          <w:top w:w="0" w:type="dxa"/>
          <w:left w:w="0" w:type="dxa"/>
          <w:bottom w:w="0" w:type="dxa"/>
          <w:right w:w="0" w:type="dxa"/>
        </w:tblCellMar>
      </w:tblPr>
      <w:tblGrid>
        <w:gridCol w:w="200"/>
        <w:gridCol w:w="444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w:t>
            </w:r>
          </w:p>
        </w:tc>
        <w:tc>
          <w:tcPr>
            <w:tcW w:w="444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Restrictions on the Restricted Share Units</w:t>
            </w:r>
          </w:p>
        </w:tc>
      </w:tr>
    </w:tbl>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 xml:space="preserve">Until and unless you vest in your Restricted Share Units and receive a distribution of Shares, you may not attempt to sell, transfer, assign or pledge them.  Until the date on which you receive a distribution of the Shares in respect of any vested Restricted Share Units awarded hereunder, your award of Restricted Share Units will be evidenced by credit to a book entry account. </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When Restricted Share Units vest and become payable, the net Shares (total Shares distributable in respect of vested Restricted Share Units minus any Shares retained by the Company in accordance with the policies and requirements described in Section IV.4), will be delivered to you within sixty days after the RSU Vesting Date in street name to your brokerage account (or, in the event of your death, to a brokerage account in the name of your beneficiary under the Plan) with the Broker.  Any Shares distributed to you in respect of vested Restricted Share Units will be registered in your name and will not be subject to any restrictions.  There will be some delay between the RSU Vesting Date and the date your Shares become available to you due to administrative reasons.</w:t>
      </w:r>
    </w:p>
    <w:tbl>
      <w:tblPr>
        <w:tblW w:w="3640" w:type="dxa"/>
        <w:jc w:val="left"/>
        <w:tblInd w:w="0" w:type="dxa"/>
        <w:tblLayout w:type="fixed"/>
        <w:tblCellMar>
          <w:top w:w="0" w:type="dxa"/>
          <w:left w:w="0" w:type="dxa"/>
          <w:bottom w:w="0" w:type="dxa"/>
          <w:right w:w="0" w:type="dxa"/>
        </w:tblCellMar>
      </w:tblPr>
      <w:tblGrid>
        <w:gridCol w:w="200"/>
        <w:gridCol w:w="344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w:t>
            </w:r>
          </w:p>
        </w:tc>
        <w:tc>
          <w:tcPr>
            <w:tcW w:w="344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Dividend Equivalents and Voting</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Dividend Equivalents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In the event that dividends are paid with respect to Shares such that the applicable record date occurs during the period beginning on the Grant Date and ending on the date you receive a distribution of Shares in satisfaction of your vested Restricted Share Units, you will be entitled to receive a cash payment equal to the amount of the dividend paid per Share as of such dividend payment date multiplied by the number of vested Restricted Share Units (the “Dividend Equivalent”).  Dividend Equivalents (if any) payable with respect to your vested Restricted Share Units will be paid in cash on the date of the regularly scheduled payroll next following the applicable Vesting Date, or as soon as administratively practicable following such date, and shall be subject to all applicable withholding taxes.  For any non-cash dividends, the Committee may determine in its sole discretion the cash value to be so paid to you in respect of such Restricted Share Units or, if applicable, the adjustment to be applied pursuant to Section 15 of the Plan.</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Voting Shares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You will have the right to vote your Shares that have been distributed in respect of any vested Restricted Share Units.  There are no voting rights associated with Restricted Share Units.</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No Other Rights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You shall have no other dividend equivalent, dividend or voting rights with respect to any Restricted Share Unit.</w:t>
      </w:r>
    </w:p>
    <w:tbl>
      <w:tblPr>
        <w:tblW w:w="3130" w:type="dxa"/>
        <w:jc w:val="left"/>
        <w:tblInd w:w="0" w:type="dxa"/>
        <w:tblLayout w:type="fixed"/>
        <w:tblCellMar>
          <w:top w:w="0" w:type="dxa"/>
          <w:left w:w="0" w:type="dxa"/>
          <w:bottom w:w="0" w:type="dxa"/>
          <w:right w:w="0" w:type="dxa"/>
        </w:tblCellMar>
      </w:tblPr>
      <w:tblGrid>
        <w:gridCol w:w="200"/>
        <w:gridCol w:w="293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w:t>
            </w:r>
          </w:p>
        </w:tc>
        <w:tc>
          <w:tcPr>
            <w:tcW w:w="293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Termination of Employment</w:t>
            </w:r>
          </w:p>
        </w:tc>
      </w:tr>
    </w:tbl>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The following rules apply to the vesting of your Restricted Share Units in the event of your Termination of Employment.</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Death or Disability</w:t>
      </w:r>
      <w:r>
        <w:rPr>
          <w:rFonts w:ascii="Helvetica;sans-serif" w:hAnsi="Helvetica;sans-serif"/>
          <w:sz w:val="22"/>
        </w:rPr>
        <w:t>.  If you have a Termination of Employment by reason of death or Disability, all your Restricted Share Units will vest on your date of termination.  If you are Retirement Eligible and you experience a Disability that satisfies the requirements of U.S. Treasury Regulation Section 1.409A-3(i)(4) prior to the termination of your employment, all your Restricted Share Units will vest on the date of such Disability.</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Involuntary Termination or Retirement</w:t>
      </w:r>
      <w:r>
        <w:rPr>
          <w:rFonts w:ascii="Helvetica;sans-serif" w:hAnsi="Helvetica;sans-serif"/>
          <w:sz w:val="22"/>
        </w:rPr>
        <w:t>.  If you have an Involuntary Termination or you become a Retiree prior to the first anniversary of the Grant Date, a pro rata portion of your Restricted Share Units will vest on your date of termination and will be settled on the first RSU Vesting Date thereafter; such pro rata portion shall be determined by multiplying the number of Restricted Share Units granted to you and remaining outstanding and unvested at the time your employment is terminated by a fraction, the numerator of which is the number of calendar days you were employed between the Grant Date and your date of termination and the denominator of which is the number of calendar days between the Grant Date and the final scheduled RSU Vesting Date. If you have an Involuntary Termination or you become a Retiree on or after the first anniversary of the Grant Date, you will continue to vest following such termination to the same extent as if you continued to be employed by the Company or one of its subsidiaries. Notwithstanding the foregoing and to the extent permissible under applicable law, in no event shall the restricted share units granted hereunder continue to vest beyond the day on which you first provide services to a Competitor, as described in Section III below.  </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Other Termination of Employment</w:t>
      </w:r>
      <w:r>
        <w:rPr>
          <w:rFonts w:ascii="Helvetica;sans-serif" w:hAnsi="Helvetica;sans-serif"/>
          <w:sz w:val="22"/>
        </w:rPr>
        <w:t>.  If you have a Termination of Employment for any reason other than those set forth in Sections II.4(a), II.4(b) and II.5, any of your Restricted Share Units which have not vested prior to your Termination of Employment will be forfeited.</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(d)</w:t>
      </w:r>
      <w:r>
        <w:rPr>
          <w:rFonts w:ascii="Helvetica;sans-serif" w:hAnsi="Helvetica;sans-serif"/>
          <w:b/>
          <w:sz w:val="22"/>
        </w:rPr>
        <w:t>Adjustments by the Committee</w:t>
      </w:r>
      <w:r>
        <w:rPr>
          <w:rFonts w:ascii="Helvetica;sans-serif" w:hAnsi="Helvetica;sans-serif"/>
          <w:sz w:val="22"/>
        </w:rPr>
        <w:t>.  The Committee may, in its sole discretion, accelerate the vesting of all or any portion of your Restricted Share Units; provided, however, that no acceleration of delivery of Shares shall be made in a manner that is not in compliance with, or exempt from, any applicable requirements of Code Section 409A.</w:t>
      </w:r>
    </w:p>
    <w:tbl>
      <w:tblPr>
        <w:tblW w:w="2335" w:type="dxa"/>
        <w:jc w:val="left"/>
        <w:tblInd w:w="0" w:type="dxa"/>
        <w:tblLayout w:type="fixed"/>
        <w:tblCellMar>
          <w:top w:w="0" w:type="dxa"/>
          <w:left w:w="0" w:type="dxa"/>
          <w:bottom w:w="0" w:type="dxa"/>
          <w:right w:w="0" w:type="dxa"/>
        </w:tblCellMar>
      </w:tblPr>
      <w:tblGrid>
        <w:gridCol w:w="200"/>
        <w:gridCol w:w="213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w:t>
            </w:r>
          </w:p>
        </w:tc>
        <w:tc>
          <w:tcPr>
            <w:tcW w:w="213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Change of Control.  </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Notwithstanding the provisions of the Award Letter or Sections II.1 or II.4, all of your Restricted Share Units will vest immediately upon a Change of Control Termination.</w:t>
      </w:r>
    </w:p>
    <w:tbl>
      <w:tblPr>
        <w:tblW w:w="2620" w:type="dxa"/>
        <w:jc w:val="left"/>
        <w:tblInd w:w="0" w:type="dxa"/>
        <w:tblLayout w:type="fixed"/>
        <w:tblCellMar>
          <w:top w:w="0" w:type="dxa"/>
          <w:left w:w="0" w:type="dxa"/>
          <w:bottom w:w="0" w:type="dxa"/>
          <w:right w:w="0" w:type="dxa"/>
        </w:tblCellMar>
      </w:tblPr>
      <w:tblGrid>
        <w:gridCol w:w="1115"/>
        <w:gridCol w:w="1505"/>
      </w:tblGrid>
      <w:tr>
        <w:trPr/>
        <w:tc>
          <w:tcPr>
            <w:tcW w:w="1115"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Section III.</w:t>
            </w:r>
          </w:p>
        </w:tc>
        <w:tc>
          <w:tcPr>
            <w:tcW w:w="150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Miscellaneous</w:t>
            </w:r>
          </w:p>
        </w:tc>
      </w:tr>
    </w:tbl>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The terms and provisions of this Section III apply to all Awards.  </w:t>
      </w:r>
    </w:p>
    <w:tbl>
      <w:tblPr>
        <w:tblW w:w="1360" w:type="dxa"/>
        <w:jc w:val="left"/>
        <w:tblInd w:w="0" w:type="dxa"/>
        <w:tblLayout w:type="fixed"/>
        <w:tblCellMar>
          <w:top w:w="0" w:type="dxa"/>
          <w:left w:w="0" w:type="dxa"/>
          <w:bottom w:w="0" w:type="dxa"/>
          <w:right w:w="0" w:type="dxa"/>
        </w:tblCellMar>
      </w:tblPr>
      <w:tblGrid>
        <w:gridCol w:w="200"/>
        <w:gridCol w:w="116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w:t>
            </w:r>
          </w:p>
        </w:tc>
        <w:tc>
          <w:tcPr>
            <w:tcW w:w="116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Definitions</w:t>
            </w:r>
          </w:p>
        </w:tc>
      </w:tr>
    </w:tbl>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Times New Roman;Times;serif" w:hAnsi="Times New Roman;Times;serif"/>
          <w:sz w:val="22"/>
        </w:rPr>
        <w:t>“</w:t>
      </w:r>
      <w:r>
        <w:rPr>
          <w:rFonts w:ascii="Helvetica;sans-serif" w:hAnsi="Helvetica;sans-serif"/>
          <w:b/>
          <w:sz w:val="22"/>
        </w:rPr>
        <w:t>Cause”</w:t>
      </w:r>
      <w:r>
        <w:rPr>
          <w:rFonts w:ascii="Times New Roman;Times;serif" w:hAnsi="Times New Roman;Times;serif"/>
          <w:sz w:val="22"/>
        </w:rPr>
        <w:t xml:space="preserve"> </w:t>
      </w:r>
      <w:r>
        <w:rPr>
          <w:rFonts w:ascii="Helvetica;sans-serif" w:hAnsi="Helvetica;sans-serif"/>
          <w:sz w:val="22"/>
        </w:rPr>
        <w:t>means (1) your willful and continued failure to substantially perform your duties with the Company (other than any such failure resulting from your incapacity due to physical or mental illness), (2) your willful engagement in conduct which is demonstrably and materially injurious to the Company or its Subsidiaries, monetarily or otherwise, (3) your willful, material breach of any written policy of the Company or any written agreement between you and the Company or any of its Subsidiaries, including, but not limited to, the Company’s Code of Integrity, human resource or legal compliance and ethics policies or any employment agreement, (4) your indictment of a felony or a misdemeanor involving fraud, dishonesty or moral turpitude, or (5) such other events, acts or omissions as shall be determined in good faith.  For purposes of clauses (1), (2) and (3) of this definition, no act, or failure to act, on your part shall be deemed “willful” unless done, or omitted to be done, by you not in good faith and without reasonable belief that your act, or failure to act, was in the best interest of the Company.</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Times New Roman;Times;serif" w:hAnsi="Times New Roman;Times;serif"/>
          <w:sz w:val="22"/>
        </w:rPr>
        <w:t>“</w:t>
      </w:r>
      <w:r>
        <w:rPr>
          <w:rFonts w:ascii="Helvetica;sans-serif" w:hAnsi="Helvetica;sans-serif"/>
          <w:b/>
          <w:sz w:val="22"/>
        </w:rPr>
        <w:t>Change of Control Termination”</w:t>
      </w:r>
      <w:r>
        <w:rPr>
          <w:rFonts w:ascii="Times New Roman;Times;serif" w:hAnsi="Times New Roman;Times;serif"/>
          <w:sz w:val="22"/>
        </w:rPr>
        <w:t xml:space="preserve"> </w:t>
      </w:r>
      <w:r>
        <w:rPr>
          <w:rFonts w:ascii="Helvetica;sans-serif" w:hAnsi="Helvetica;sans-serif"/>
          <w:sz w:val="22"/>
        </w:rPr>
        <w:t>means and occurs on the date of your Termination of Employment by the Company or any Subsidiary for any reason other than Cause within two years after the date of a Change of Control.</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w:t>
      </w:r>
      <w:bookmarkStart w:id="717" w:name="_Hlk157787038"/>
      <w:bookmarkEnd w:id="717"/>
      <w:r>
        <w:rPr>
          <w:rFonts w:ascii="Times New Roman;Times;serif" w:hAnsi="Times New Roman;Times;serif"/>
          <w:sz w:val="22"/>
        </w:rPr>
        <w:t>“</w:t>
      </w:r>
      <w:r>
        <w:rPr>
          <w:rFonts w:ascii="Helvetica;sans-serif" w:hAnsi="Helvetica;sans-serif"/>
          <w:b/>
          <w:sz w:val="22"/>
        </w:rPr>
        <w:t>Competitor</w:t>
      </w:r>
      <w:r>
        <w:rPr>
          <w:rFonts w:ascii="Times New Roman;Times;serif" w:hAnsi="Times New Roman;Times;serif"/>
          <w:sz w:val="22"/>
        </w:rPr>
        <w:t xml:space="preserve">” </w:t>
      </w:r>
      <w:r>
        <w:rPr>
          <w:rFonts w:ascii="Helvetica;sans-serif" w:hAnsi="Helvetica;sans-serif"/>
          <w:sz w:val="22"/>
        </w:rPr>
        <w:t>means any business that, as of the Grant Date, is engaged in the ownership and/or operation of ultra-deepwater or harsh environment offshore drilling rigs in direct competition with the Company and its affiliates.  This restriction shall not prevent you from working for a subsidiary, division, venture or other business or functional service unit (collectively a "Unit") of a Competitor so long as (i) such Unit is not itself a Competitor, and (ii) you do not manage or participate in business activities or projects of any Unit that is a Competitor. For purposes of this Agreement, you will be deemed to provide services to a Competitor if, in the Committee’s sole discretion, you, directly or indirectly, whether as an employee, officer, director, investor, independent contractor, consultant, or otherwise, in any job function or capacity which is the same, similar to, or greater than that performed by you for the Company, accept a position to engage in, work for, provide advice to, or provide services to, any Competitor in the Restricted Territory. Further, nothing in this provision prohibits you from owning an investment interest of less than 5% in a publicly traded company. The term “</w:t>
      </w:r>
      <w:r>
        <w:rPr>
          <w:rFonts w:ascii="Helvetica;sans-serif" w:hAnsi="Helvetica;sans-serif"/>
          <w:b/>
          <w:sz w:val="22"/>
        </w:rPr>
        <w:t>Restricted Territory</w:t>
      </w:r>
      <w:r>
        <w:rPr>
          <w:rFonts w:ascii="Times New Roman;Times;serif" w:hAnsi="Times New Roman;Times;serif"/>
          <w:sz w:val="22"/>
        </w:rPr>
        <w:t xml:space="preserve">” </w:t>
      </w:r>
      <w:r>
        <w:rPr>
          <w:rFonts w:ascii="Helvetica;sans-serif" w:hAnsi="Helvetica;sans-serif"/>
          <w:sz w:val="22"/>
        </w:rPr>
        <w:t xml:space="preserve">means all countries, counties and parishes in which the Company operated or planned to operate during the preceding five (5) years of your employment with the Company, as determined in the sole discretion of the Committee. The Committee may, by written notice to you, modify the definition of the terms “Competitor” and “Restricted Territory” to make them less restrictive if deemed necessary to comply with applicable law. </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(d)</w:t>
      </w:r>
      <w:r>
        <w:rPr>
          <w:rFonts w:ascii="Times New Roman;Times;serif" w:hAnsi="Times New Roman;Times;serif"/>
          <w:sz w:val="22"/>
        </w:rPr>
        <w:t>“</w:t>
      </w:r>
      <w:r>
        <w:rPr>
          <w:rFonts w:ascii="Helvetica;sans-serif" w:hAnsi="Helvetica;sans-serif"/>
          <w:b/>
          <w:sz w:val="22"/>
        </w:rPr>
        <w:t>Disability”</w:t>
      </w:r>
      <w:r>
        <w:rPr>
          <w:rFonts w:ascii="Times New Roman;Times;serif" w:hAnsi="Times New Roman;Times;serif"/>
          <w:sz w:val="22"/>
        </w:rPr>
        <w:t xml:space="preserve"> </w:t>
      </w:r>
      <w:r>
        <w:rPr>
          <w:rFonts w:ascii="Helvetica;sans-serif" w:hAnsi="Helvetica;sans-serif"/>
          <w:sz w:val="22"/>
        </w:rPr>
        <w:t>means (1) you qualify for disability benefits under a long term disability plan sponsored by the Company or (2) if you are not covered by any such long term disability plan, the Chief Executive Officer of the Company, or in the case of the Termination of Employment of the Chief Executive Officer of the Company, the Committee,</w:t>
      </w:r>
      <w:r>
        <w:rPr>
          <w:rFonts w:ascii="Times New Roman;Times;serif" w:hAnsi="Times New Roman;Times;serif"/>
          <w:sz w:val="22"/>
        </w:rPr>
        <w:t xml:space="preserve"> </w:t>
      </w:r>
      <w:r>
        <w:rPr>
          <w:rFonts w:ascii="Helvetica;sans-serif" w:hAnsi="Helvetica;sans-serif"/>
          <w:sz w:val="22"/>
        </w:rPr>
        <w:t>has determined that you are disabled.</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(e)</w:t>
      </w:r>
      <w:r>
        <w:rPr>
          <w:rFonts w:ascii="Times New Roman;Times;serif" w:hAnsi="Times New Roman;Times;serif"/>
          <w:sz w:val="22"/>
        </w:rPr>
        <w:t>“</w:t>
      </w:r>
      <w:r>
        <w:rPr>
          <w:rFonts w:ascii="Helvetica;sans-serif" w:hAnsi="Helvetica;sans-serif"/>
          <w:b/>
          <w:sz w:val="22"/>
        </w:rPr>
        <w:t>Good Reason”</w:t>
      </w:r>
      <w:r>
        <w:rPr>
          <w:rFonts w:ascii="Times New Roman;Times;serif" w:hAnsi="Times New Roman;Times;serif"/>
          <w:sz w:val="22"/>
        </w:rPr>
        <w:t xml:space="preserve"> </w:t>
      </w:r>
      <w:r>
        <w:rPr>
          <w:rFonts w:ascii="Helvetica;sans-serif" w:hAnsi="Helvetica;sans-serif"/>
          <w:sz w:val="22"/>
        </w:rPr>
        <w:t>means, with respect to your service as an Employee, (1) the diminution of your duties or responsibilities, or a demotion of your position, to such an extent or in such a manner as to relegate you to a position not substantially similar to that which you held prior to such change or (2) a material reduction in your base salary or annual cash incentive plan opportunities other than in connection with such reductions that are applicable to the Company’s executives as a group.  You shall not be considered to have terminated for Good Reason unless you notify the Company in writing within 30 days of the date the event giving rise to Good Reason occurs, the Company does not cure such condition within 30 days of such notice and you terminate your employment no later than 90 days after the date the event giving rise to Good Reason occurred.</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(f)</w:t>
      </w:r>
      <w:r>
        <w:rPr>
          <w:rFonts w:ascii="Times New Roman;Times;serif" w:hAnsi="Times New Roman;Times;serif"/>
          <w:sz w:val="22"/>
        </w:rPr>
        <w:t>“</w:t>
      </w:r>
      <w:r>
        <w:rPr>
          <w:rFonts w:ascii="Helvetica;sans-serif" w:hAnsi="Helvetica;sans-serif"/>
          <w:b/>
          <w:sz w:val="22"/>
        </w:rPr>
        <w:t>Involuntary Termination”</w:t>
      </w:r>
      <w:r>
        <w:rPr>
          <w:rFonts w:ascii="Times New Roman;Times;serif" w:hAnsi="Times New Roman;Times;serif"/>
          <w:sz w:val="22"/>
        </w:rPr>
        <w:t xml:space="preserve"> </w:t>
      </w:r>
      <w:r>
        <w:rPr>
          <w:rFonts w:ascii="Helvetica;sans-serif" w:hAnsi="Helvetica;sans-serif"/>
          <w:sz w:val="22"/>
        </w:rPr>
        <w:t>means the termination of your service as an Employee (i) by the Company without Cause or (ii) by you for Good Reason.</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(g)With respect to an award of Performance Units,</w:t>
      </w:r>
      <w:r>
        <w:rPr>
          <w:rFonts w:ascii="Times New Roman;Times;serif" w:hAnsi="Times New Roman;Times;serif"/>
          <w:sz w:val="22"/>
        </w:rPr>
        <w:t xml:space="preserve"> “</w:t>
      </w:r>
      <w:r>
        <w:rPr>
          <w:rFonts w:ascii="Helvetica;sans-serif" w:hAnsi="Helvetica;sans-serif"/>
          <w:b/>
          <w:sz w:val="22"/>
        </w:rPr>
        <w:t>Pro-Rata Earned Award”</w:t>
      </w:r>
      <w:r>
        <w:rPr>
          <w:rFonts w:ascii="Times New Roman;Times;serif" w:hAnsi="Times New Roman;Times;serif"/>
          <w:sz w:val="22"/>
        </w:rPr>
        <w:t xml:space="preserve"> </w:t>
      </w:r>
      <w:r>
        <w:rPr>
          <w:rFonts w:ascii="Helvetica;sans-serif" w:hAnsi="Helvetica;sans-serif"/>
          <w:sz w:val="22"/>
        </w:rPr>
        <w:t>is determined by multiplying the number of Earned Performance Units which would have otherwise been earned had your employment not been terminated by a fraction, the numerator of which is the number of calendar days you were employed during the period beginning January 1, 2026 and ending December 31, 2028 and the denominator of which is the total number of calendar days in the period beginning January 1, 2026 and ending December 31, 2028.</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(h)You are a</w:t>
      </w:r>
      <w:r>
        <w:rPr>
          <w:rFonts w:ascii="Times New Roman;Times;serif" w:hAnsi="Times New Roman;Times;serif"/>
          <w:sz w:val="22"/>
        </w:rPr>
        <w:t xml:space="preserve"> “</w:t>
      </w:r>
      <w:r>
        <w:rPr>
          <w:rFonts w:ascii="Helvetica;sans-serif" w:hAnsi="Helvetica;sans-serif"/>
          <w:b/>
          <w:sz w:val="22"/>
        </w:rPr>
        <w:t>Retiree”</w:t>
      </w:r>
      <w:r>
        <w:rPr>
          <w:rFonts w:ascii="Times New Roman;Times;serif" w:hAnsi="Times New Roman;Times;serif"/>
          <w:sz w:val="22"/>
        </w:rPr>
        <w:t xml:space="preserve"> </w:t>
      </w:r>
      <w:r>
        <w:rPr>
          <w:rFonts w:ascii="Helvetica;sans-serif" w:hAnsi="Helvetica;sans-serif"/>
          <w:sz w:val="22"/>
        </w:rPr>
        <w:t>if your separation from service as an Employee occurs for any reason other than Cause, Involuntary Termination, Change of Control Termination, death or Disability after (a) attainment of age 62 and (b) completion of at least five years of service as an Employee with the Company or its Subsidiaries; provided that you will not be treated as a “Retiree” if you are a member of the Board following separation from service as an Employee.</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(i)With respect to an award of Restricted Share Units,</w:t>
      </w:r>
      <w:r>
        <w:rPr>
          <w:rFonts w:ascii="Times New Roman;Times;serif" w:hAnsi="Times New Roman;Times;serif"/>
          <w:sz w:val="22"/>
        </w:rPr>
        <w:t xml:space="preserve"> “</w:t>
      </w:r>
      <w:r>
        <w:rPr>
          <w:rFonts w:ascii="Helvetica;sans-serif" w:hAnsi="Helvetica;sans-serif"/>
          <w:b/>
          <w:sz w:val="22"/>
        </w:rPr>
        <w:t>Retirement Eligible”</w:t>
      </w:r>
      <w:r>
        <w:rPr>
          <w:rFonts w:ascii="Times New Roman;Times;serif" w:hAnsi="Times New Roman;Times;serif"/>
          <w:sz w:val="22"/>
        </w:rPr>
        <w:t xml:space="preserve"> </w:t>
      </w:r>
      <w:r>
        <w:rPr>
          <w:rFonts w:ascii="Helvetica;sans-serif" w:hAnsi="Helvetica;sans-serif"/>
          <w:sz w:val="22"/>
        </w:rPr>
        <w:t>means, and will apply if, your final RSU Vesting Date is scheduled to occur after the calendar year in which you will complete at least five years of service as an Employee with the Company or its Subsidiaries and will attain at least age 62.</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(j)With respect to this Award and all outstanding Awards granted to the Participant under the Plan, “</w:t>
      </w:r>
      <w:r>
        <w:rPr>
          <w:rFonts w:ascii="Helvetica;sans-serif" w:hAnsi="Helvetica;sans-serif"/>
          <w:b/>
          <w:sz w:val="22"/>
        </w:rPr>
        <w:t>Termination of Employment</w:t>
      </w:r>
      <w:r>
        <w:rPr>
          <w:rFonts w:ascii="Times New Roman;Times;serif" w:hAnsi="Times New Roman;Times;serif"/>
          <w:sz w:val="22"/>
        </w:rPr>
        <w:t xml:space="preserve">” </w:t>
      </w:r>
      <w:r>
        <w:rPr>
          <w:rFonts w:ascii="Helvetica;sans-serif" w:hAnsi="Helvetica;sans-serif"/>
          <w:sz w:val="22"/>
        </w:rPr>
        <w:t xml:space="preserve">means, termination of service to the Company or any of its Subsidiaries as an Employee or, if later, termination of service as a member of the Board; provided, however, that the provisions relating to termination for “Retirement”, “Cause”, “Good Reason”, or “Involuntary Termination” shall not apply to service as member of the Board. </w:t>
      </w:r>
    </w:p>
    <w:tbl>
      <w:tblPr>
        <w:tblW w:w="2575" w:type="dxa"/>
        <w:jc w:val="left"/>
        <w:tblInd w:w="0" w:type="dxa"/>
        <w:tblLayout w:type="fixed"/>
        <w:tblCellMar>
          <w:top w:w="0" w:type="dxa"/>
          <w:left w:w="0" w:type="dxa"/>
          <w:bottom w:w="0" w:type="dxa"/>
          <w:right w:w="0" w:type="dxa"/>
        </w:tblCellMar>
      </w:tblPr>
      <w:tblGrid>
        <w:gridCol w:w="200"/>
        <w:gridCol w:w="237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w:t>
            </w:r>
          </w:p>
        </w:tc>
        <w:tc>
          <w:tcPr>
            <w:tcW w:w="237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Award Determinations</w:t>
            </w:r>
          </w:p>
        </w:tc>
      </w:tr>
    </w:tbl>
    <w:p>
      <w:pPr>
        <w:pStyle w:val="TextBody"/>
        <w:bidi w:val="0"/>
        <w:spacing w:before="0" w:after="0"/>
        <w:ind w:left="720" w:right="0" w:hanging="0"/>
        <w:jc w:val="both"/>
        <w:rPr>
          <w:rFonts w:ascii="Helvetica;sans-serif" w:hAnsi="Helvetica;sans-serif"/>
          <w:sz w:val="22"/>
        </w:rPr>
      </w:pPr>
      <w:r>
        <w:rPr>
          <w:rFonts w:ascii="Helvetica;sans-serif" w:hAnsi="Helvetica;sans-serif"/>
          <w:sz w:val="22"/>
        </w:rPr>
        <w:t xml:space="preserve">The Chief Executive Officer of the Company, or in the case of the Termination of Employment of the Chief Executive Officer of the Company, the Committee, shall have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absolute discretion to determine the date and</w:t>
      </w:r>
      <w:r>
        <w:rPr>
          <w:rFonts w:ascii="Times New Roman;Times;serif" w:hAnsi="Times New Roman;Times;serif"/>
          <w:sz w:val="22"/>
        </w:rPr>
        <w:t xml:space="preserve"> </w:t>
      </w:r>
      <w:r>
        <w:rPr>
          <w:rFonts w:ascii="Helvetica;sans-serif" w:hAnsi="Helvetica;sans-serif"/>
          <w:sz w:val="22"/>
        </w:rPr>
        <w:t>circumstances of termination of your employment or separation from service, including without limitation whether as a result of Disability, Involuntary Termination, Cause, Good Reason or any other reason and whether you are a Retiree, and such determination shall be final, conclusive and binding upon you.</w:t>
      </w:r>
    </w:p>
    <w:tbl>
      <w:tblPr>
        <w:tblW w:w="2725" w:type="dxa"/>
        <w:jc w:val="left"/>
        <w:tblInd w:w="0" w:type="dxa"/>
        <w:tblLayout w:type="fixed"/>
        <w:tblCellMar>
          <w:top w:w="0" w:type="dxa"/>
          <w:left w:w="0" w:type="dxa"/>
          <w:bottom w:w="0" w:type="dxa"/>
          <w:right w:w="0" w:type="dxa"/>
        </w:tblCellMar>
      </w:tblPr>
      <w:tblGrid>
        <w:gridCol w:w="200"/>
        <w:gridCol w:w="252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w:t>
            </w:r>
          </w:p>
        </w:tc>
        <w:tc>
          <w:tcPr>
            <w:tcW w:w="252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Section 280G Limitation</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Notwithstanding anything in the Award Letter (including this Appendix A) to the contrary, if all or any portion of the benefits provided hereunder, either alone or together with other payments and benefits received or to be received from the Company or any affiliate or successor, would constitute a “parachute payment”, as such term is defined in Code Section 280G(b)(2), the aggregate of the amounts constituting the parachute payment shall be reduced to the extent necessary so that no portion thereof shall be subject to the excise tax imposed by Code Section 4999, but only if, by reason of such reduction, the net after-tax benefit shall exceed the net after-tax benefit if such reduction were not made.  “Net after-tax benefit” for these purposes shall mean the sum of (w) the total amount payable under this Award, plus (x) all other payments and benefits which you receive or are then entitled to receive from the Company or an Affiliate that, alone or in combination with the amounts payable under the Award, would constitute a “parachute payment” within the meaning of Code Section 280G, less (y) the amount of federal income taxes payable with respect to the foregoing calculated at the maximum marginal income tax rate for each year in which the foregoing shall be paid (based upon the rate in effect for such year as set forth in the Code at the time of the payment under the Plan), less (z) the amount of excise taxes imposed with respect to the payments and benefits described in (w) and (x) above by Code Section 4999.  Such reduction shall be made to those amounts that provide you with the best economic benefit (and to the extent any payments are economically equivalent, each shall be reduced pro rata), which may include, without limitation and to the extent necessary, a reduction to the Awards or vesting of the Awards in order that this limitation not be exceeded; provided, however, that this Section IV.3 shall be superseded in its entirety by (i) any contrary treatment of parachute payments to which you have agreed in writing prior to the Change of Control pursuant to any other plan, program or agreement, or (ii) any more favorable treatment of the excise tax on parachute payments extended to you by the Company or its affiliates pursuant to any other plan, program or agreement.</w:t>
      </w:r>
    </w:p>
    <w:tbl>
      <w:tblPr>
        <w:tblW w:w="4000" w:type="dxa"/>
        <w:jc w:val="left"/>
        <w:tblInd w:w="0" w:type="dxa"/>
        <w:tblLayout w:type="fixed"/>
        <w:tblCellMar>
          <w:top w:w="0" w:type="dxa"/>
          <w:left w:w="0" w:type="dxa"/>
          <w:bottom w:w="0" w:type="dxa"/>
          <w:right w:w="0" w:type="dxa"/>
        </w:tblCellMar>
      </w:tblPr>
      <w:tblGrid>
        <w:gridCol w:w="200"/>
        <w:gridCol w:w="380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w:t>
            </w:r>
          </w:p>
        </w:tc>
        <w:tc>
          <w:tcPr>
            <w:tcW w:w="380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Tax Consequences and Withholding</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(a)You should consult the Plan Prospectus for a general summary of the Swiss federal income tax consequences to you and, if applicable, the U.S. tax consequences to you, upon the grant, vesting or distribution to you of the Awards based on currently applicable provisions of the Code, related regulations and Swiss tax rules. The summary does not discuss state and local tax laws or the laws of any other jurisdictions, which may differ from the U.S. federal tax law and Swiss tax rules. For these reasons, you are urged to consult your own tax advisor regarding the application of the tax laws to your particular situation.</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(b)With respect to Awards of Performance Units under Section I and Restricted Share Units under Section II, the Company shall reduce the number of Shares otherwise deliverable to you with respect to your Earned Performance Units or Restricted Share Units by a number of Shares having a value approximately equal to the amount required to be withheld under the Company’s policies and procedures or applicable law.  Further, any dividend equivalents paid to you in respect of Earned Performance Units or Restricted Share Units pursuant to Section I.4 or II.3, respectively, will be subject to tax withholding, as appropriate, as additional compensation.</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(c)You may not elect to have the Broker withhold Shares having a value less than the minimum statutory withholding tax liability or, if you are serving as an expatriate employee, the “standard deduction” withheld in accordance with the Company’s policies and procedures. If you fail to satisfy such withholding obligation in a time and manner satisfactory to the Company, the Company shall have the right to withhold the required amount from your salary or other amounts payable to you.</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(d)In addition to the previous withholding requirements, any award under the Plan is also subject to all applicable withholding policies of the Company as may be in effect from time to time, at the sole discretion of the Company.  Without limiting the generality of the foregoing, the Company expressly has the right to collect or cause to be collected, pursuant to any tax equalization or other plan or policy, as any such policies or plans may be in effect from time to time (irrespective of whether such withholding correlates to the applicable tax withholding requirement with respect to your award) proceeds of the sale of Shares acquired upon vesting of the applicable award through a sale arranged by the Company or Broker on your behalf pursuant to this authorization without further consent.  Awards are further subject to any tax and other reporting requirement that may be applicable in any pertinent jurisdiction including any obligation to report awards (whether related to the granting or vesting thereof or exercise of rights thereunder) to any taxing authority or other pertinent third party.</w:t>
      </w:r>
    </w:p>
    <w:tbl>
      <w:tblPr>
        <w:tblW w:w="2590" w:type="dxa"/>
        <w:jc w:val="left"/>
        <w:tblInd w:w="0" w:type="dxa"/>
        <w:tblLayout w:type="fixed"/>
        <w:tblCellMar>
          <w:top w:w="0" w:type="dxa"/>
          <w:left w:w="0" w:type="dxa"/>
          <w:bottom w:w="0" w:type="dxa"/>
          <w:right w:w="0" w:type="dxa"/>
        </w:tblCellMar>
      </w:tblPr>
      <w:tblGrid>
        <w:gridCol w:w="200"/>
        <w:gridCol w:w="239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w:t>
            </w:r>
          </w:p>
        </w:tc>
        <w:tc>
          <w:tcPr>
            <w:tcW w:w="239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Restrictions on Resale</w:t>
            </w:r>
          </w:p>
        </w:tc>
      </w:tr>
    </w:tbl>
    <w:p>
      <w:pPr>
        <w:pStyle w:val="TextBody"/>
        <w:bidi w:val="0"/>
        <w:spacing w:before="0" w:after="0"/>
        <w:ind w:left="720" w:right="0" w:hanging="0"/>
        <w:jc w:val="both"/>
        <w:rPr>
          <w:rFonts w:ascii="Helvetica;sans-serif" w:hAnsi="Helvetica;sans-serif"/>
          <w:sz w:val="22"/>
        </w:rPr>
      </w:pPr>
      <w:r>
        <w:rPr>
          <w:rFonts w:ascii="Helvetica;sans-serif" w:hAnsi="Helvetica;sans-serif"/>
          <w:sz w:val="22"/>
        </w:rPr>
        <w:t xml:space="preserve">Other than the restrictions referenced in Sections I.3 and II.2, there are no restrictions imposed by the Plan on the resale of Shares acquired under the Plan.  However, under the provisions of the Securities Act and the rules and regulations of the SEC, resales of Shares acquired under the Plan by certain officers and directors of the Company who may be deemed to be “affiliates” of the Company must be made pursuant to an appropriate effective registration statement filed with the SEC, pursuant to the provisions of Rule 144 issued under the Securities Act, or pursuant to another exemption from registration provided in the Securities Act.  At the present time, the Company does not have a currently effective registration statement pursuant to which such resales may be made by affiliates.  There are no restrictions imposed by the SEC on the resale of Shares acquired under the Plan by persons who are not affiliates of the Company; provided, however, that all employees are subject to the Company’s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policies against insider trading, and restrictions against resale may be imposed by the Company from time-to-time as may be necessary under applicable law.</w:t>
      </w:r>
    </w:p>
    <w:tbl>
      <w:tblPr>
        <w:tblW w:w="1405" w:type="dxa"/>
        <w:jc w:val="left"/>
        <w:tblInd w:w="0" w:type="dxa"/>
        <w:tblLayout w:type="fixed"/>
        <w:tblCellMar>
          <w:top w:w="0" w:type="dxa"/>
          <w:left w:w="0" w:type="dxa"/>
          <w:bottom w:w="0" w:type="dxa"/>
          <w:right w:w="0" w:type="dxa"/>
        </w:tblCellMar>
      </w:tblPr>
      <w:tblGrid>
        <w:gridCol w:w="200"/>
        <w:gridCol w:w="120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w:t>
            </w:r>
          </w:p>
        </w:tc>
        <w:tc>
          <w:tcPr>
            <w:tcW w:w="1205" w:type="dxa"/>
            <w:tcBorders/>
            <w:vAlign w:val="center"/>
          </w:tcPr>
          <w:p>
            <w:pPr>
              <w:pStyle w:val="TableContents"/>
              <w:bidi w:val="0"/>
              <w:spacing w:before="0" w:after="283"/>
              <w:jc w:val="left"/>
              <w:rPr>
                <w:rFonts w:ascii="Helvetica;sans-serif" w:hAnsi="Helvetica;sans-serif"/>
                <w:b/>
                <w:i w:val="false"/>
                <w:caps w:val="false"/>
                <w:smallCaps w:val="false"/>
                <w:sz w:val="22"/>
              </w:rPr>
            </w:pPr>
            <w:bookmarkStart w:id="718" w:name="_Hlk157780766"/>
            <w:bookmarkEnd w:id="718"/>
            <w:r>
              <w:rPr>
                <w:rFonts w:ascii="Helvetica;sans-serif" w:hAnsi="Helvetica;sans-serif"/>
                <w:b/>
                <w:i w:val="false"/>
                <w:caps w:val="false"/>
                <w:smallCaps w:val="false"/>
                <w:sz w:val="22"/>
              </w:rPr>
              <w:t>Beneficiary</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You may designate a beneficiary to receive any portion of your Performance Units and Restricted Share Units that become due to you after your death, and you may change your beneficiary from time to time.  Beneficiary designations should be filed with the Broker with respect to Performance Units and Restricted Share Units.   The beneficiary if you fail to file a designation with the Broker for the Performance Units and the Restricted Share Units, will be (1) the beneficiary you designated under any group life insurance plan maintained by the Company or its Subsidiaries that provides the largest death benefit, which will constitute the designated beneficiary for purposes of this Section IV.6, or, if none, (2) the executor or administrator of your estate.</w:t>
      </w:r>
    </w:p>
    <w:tbl>
      <w:tblPr>
        <w:tblW w:w="2755" w:type="dxa"/>
        <w:jc w:val="left"/>
        <w:tblInd w:w="0" w:type="dxa"/>
        <w:tblLayout w:type="fixed"/>
        <w:tblCellMar>
          <w:top w:w="0" w:type="dxa"/>
          <w:left w:w="0" w:type="dxa"/>
          <w:bottom w:w="0" w:type="dxa"/>
          <w:right w:w="0" w:type="dxa"/>
        </w:tblCellMar>
      </w:tblPr>
      <w:tblGrid>
        <w:gridCol w:w="200"/>
        <w:gridCol w:w="255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w:t>
            </w:r>
          </w:p>
        </w:tc>
        <w:tc>
          <w:tcPr>
            <w:tcW w:w="255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Effect on Other Benefits</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Income recognized by you as a result of the grant, vesting, exercise or distribution of Shares with respect to Awards will not be included in the formula for calculating benefits under any of the Company’s retirement and disability plans or any other benefit plans.</w:t>
      </w:r>
    </w:p>
    <w:tbl>
      <w:tblPr>
        <w:tblW w:w="3520" w:type="dxa"/>
        <w:jc w:val="left"/>
        <w:tblInd w:w="0" w:type="dxa"/>
        <w:tblLayout w:type="fixed"/>
        <w:tblCellMar>
          <w:top w:w="0" w:type="dxa"/>
          <w:left w:w="0" w:type="dxa"/>
          <w:bottom w:w="0" w:type="dxa"/>
          <w:right w:w="0" w:type="dxa"/>
        </w:tblCellMar>
      </w:tblPr>
      <w:tblGrid>
        <w:gridCol w:w="200"/>
        <w:gridCol w:w="332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w:t>
            </w:r>
          </w:p>
        </w:tc>
        <w:tc>
          <w:tcPr>
            <w:tcW w:w="332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Code Section 409A Compliance</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(a)The award of Performance Units under Section I is intended to be exempt from or to comply with the provisions of Section 409A and, wherever possible, shall be consistent therewith.  No action taken to comply with Section 409A shall be deemed to impair a benefit under the Award Letter or this Appendix A.</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 xml:space="preserve">(b)The award of Restricted Share Units under Section II is intended to be exempt from or to comply with the provisions of Section 409A and, wherever possible, shall be interpreted consistent therewith.  Specifically, (1) if you are not Retirement Eligible, the time of payment specified in Sections II.2 and II.4 is exempt from Code Section 409A as a short term deferral in compliance with U.S. Treasury Regulation Section 1.409A-1(b)(4), and (2) if you are Retirement Eligible or if your employment is terminated in an Involuntary Termination, the time of payment specified with respect to Section II.4(b) is compliant with U.S. Treasury Regulation Section 1.409A-3(a) and is compliant with Code Section 409A as being paid pursuant to a permissible payment date and the time of payment specified in Section II.4(a) with respect to Disability is compliant with U.S. Treasury Regulation Section 1.409A-3(a)(2) and is compliant with Code Section 409A as being paid pursuant to the permissible payment event of disability under U.S. Treasury Regulation Section 1.409A-3(i)(4).  If you are Retirement Eligible, you will not be considered to have a termination from employment unless such termination meets the requirements for a “separation from service” within the meaning of U.S. Treasury Regulation Section 1.409A-1(h), if applicable.  If you are a “specified employee” on the date of your “separation from service” within the meaning of Code Section 409A, the time of payment otherwise specified in the Award Letter or this Appendix A will be deferred to the extent required by Code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Section 409A.  No action taken to comply with Code Section 409A shall be deemed to impair a benefit under the Award Letter or this Appendix A.</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Helvetica;sans-serif" w:hAnsi="Helvetica;sans-serif"/>
          <w:b/>
          <w:sz w:val="22"/>
        </w:rPr>
      </w:pPr>
      <w:r>
        <w:rPr>
          <w:rFonts w:ascii="Helvetica;sans-serif" w:hAnsi="Helvetica;sans-serif"/>
          <w:b/>
          <w:sz w:val="22"/>
        </w:rPr>
        <w:t>Exhibit “A” to Performance Unit Award</w:t>
      </w:r>
    </w:p>
    <w:p>
      <w:pPr>
        <w:pStyle w:val="TextBody"/>
        <w:bidi w:val="0"/>
        <w:spacing w:before="0" w:after="240"/>
        <w:ind w:left="0" w:right="0" w:hanging="0"/>
        <w:jc w:val="both"/>
        <w:rPr/>
      </w:pPr>
      <w:r>
        <w:rPr/>
        <w:t>​</w:t>
      </w:r>
    </w:p>
    <w:tbl>
      <w:tblPr>
        <w:tblW w:w="3685" w:type="dxa"/>
        <w:jc w:val="left"/>
        <w:tblInd w:w="0" w:type="dxa"/>
        <w:tblLayout w:type="fixed"/>
        <w:tblCellMar>
          <w:top w:w="0" w:type="dxa"/>
          <w:left w:w="0" w:type="dxa"/>
          <w:bottom w:w="0" w:type="dxa"/>
          <w:right w:w="0" w:type="dxa"/>
        </w:tblCellMar>
      </w:tblPr>
      <w:tblGrid>
        <w:gridCol w:w="245"/>
        <w:gridCol w:w="3440"/>
      </w:tblGrid>
      <w:tr>
        <w:trPr/>
        <w:tc>
          <w:tcPr>
            <w:tcW w:w="245"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A.</w:t>
            </w:r>
          </w:p>
        </w:tc>
        <w:tc>
          <w:tcPr>
            <w:tcW w:w="344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Committee Methodology for FCF</w:t>
            </w:r>
          </w:p>
        </w:tc>
      </w:tr>
    </w:tbl>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Total Earned Performance Units will be determined taking into account FCF (as defined under Section B below) during each of the three calendar years during the PSU Performance Cycle, with the FCF Performance Percentage determined as a percentage between 0% and 200% for each calendar year.  The FCF Performance Percentages shall be averaged for the three years at the conclusion of the PSU Performance Cycle to determine the Average FCF Performance Percentage for the PSU Performance Cycle.  </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The Company’s achievement of FCF shall determine the FCF Performance Percentage based on the following schedule:  </w:t>
      </w:r>
    </w:p>
    <w:tbl>
      <w:tblPr>
        <w:tblW w:w="5492" w:type="dxa"/>
        <w:jc w:val="left"/>
        <w:tblInd w:w="0" w:type="dxa"/>
        <w:tblLayout w:type="fixed"/>
        <w:tblCellMar>
          <w:top w:w="28" w:type="dxa"/>
          <w:left w:w="103" w:type="dxa"/>
          <w:bottom w:w="28" w:type="dxa"/>
          <w:right w:w="103" w:type="dxa"/>
        </w:tblCellMar>
      </w:tblPr>
      <w:tblGrid>
        <w:gridCol w:w="2251"/>
        <w:gridCol w:w="3241"/>
      </w:tblGrid>
      <w:tr>
        <w:trPr/>
        <w:tc>
          <w:tcPr>
            <w:tcW w:w="225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72" w:before="0" w:after="0"/>
              <w:ind w:left="0" w:right="0" w:hanging="0"/>
              <w:jc w:val="both"/>
              <w:rPr>
                <w:rFonts w:ascii="Helvetica;sans-serif" w:hAnsi="Helvetica;sans-serif"/>
                <w:b/>
                <w:sz w:val="22"/>
              </w:rPr>
            </w:pPr>
            <w:r>
              <w:rPr>
                <w:rFonts w:ascii="Helvetica;sans-serif" w:hAnsi="Helvetica;sans-serif"/>
                <w:b/>
                <w:sz w:val="22"/>
              </w:rPr>
              <w:t>Achievement of FCF</w:t>
            </w:r>
          </w:p>
        </w:tc>
        <w:tc>
          <w:tcPr>
            <w:tcW w:w="324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72" w:before="0" w:after="80"/>
              <w:ind w:left="0" w:right="0" w:hanging="0"/>
              <w:jc w:val="both"/>
              <w:rPr>
                <w:rFonts w:ascii="Helvetica;sans-serif" w:hAnsi="Helvetica;sans-serif"/>
                <w:b/>
                <w:sz w:val="22"/>
              </w:rPr>
            </w:pPr>
            <w:r>
              <w:rPr>
                <w:rFonts w:ascii="Helvetica;sans-serif" w:hAnsi="Helvetica;sans-serif"/>
                <w:b/>
                <w:sz w:val="22"/>
              </w:rPr>
              <w:t>FCF Performance Percentage</w:t>
            </w:r>
          </w:p>
        </w:tc>
      </w:tr>
      <w:tr>
        <w:trPr/>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0"/>
              <w:ind w:left="0" w:right="0" w:hanging="0"/>
              <w:jc w:val="both"/>
              <w:rPr>
                <w:rFonts w:ascii="Helvetica;sans-serif" w:hAnsi="Helvetica;sans-serif"/>
                <w:sz w:val="22"/>
              </w:rPr>
            </w:pPr>
            <w:r>
              <w:rPr>
                <w:rFonts w:ascii="Helvetica;sans-serif" w:hAnsi="Helvetica;sans-serif"/>
                <w:sz w:val="22"/>
              </w:rPr>
              <w:t>Threshold</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80"/>
              <w:ind w:left="0" w:right="0" w:hanging="0"/>
              <w:jc w:val="both"/>
              <w:rPr>
                <w:rFonts w:ascii="Helvetica;sans-serif" w:hAnsi="Helvetica;sans-serif"/>
                <w:sz w:val="22"/>
              </w:rPr>
            </w:pPr>
            <w:r>
              <w:rPr>
                <w:rFonts w:ascii="Helvetica;sans-serif" w:hAnsi="Helvetica;sans-serif"/>
                <w:sz w:val="22"/>
              </w:rPr>
              <w:t>0%</w:t>
            </w:r>
          </w:p>
        </w:tc>
      </w:tr>
      <w:tr>
        <w:trPr/>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0"/>
              <w:ind w:left="0" w:right="0" w:hanging="0"/>
              <w:jc w:val="both"/>
              <w:rPr>
                <w:rFonts w:ascii="Helvetica;sans-serif" w:hAnsi="Helvetica;sans-serif"/>
                <w:sz w:val="22"/>
              </w:rPr>
            </w:pPr>
            <w:r>
              <w:rPr>
                <w:rFonts w:ascii="Helvetica;sans-serif" w:hAnsi="Helvetica;sans-serif"/>
                <w:sz w:val="22"/>
              </w:rPr>
              <w:t>Target</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80"/>
              <w:ind w:left="0" w:right="0" w:hanging="0"/>
              <w:jc w:val="both"/>
              <w:rPr>
                <w:rFonts w:ascii="Helvetica;sans-serif" w:hAnsi="Helvetica;sans-serif"/>
                <w:sz w:val="22"/>
              </w:rPr>
            </w:pPr>
            <w:r>
              <w:rPr>
                <w:rFonts w:ascii="Helvetica;sans-serif" w:hAnsi="Helvetica;sans-serif"/>
                <w:sz w:val="22"/>
              </w:rPr>
              <w:t>100%</w:t>
            </w:r>
          </w:p>
        </w:tc>
      </w:tr>
      <w:tr>
        <w:trPr/>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0"/>
              <w:ind w:left="0" w:right="0" w:hanging="0"/>
              <w:jc w:val="both"/>
              <w:rPr>
                <w:rFonts w:ascii="Helvetica;sans-serif" w:hAnsi="Helvetica;sans-serif"/>
                <w:sz w:val="22"/>
              </w:rPr>
            </w:pPr>
            <w:r>
              <w:rPr>
                <w:rFonts w:ascii="Helvetica;sans-serif" w:hAnsi="Helvetica;sans-serif"/>
                <w:sz w:val="22"/>
              </w:rPr>
              <w:t>Maximum</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80"/>
              <w:ind w:left="0" w:right="446" w:hanging="0"/>
              <w:jc w:val="both"/>
              <w:rPr>
                <w:rFonts w:ascii="Helvetica;sans-serif" w:hAnsi="Helvetica;sans-serif"/>
                <w:sz w:val="22"/>
              </w:rPr>
            </w:pPr>
            <w:r>
              <w:rPr>
                <w:rFonts w:ascii="Helvetica;sans-serif" w:hAnsi="Helvetica;sans-serif"/>
                <w:sz w:val="22"/>
              </w:rPr>
              <w:t>200%</w:t>
            </w:r>
          </w:p>
        </w:tc>
      </w:tr>
    </w:tbl>
    <w:p>
      <w:pPr>
        <w:pStyle w:val="TextBody"/>
        <w:bidi w:val="0"/>
        <w:spacing w:before="0" w:after="240"/>
        <w:ind w:left="0" w:right="0" w:hanging="0"/>
        <w:jc w:val="both"/>
        <w:rPr/>
      </w:pPr>
      <w:r>
        <w:rPr/>
        <w:t>​</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The Committee shall establish the criteria for the threshold, target and maximum FCF for each of the calendar years in the PSU Performance Cycle during the first calendar quarter of each of the relevant calendar years.</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For any achievement of FCF between the levels set forth in the schedule above, the FCF Performance Percentage will be determined by linear interpolation between the percentages assigned in the schedule above.  The FCF Performance Percentage for FCF equal to or below the threshold above shall be 0%, and in no event shall the FCF Performance Percentage for any calendar year exceed 200%.</w:t>
      </w:r>
      <w:bookmarkStart w:id="719" w:name="_Hlk187761863"/>
      <w:bookmarkEnd w:id="719"/>
    </w:p>
    <w:p>
      <w:pPr>
        <w:pStyle w:val="TextBody"/>
        <w:bidi w:val="0"/>
        <w:spacing w:before="0" w:after="120"/>
        <w:ind w:left="0" w:right="0" w:hanging="0"/>
        <w:jc w:val="left"/>
        <w:rPr>
          <w:rFonts w:ascii="Times New Roman;Times;serif" w:hAnsi="Times New Roman;Times;serif"/>
          <w:sz w:val="22"/>
        </w:rPr>
      </w:pPr>
      <w:r>
        <w:rPr>
          <w:rFonts w:ascii="Helvetica;sans-serif" w:hAnsi="Helvetica;sans-serif"/>
          <w:b/>
          <w:i w:val="false"/>
          <w:caps w:val="false"/>
          <w:smallCaps w:val="false"/>
          <w:sz w:val="22"/>
        </w:rPr>
        <w:t>B.</w:t>
      </w:r>
      <w:r>
        <w:rPr>
          <w:rFonts w:ascii="Helvetica;sans-serif" w:hAnsi="Helvetica;sans-serif"/>
          <w:b/>
          <w:sz w:val="22"/>
        </w:rPr>
        <w:t>Definition of Free Cash Flow</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Free Cash Flow (“FCF”) means cash provided by (used in) operating activities, reduced by capital expenditures.  FCF achieved may be adjusted by the Committee to account for any significant transaction not contemplated in the annual goal established by the Committee in the first quarter of each calendar year.  Adjustments may include, but are not limited to, the related or indirect effect on FCF resulting from acquisition, divestiture, reactivation of rigs and any other transaction or activity that may have an impact on FCF as determined appropriate by the Committee.  </w:t>
      </w:r>
    </w:p>
    <w:p>
      <w:pPr>
        <w:pStyle w:val="TextBody"/>
        <w:bidi w:val="0"/>
        <w:spacing w:before="0" w:after="120"/>
        <w:ind w:left="0" w:right="0" w:hanging="0"/>
        <w:jc w:val="both"/>
        <w:rPr>
          <w:rFonts w:ascii="Helvetica;sans-serif" w:hAnsi="Helvetica;sans-serif"/>
          <w:b/>
          <w:sz w:val="22"/>
        </w:rPr>
      </w:pPr>
      <w:r>
        <w:rPr>
          <w:rFonts w:ascii="Helvetica;sans-serif" w:hAnsi="Helvetica;sans-serif"/>
          <w:b/>
          <w:sz w:val="22"/>
        </w:rPr>
        <w:t>C. Committee Methodology for TSR</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Total Earned Performance Units will be determined taking into account achievement of relative TSR performance.  The Committee will make a determination on the Determination Date with respect to the achievement of TSR (as defined under Section D below) by the Company and the members of its peer group (as described under Section E below) and the resulting TSR Modifier.</w:t>
      </w:r>
    </w:p>
    <w:p>
      <w:pPr>
        <w:pStyle w:val="TextBody"/>
        <w:bidi w:val="0"/>
        <w:spacing w:before="0" w:after="160"/>
        <w:ind w:left="0" w:right="0" w:hanging="0"/>
        <w:jc w:val="both"/>
        <w:rPr/>
      </w:pPr>
      <w:r>
        <w:rPr/>
        <w:t>“</w:t>
      </w:r>
      <w:r>
        <w:rPr>
          <w:rFonts w:ascii="Helvetica;sans-serif" w:hAnsi="Helvetica;sans-serif"/>
          <w:sz w:val="22"/>
        </w:rPr>
        <w:t xml:space="preserve">Relative Performance” shall be determined by ranking the Company, along with the other companies in its peer group, from best to worst based on TSR, and then determining the percentile ranking to assess the TSR Modifier, as described below.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bookmarkStart w:id="720" w:name="_Hlk94533792"/>
      <w:bookmarkEnd w:id="720"/>
      <w:r>
        <w:rPr>
          <w:rFonts w:ascii="Helvetica;sans-serif" w:hAnsi="Helvetica;sans-serif"/>
          <w:sz w:val="22"/>
        </w:rPr>
        <w:t xml:space="preserve">If, during the PSU Performance Cycle, (i) any peer group company files for or is the subject of any bankruptcy, insolvency or liquidation proceeding, (ii) any peer group company continues to exist but is no longer publicly traded on an established securities market as a result of a de-listing event (other than due to an acquisition), or (iii) any other corporate financial restructuring event, condition or circumstance exists that, in the determination of the Committee, causes a peer performance to no longer be appropriate for a TSR comparison, such peer group company will remain in the peer group positioned below the lowest performing member of the peer group in chronological order by the date of such bankruptcy, insolvency, liquidation, de-listing or other event, condition or circumstance for the applicable period. </w:t>
      </w:r>
      <w:bookmarkStart w:id="721" w:name="_Hlk94530341"/>
      <w:bookmarkStart w:id="722" w:name="_Hlk188706392"/>
      <w:bookmarkEnd w:id="721"/>
      <w:bookmarkEnd w:id="722"/>
      <w:r>
        <w:rPr>
          <w:rFonts w:ascii="Helvetica;sans-serif" w:hAnsi="Helvetica;sans-serif"/>
          <w:sz w:val="22"/>
        </w:rPr>
        <w:t>In the event that a peer group company is subject to a transaction in which more than 50% of the value of the company’s outstanding shares immediately prior to the transaction are acquired by another person or entity, such company shall be removed from the peer group company listing for the applicable period in which the transaction occurred.  </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The Company’s percentile ranking in its peer group shall determine the TSR Modifier for the number of Earned Performance Units due to relative performance based on the following schedule:</w:t>
      </w:r>
    </w:p>
    <w:tbl>
      <w:tblPr>
        <w:tblW w:w="7097" w:type="dxa"/>
        <w:jc w:val="left"/>
        <w:tblInd w:w="0" w:type="dxa"/>
        <w:tblLayout w:type="fixed"/>
        <w:tblCellMar>
          <w:top w:w="28" w:type="dxa"/>
          <w:left w:w="103" w:type="dxa"/>
          <w:bottom w:w="28" w:type="dxa"/>
          <w:right w:w="103" w:type="dxa"/>
        </w:tblCellMar>
      </w:tblPr>
      <w:tblGrid>
        <w:gridCol w:w="2266"/>
        <w:gridCol w:w="4831"/>
      </w:tblGrid>
      <w:tr>
        <w:trPr/>
        <w:tc>
          <w:tcPr>
            <w:tcW w:w="2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b/>
                <w:sz w:val="20"/>
              </w:rPr>
            </w:pPr>
            <w:r>
              <w:rPr>
                <w:rFonts w:ascii="Helvetica;sans-serif" w:hAnsi="Helvetica;sans-serif"/>
                <w:b/>
                <w:sz w:val="20"/>
              </w:rPr>
              <w:t>Transocean Percentile</w:t>
            </w:r>
          </w:p>
        </w:tc>
        <w:tc>
          <w:tcPr>
            <w:tcW w:w="48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b/>
                <w:sz w:val="20"/>
              </w:rPr>
            </w:pPr>
            <w:r>
              <w:rPr>
                <w:rFonts w:ascii="Helvetica;sans-serif" w:hAnsi="Helvetica;sans-serif"/>
                <w:b/>
                <w:sz w:val="20"/>
              </w:rPr>
              <w:t>TSR Modifier Percentage (“Relative Performance”)</w:t>
            </w:r>
          </w:p>
        </w:tc>
      </w:tr>
      <w:tr>
        <w:trPr/>
        <w:tc>
          <w:tcPr>
            <w:tcW w:w="2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Helvetica;sans-serif" w:hAnsi="Helvetica;sans-serif"/>
                <w:sz w:val="20"/>
              </w:rPr>
              <w:t>90</w:t>
            </w:r>
            <w:r>
              <w:rPr>
                <w:rFonts w:ascii="Helvetica;sans-serif" w:hAnsi="Helvetica;sans-serif"/>
                <w:sz w:val="15"/>
              </w:rPr>
              <w:t>th</w:t>
            </w:r>
            <w:r>
              <w:rPr>
                <w:rFonts w:ascii="Times New Roman;Times;serif" w:hAnsi="Times New Roman;Times;serif"/>
                <w:sz w:val="20"/>
              </w:rPr>
              <w:t xml:space="preserve"> </w:t>
            </w:r>
            <w:r>
              <w:rPr>
                <w:rFonts w:ascii="Helvetica;sans-serif" w:hAnsi="Helvetica;sans-serif"/>
                <w:sz w:val="20"/>
              </w:rPr>
              <w:t>percentile or greater</w:t>
            </w:r>
          </w:p>
        </w:tc>
        <w:tc>
          <w:tcPr>
            <w:tcW w:w="48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25%</w:t>
            </w:r>
          </w:p>
        </w:tc>
      </w:tr>
      <w:tr>
        <w:trPr/>
        <w:tc>
          <w:tcPr>
            <w:tcW w:w="2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Helvetica;sans-serif" w:hAnsi="Helvetica;sans-serif"/>
                <w:sz w:val="20"/>
              </w:rPr>
              <w:t>50</w:t>
            </w:r>
            <w:r>
              <w:rPr>
                <w:rFonts w:ascii="Helvetica;sans-serif" w:hAnsi="Helvetica;sans-serif"/>
                <w:sz w:val="15"/>
              </w:rPr>
              <w:t>th</w:t>
            </w:r>
            <w:r>
              <w:rPr>
                <w:rFonts w:ascii="Times New Roman;Times;serif" w:hAnsi="Times New Roman;Times;serif"/>
                <w:sz w:val="20"/>
              </w:rPr>
              <w:t xml:space="preserve"> </w:t>
            </w:r>
            <w:r>
              <w:rPr>
                <w:rFonts w:ascii="Helvetica;sans-serif" w:hAnsi="Helvetica;sans-serif"/>
                <w:sz w:val="20"/>
              </w:rPr>
              <w:t>percentile (Target)</w:t>
            </w:r>
          </w:p>
        </w:tc>
        <w:tc>
          <w:tcPr>
            <w:tcW w:w="48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0%</w:t>
            </w:r>
          </w:p>
        </w:tc>
      </w:tr>
      <w:tr>
        <w:trPr/>
        <w:tc>
          <w:tcPr>
            <w:tcW w:w="2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Helvetica;sans-serif" w:hAnsi="Helvetica;sans-serif"/>
                <w:sz w:val="20"/>
              </w:rPr>
              <w:t>Less than 25</w:t>
            </w:r>
            <w:r>
              <w:rPr>
                <w:rFonts w:ascii="Helvetica;sans-serif" w:hAnsi="Helvetica;sans-serif"/>
                <w:sz w:val="15"/>
              </w:rPr>
              <w:t>th</w:t>
            </w:r>
            <w:r>
              <w:rPr>
                <w:rFonts w:ascii="Times New Roman;Times;serif" w:hAnsi="Times New Roman;Times;serif"/>
                <w:sz w:val="20"/>
              </w:rPr>
              <w:t xml:space="preserve"> </w:t>
            </w:r>
            <w:r>
              <w:rPr>
                <w:rFonts w:ascii="Helvetica;sans-serif" w:hAnsi="Helvetica;sans-serif"/>
                <w:sz w:val="20"/>
              </w:rPr>
              <w:t>percentile</w:t>
            </w:r>
          </w:p>
        </w:tc>
        <w:tc>
          <w:tcPr>
            <w:tcW w:w="48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-25%</w:t>
            </w:r>
          </w:p>
        </w:tc>
      </w:tr>
    </w:tbl>
    <w:p>
      <w:pPr>
        <w:pStyle w:val="TextBody"/>
        <w:bidi w:val="0"/>
        <w:spacing w:before="120" w:after="120"/>
        <w:ind w:left="0" w:right="0" w:hanging="0"/>
        <w:jc w:val="both"/>
        <w:rPr>
          <w:rFonts w:ascii="Helvetica;sans-serif" w:hAnsi="Helvetica;sans-serif"/>
          <w:sz w:val="22"/>
        </w:rPr>
      </w:pPr>
      <w:r>
        <w:rPr>
          <w:rFonts w:ascii="Helvetica;sans-serif" w:hAnsi="Helvetica;sans-serif"/>
          <w:sz w:val="22"/>
        </w:rPr>
        <w:t>For any achievement of a percentile ranking between the percentiles set forth in the schedule above, the TSR Modifier will be determined by linear interpolation between the percentages assigned in the schedule above.</w:t>
      </w:r>
    </w:p>
    <w:p>
      <w:pPr>
        <w:pStyle w:val="TextBody"/>
        <w:bidi w:val="0"/>
        <w:spacing w:before="0" w:after="120"/>
        <w:ind w:left="0" w:right="0" w:hanging="0"/>
        <w:jc w:val="left"/>
        <w:rPr>
          <w:rFonts w:ascii="Times New Roman;Times;serif" w:hAnsi="Times New Roman;Times;serif"/>
          <w:sz w:val="22"/>
        </w:rPr>
      </w:pPr>
      <w:r>
        <w:rPr>
          <w:rFonts w:ascii="Helvetica;sans-serif" w:hAnsi="Helvetica;sans-serif"/>
          <w:b/>
          <w:i w:val="false"/>
          <w:caps w:val="false"/>
          <w:smallCaps w:val="false"/>
          <w:sz w:val="22"/>
        </w:rPr>
        <w:t>D.</w:t>
      </w:r>
      <w:r>
        <w:rPr>
          <w:rFonts w:ascii="Helvetica;sans-serif" w:hAnsi="Helvetica;sans-serif"/>
          <w:b/>
          <w:sz w:val="22"/>
        </w:rPr>
        <w:t>Definition of Total Shareholder Return</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Total Shareholder Return (“TSR”) through the PSU Performance Cycle is based on the comparison of the average closing share price for the thirty (30) business days prior to January 1, 2026 and the average closing share price for the last thirty (30) business days in the calendar year ending December 31, 2028, adjusted for dividends.  The same calculation is conducted for the Company and each of the companies in the peer group.</w:t>
      </w:r>
    </w:p>
    <w:p>
      <w:pPr>
        <w:pStyle w:val="TextBody"/>
        <w:bidi w:val="0"/>
        <w:spacing w:before="0" w:after="120"/>
        <w:ind w:left="0" w:right="0" w:hanging="0"/>
        <w:jc w:val="left"/>
        <w:rPr>
          <w:rFonts w:ascii="Times New Roman;Times;serif" w:hAnsi="Times New Roman;Times;serif"/>
          <w:sz w:val="22"/>
        </w:rPr>
      </w:pPr>
      <w:r>
        <w:rPr>
          <w:rFonts w:ascii="Helvetica;sans-serif" w:hAnsi="Helvetica;sans-serif"/>
          <w:b/>
          <w:i w:val="false"/>
          <w:caps w:val="false"/>
          <w:smallCaps w:val="false"/>
          <w:sz w:val="22"/>
        </w:rPr>
        <w:t>E.</w:t>
      </w:r>
      <w:r>
        <w:rPr>
          <w:rFonts w:ascii="Helvetica;sans-serif" w:hAnsi="Helvetica;sans-serif"/>
          <w:b/>
          <w:sz w:val="22"/>
        </w:rPr>
        <w:t>Peer Group</w:t>
      </w:r>
    </w:p>
    <w:p>
      <w:pPr>
        <w:pStyle w:val="TextBody"/>
        <w:bidi w:val="0"/>
        <w:spacing w:before="0" w:after="240"/>
        <w:ind w:left="0" w:right="0" w:hanging="0"/>
        <w:jc w:val="both"/>
        <w:rPr>
          <w:rFonts w:ascii="Times New Roman;Times;serif" w:hAnsi="Times New Roman;Times;serif"/>
          <w:sz w:val="22"/>
        </w:rPr>
      </w:pPr>
      <w:r>
        <w:rPr>
          <w:rFonts w:ascii="Helvetica;sans-serif" w:hAnsi="Helvetica;sans-serif"/>
          <w:sz w:val="22"/>
        </w:rPr>
        <w:t>The peer group shall consist of:</w:t>
      </w:r>
      <w:r>
        <w:rPr>
          <w:rFonts w:ascii="Times New Roman;Times;serif" w:hAnsi="Times New Roman;Times;serif"/>
          <w:sz w:val="22"/>
        </w:rPr>
        <w:t xml:space="preserve"> </w:t>
      </w:r>
    </w:p>
    <w:tbl>
      <w:tblPr>
        <w:tblW w:w="6092" w:type="dxa"/>
        <w:jc w:val="left"/>
        <w:tblInd w:w="0" w:type="dxa"/>
        <w:tblLayout w:type="fixed"/>
        <w:tblCellMar>
          <w:top w:w="28" w:type="dxa"/>
          <w:left w:w="103" w:type="dxa"/>
          <w:bottom w:w="28" w:type="dxa"/>
          <w:right w:w="103" w:type="dxa"/>
        </w:tblCellMar>
      </w:tblPr>
      <w:tblGrid>
        <w:gridCol w:w="3106"/>
        <w:gridCol w:w="2986"/>
      </w:tblGrid>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Baker Hughes Company</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Oil States International, Inc.</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Borr Drilling Limited</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Patterson-UTI Energy, Inc.</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Helmrich &amp; Payne, Inc.</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Precision Drilling Corporation</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Nabors Industries Ltd.</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Seadrill Limited</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Noble Corporation plc</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TechnipFMC plc</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NOV Inc.</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Valaris Limited</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Oceaneering International, Inc.</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2"/>
        </w:rPr>
      </w:pPr>
      <w:r>
        <w:rPr>
          <w:rFonts w:ascii="Helvetica;sans-serif" w:hAnsi="Helvetica;sans-serif"/>
          <w:b/>
          <w:i w:val="false"/>
          <w:caps w:val="false"/>
          <w:smallCaps w:val="false"/>
          <w:sz w:val="22"/>
        </w:rPr>
        <w:t>F.</w:t>
      </w:r>
      <w:r>
        <w:rPr>
          <w:rFonts w:ascii="Helvetica;sans-serif" w:hAnsi="Helvetica;sans-serif"/>
          <w:b/>
          <w:sz w:val="22"/>
        </w:rPr>
        <w:t>Determination of Total Earned Performance Units</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The number of Earned Performance Units shall be determined by multiplying the Total Target Performance Units by a percentage equal to the sum of (i) the Average FCF Performance Percentage and (ii) the TSR Modifier (the “Combined Performance Achievement Percentage”).    For the avoidance of doubt, the Combined Performance Achievement Percentage may exceed 200%.  If any calculation with respect to the Earned Performance Units would result in a fractional share, the numbers of Earned Performance Units shall be rounded down to the nearest whole share.</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Notwithstanding the foregoing, a “Price Cap” will apply such that if the Fair Market Value of a Share exceeds $20, subject to adjustment pursuant to Section 15 of the Plan, on the Determination Date, the number of Performance Units that would have become Earned Performance Units as calculated using the Combined Performance Achievement Percentage will be reduced by multiplying such number of Earned Performance Units by a fraction, the numerator of which is $20, subject to adjustment pursuant to Section 15 of the Plan, and the denominator of which is the Fair Market Value of a Share on the Determination Date.  If the Price Cap applies, delivery of a number of Shares equal to such reduced number of Earned Performance Units will be in full satisfaction of the Performance Units.  As an example of the application of the Price Cap, if 100 Performance Units would become Earned Performance Units based on the Combined Performance Achievement Percentage and the Fair Market Value of a Share is $25 on the Determination Date, 80 Shares will be delivered in settlement of the Performance Units (100 x 20/25).</w:t>
      </w:r>
    </w:p>
    <w:p>
      <w:pPr>
        <w:pStyle w:val="TextBody"/>
        <w:bidi w:val="0"/>
        <w:spacing w:before="0" w:after="240"/>
        <w:ind w:left="0" w:right="0" w:hanging="0"/>
        <w:jc w:val="both"/>
        <w:rPr>
          <w:rFonts w:ascii="Times New Roman;Times;serif" w:hAnsi="Times New Roman;Times;serif"/>
          <w:sz w:val="22"/>
        </w:rPr>
      </w:pPr>
      <w:r>
        <w:rPr>
          <w:rFonts w:ascii="Helvetica;sans-serif" w:hAnsi="Helvetica;sans-serif"/>
          <w:b/>
          <w:sz w:val="22"/>
        </w:rPr>
        <w:t>NOTE:</w:t>
      </w:r>
      <w:r>
        <w:rPr>
          <w:rFonts w:ascii="Times New Roman;Times;serif" w:hAnsi="Times New Roman;Times;serif"/>
          <w:sz w:val="22"/>
        </w:rPr>
        <w:t xml:space="preserve">  </w:t>
      </w:r>
      <w:r>
        <w:rPr>
          <w:rFonts w:ascii="Helvetica;sans-serif" w:hAnsi="Helvetica;sans-serif"/>
          <w:b/>
          <w:sz w:val="22"/>
        </w:rPr>
        <w:t>The Committee has the sole authority to interpret the terms of this Exhibit A, including the determination of FCF and the formula for TSR.  The Committee’s determination of all matters in connection with the award will be final and binding.</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Helvetica;sans-serif" w:hAnsi="Helvetica;sans-serif"/>
          <w:sz w:val="22"/>
        </w:rPr>
      </w:pPr>
      <w:bookmarkStart w:id="723" w:name="rig-20260331xex10d2.htm"/>
      <w:bookmarkStart w:id="724" w:name="ksrig20260331xex10d2"/>
      <w:bookmarkEnd w:id="723"/>
      <w:bookmarkEnd w:id="724"/>
      <w:r>
        <w:rPr>
          <w:rFonts w:ascii="Helvetica;sans-serif" w:hAnsi="Helvetica;sans-serif"/>
          <w:sz w:val="22"/>
        </w:rPr>
        <w:t>Exhibit 10.2</w:t>
      </w:r>
      <w:r>
        <w:br w:type="page"/>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Transocean Ltd. 2015 Long-Term Incentive Plan</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(As Amended and Restated Effective May 30, 2025)</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Appendix A to Award Letter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Terms and Conditions of Awards</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February 5, 2026</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To the extent you are granted an award of (1) Performance Units and (2) Restricted Share Units (the award of the Performance Units and Restricted Share Units together, the “Awards”) under the Transocean Ltd. 2015 Long-Term Incentive Plan, as amended and restated effective May 30, 2025 (the “Plan”) effective as of the date indicated above (the “Grant Date”), the target number of Performance Units and the number of shares of Restricted Share Units subject to such grant is set forth in an award letter to you (the “Award Letter”).  Any such Award is subject to the terms and conditions set forth in the Plan, the Prospectus for the Plan, any rules and regulations adopted by the Committee, and the additional terms and conditions set forth in this Appendix A which forms а part of your Award Letter.  Any terms used in the Award Letter or this Appendix A and not defined herein have the meanings set forth in the Plan.  The terms and provisions of your Award are governed by the terms of the Plan as effective May 30, 2025, and amended from time to time thereafter.  In the event there is an inconsistency between the terms of the Plan and the Award Letter, the terms of the Plan will control.</w:t>
      </w:r>
    </w:p>
    <w:tbl>
      <w:tblPr>
        <w:tblW w:w="3520" w:type="dxa"/>
        <w:jc w:val="left"/>
        <w:tblInd w:w="0" w:type="dxa"/>
        <w:tblLayout w:type="fixed"/>
        <w:tblCellMar>
          <w:top w:w="0" w:type="dxa"/>
          <w:left w:w="0" w:type="dxa"/>
          <w:bottom w:w="0" w:type="dxa"/>
          <w:right w:w="0" w:type="dxa"/>
        </w:tblCellMar>
      </w:tblPr>
      <w:tblGrid>
        <w:gridCol w:w="995"/>
        <w:gridCol w:w="2525"/>
      </w:tblGrid>
      <w:tr>
        <w:trPr/>
        <w:tc>
          <w:tcPr>
            <w:tcW w:w="995"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Section I.</w:t>
            </w:r>
          </w:p>
        </w:tc>
        <w:tc>
          <w:tcPr>
            <w:tcW w:w="252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PERFORMANCE UNITS</w:t>
            </w:r>
          </w:p>
        </w:tc>
      </w:tr>
    </w:tbl>
    <w:tbl>
      <w:tblPr>
        <w:tblW w:w="4810" w:type="dxa"/>
        <w:jc w:val="left"/>
        <w:tblInd w:w="0" w:type="dxa"/>
        <w:tblLayout w:type="fixed"/>
        <w:tblCellMar>
          <w:top w:w="0" w:type="dxa"/>
          <w:left w:w="0" w:type="dxa"/>
          <w:bottom w:w="0" w:type="dxa"/>
          <w:right w:w="0" w:type="dxa"/>
        </w:tblCellMar>
      </w:tblPr>
      <w:tblGrid>
        <w:gridCol w:w="200"/>
        <w:gridCol w:w="461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w:t>
            </w:r>
          </w:p>
        </w:tc>
        <w:tc>
          <w:tcPr>
            <w:tcW w:w="461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Determination of Earned Performance Units</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Total Target Performance Unit Grant</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 xml:space="preserve">For purposes of the Award Letter (including this Appendix A), the term “Total Target Performance Units” shall mean the total number of target Shares (or other consideration) that may be issued to you in respect of the achievement of certain performance standards as described herein, subject to the terms and conditions hereof. </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Earned Performance Units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exact number of Performance Units that will actually be earned by and issued to you and subject to the vesting described in Section I.2 (the “Earned Performance Units”) will be based upon the achievement by the Company of the performance standard, as described in this Section I.1(b).  </w:t>
      </w:r>
    </w:p>
    <w:p>
      <w:pPr>
        <w:pStyle w:val="TextBody"/>
        <w:bidi w:val="0"/>
        <w:spacing w:before="0" w:after="0"/>
        <w:ind w:left="1440" w:right="0" w:hanging="0"/>
        <w:jc w:val="both"/>
        <w:rPr>
          <w:rFonts w:ascii="Helvetica;sans-serif" w:hAnsi="Helvetica;sans-serif"/>
          <w:sz w:val="22"/>
        </w:rPr>
      </w:pPr>
      <w:r>
        <w:rPr>
          <w:rFonts w:ascii="Helvetica;sans-serif" w:hAnsi="Helvetica;sans-serif"/>
          <w:sz w:val="22"/>
        </w:rPr>
        <w:t xml:space="preserve">After the conclusion of the period beginning January 1, 2026 and ending December 31, 2028 (the ”PSU Performance Cycle”), the Committee will make a determination as to the number of Earned Performance Units based on performance standards established for free cash flow (“FCF”) and the Company’s relative performance on total shareholder return (“TSR”) as compared against a peer group (as identified in Exhibit A). FCF performance will be measured over the three twelve-month calendar periods during the PSU Performance Cycle, with performance achievement calculated between 0% and 200% for each twelve-month period (the “FCF Performance Percentage”), and then the average of the resulting three FCF Performance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Appendix A</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both"/>
        <w:rPr>
          <w:rFonts w:ascii="Times New Roman;Times;serif" w:hAnsi="Times New Roman;Times;serif"/>
          <w:sz w:val="22"/>
        </w:rPr>
      </w:pPr>
      <w:r>
        <w:rPr>
          <w:rFonts w:ascii="Helvetica;sans-serif" w:hAnsi="Helvetica;sans-serif"/>
          <w:sz w:val="22"/>
        </w:rPr>
        <w:t>Percentages will be calculated (the “Average FCF Performance Percentage”). The Average FCF Performance Percentage will be modified by applying a percentage between negative 25% and positive 25% (the “TSR Modifier”) determined based on the Company’s relative performance on TSR as compared against a peer group (as identified in Exhibit A)</w:t>
      </w:r>
      <w:r>
        <w:rPr>
          <w:rFonts w:ascii="Times New Roman;Times;serif" w:hAnsi="Times New Roman;Times;serif"/>
          <w:sz w:val="22"/>
        </w:rPr>
        <w:t xml:space="preserve"> </w:t>
      </w:r>
      <w:r>
        <w:rPr>
          <w:rFonts w:ascii="Helvetica;sans-serif" w:hAnsi="Helvetica;sans-serif"/>
          <w:sz w:val="22"/>
        </w:rPr>
        <w:t>over the PSU Performance Cycle, Cycle, and the result shall be referred to as the “Combined Performance Achievement Percentage.” The determination by the Committee of the Average FCF Performance Percentage and the TSR Modifier will be made following the end of the PSU Performance Cycle after all necessary Company and peer information is available.  The specific date on which such determination is formally made and approved by the Committee is referred to as the “Determination Date”.  After the Determination Date, the Company will notify you of the number of Earned Performance Units, if any.</w:t>
      </w:r>
    </w:p>
    <w:p>
      <w:pPr>
        <w:pStyle w:val="TextBody"/>
        <w:bidi w:val="0"/>
        <w:spacing w:before="0" w:after="0"/>
        <w:ind w:left="1440" w:right="0" w:hanging="0"/>
        <w:jc w:val="left"/>
        <w:rPr/>
      </w:pPr>
      <w:r>
        <w:rPr/>
        <w:t>​</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More detailed definitions for FCF and TSR and the methodology for determining the Combined Performance Achievement Percentage and the resulting number of Earned Performance Units are incorporated herein as Exhibit A.</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Committee Determinations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Committee shall have absolute discretion to determine the number of Earned Performance Units to which you are entitled, if any, including without limitation such adjustments as may be necessary in the opinion of the Committee to account for changes since the date of the Award Letter.  The Committee’s determination shall be final, conclusive and binding upon you.  You shall not have any right or claim with respect to any units other than Earned Performance Units to which you become entitled based on action by the Committee in accordance with this Appendix A.</w:t>
      </w:r>
    </w:p>
    <w:tbl>
      <w:tblPr>
        <w:tblW w:w="1015" w:type="dxa"/>
        <w:jc w:val="left"/>
        <w:tblInd w:w="0" w:type="dxa"/>
        <w:tblLayout w:type="fixed"/>
        <w:tblCellMar>
          <w:top w:w="0" w:type="dxa"/>
          <w:left w:w="0" w:type="dxa"/>
          <w:bottom w:w="0" w:type="dxa"/>
          <w:right w:w="0" w:type="dxa"/>
        </w:tblCellMar>
      </w:tblPr>
      <w:tblGrid>
        <w:gridCol w:w="200"/>
        <w:gridCol w:w="81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w:t>
            </w:r>
          </w:p>
        </w:tc>
        <w:tc>
          <w:tcPr>
            <w:tcW w:w="81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Vesting</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(a)Unless vested on an earlier date as provided in this Appendix A, the Earned Performance Units will be vested on December 31, 2028, subject to your continued employment through that date.</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(b)In certain circumstances more particularly described in Sections I.5 and I.6 below, your Earned Performance Units may vest before the date set forth in Section I.2(a).  In addition, the Committee may accelerate the vesting of all or a portion of your Earned Performance Units at any time in its discretion.</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(c)You do not need to pay any purchase price for the Earned Performance Units unless otherwise required in accordance with applicable law.</w:t>
      </w:r>
    </w:p>
    <w:tbl>
      <w:tblPr>
        <w:tblW w:w="1495" w:type="dxa"/>
        <w:jc w:val="left"/>
        <w:tblInd w:w="0" w:type="dxa"/>
        <w:tblLayout w:type="fixed"/>
        <w:tblCellMar>
          <w:top w:w="0" w:type="dxa"/>
          <w:left w:w="0" w:type="dxa"/>
          <w:bottom w:w="0" w:type="dxa"/>
          <w:right w:w="0" w:type="dxa"/>
        </w:tblCellMar>
      </w:tblPr>
      <w:tblGrid>
        <w:gridCol w:w="200"/>
        <w:gridCol w:w="129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w:t>
            </w:r>
          </w:p>
        </w:tc>
        <w:tc>
          <w:tcPr>
            <w:tcW w:w="129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Restrictions</w:t>
            </w:r>
          </w:p>
        </w:tc>
      </w:tr>
    </w:tbl>
    <w:p>
      <w:pPr>
        <w:pStyle w:val="TextBody"/>
        <w:bidi w:val="0"/>
        <w:spacing w:before="0" w:after="0"/>
        <w:ind w:left="720" w:right="0" w:hanging="0"/>
        <w:jc w:val="both"/>
        <w:rPr>
          <w:rFonts w:ascii="Helvetica;sans-serif" w:hAnsi="Helvetica;sans-serif"/>
          <w:sz w:val="22"/>
        </w:rPr>
      </w:pPr>
      <w:r>
        <w:rPr>
          <w:rFonts w:ascii="Helvetica;sans-serif" w:hAnsi="Helvetica;sans-serif"/>
          <w:sz w:val="22"/>
        </w:rPr>
        <w:t xml:space="preserve">Until and unless you vest in your Earned Performance Units and receive a distribution of Shares, you do not own any of the Shares potentially subject to this performance award and may not attempt to sell, transfer, assign or pledge any such Shares.  After the PSU Performance Cycle has ended and all Earned Performance Units are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determined, the net Shares (total Shares distributable in respect of vested Earned Performance Units minus any Shares retained by the Company in accordance with the policies and requirements described in Section IV.4) will be delivered on March 15, 2028 in street name to your brokerage account (or, in the event of your death, to a brokerage account in the name of your beneficiary under the Plan) with the broker retained by the Company for such purpose (the “Broker”).  Any Shares distributed to you in respect of vested Earned Performance Units will be registered in your name and will not be subject to any restrictions.  Notwithstanding the foregoing, the number of Shares distributed to you will be subject to the number of Shares that remain available for issuance under Paragraph 5 of the Plan, as amended, and the Committee may make such adjustment as it deems appropriate to the number of Shares distributed to reflect any limitation on Shares available.  </w:t>
      </w:r>
    </w:p>
    <w:tbl>
      <w:tblPr>
        <w:tblW w:w="4810" w:type="dxa"/>
        <w:jc w:val="left"/>
        <w:tblInd w:w="0" w:type="dxa"/>
        <w:tblLayout w:type="fixed"/>
        <w:tblCellMar>
          <w:top w:w="0" w:type="dxa"/>
          <w:left w:w="0" w:type="dxa"/>
          <w:bottom w:w="0" w:type="dxa"/>
          <w:right w:w="0" w:type="dxa"/>
        </w:tblCellMar>
      </w:tblPr>
      <w:tblGrid>
        <w:gridCol w:w="200"/>
        <w:gridCol w:w="461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w:t>
            </w:r>
          </w:p>
        </w:tc>
        <w:tc>
          <w:tcPr>
            <w:tcW w:w="461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Dividend Equivalents, Dividends and Voting</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Vested Earned Performance Units</w:t>
      </w:r>
      <w:r>
        <w:rPr>
          <w:rFonts w:ascii="Helvetica;sans-serif" w:hAnsi="Helvetica;sans-serif"/>
          <w:sz w:val="22"/>
        </w:rPr>
        <w:t>.  In the event that dividends are paid with respect to Shares such that the applicable record date for such dividends occurs during the period beginning on the Grant Date and ending on the date you receive a distribution of Shares in satisfaction of your vested Earned Performance Units, you will be entitled to receive a cash payment equal to the amount of the dividend paid per Share as of each such dividend payment date multiplied by the number of vested Earned Performance Units (the “Earned Dividend Equivalent”).  You will have no right to receive any payment of dividend equivalents with respect to Performance Units that do not become vested Earned Performance Units.  All Earned Dividend Equivalents (if any) will be paid in cash on the date of the regularly scheduled payroll next following the date of distribution of Shares with respect to your vested Earned Performance Units, or as soon as administratively practicable following such date and shall be subject to all applicable withholding taxes.  For any non-cash dividends, the Committee may determine in its sole discretion the cash value to be so paid to you in respect of such vested Earned Performance Units or, if applicable, the adjustment to be applied pursuant to Section 15 of the Plan.</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Voting Shares</w:t>
      </w:r>
      <w:r>
        <w:rPr>
          <w:rFonts w:ascii="Helvetica;sans-serif" w:hAnsi="Helvetica;sans-serif"/>
          <w:sz w:val="22"/>
        </w:rPr>
        <w:t>.  You will have the right to vote your Shares that have been distributed in respect of any vested Earned Performance Units. There are no voting rights associated with Performance Units (including Earned Performance Units).</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No Other Rights</w:t>
      </w:r>
      <w:r>
        <w:rPr>
          <w:rFonts w:ascii="Helvetica;sans-serif" w:hAnsi="Helvetica;sans-serif"/>
          <w:sz w:val="22"/>
        </w:rPr>
        <w:t>.  You shall have no other dividend equivalent, dividend or voting rights with respect to any Performance Unit.</w:t>
      </w:r>
    </w:p>
    <w:tbl>
      <w:tblPr>
        <w:tblW w:w="3130" w:type="dxa"/>
        <w:jc w:val="left"/>
        <w:tblInd w:w="0" w:type="dxa"/>
        <w:tblLayout w:type="fixed"/>
        <w:tblCellMar>
          <w:top w:w="0" w:type="dxa"/>
          <w:left w:w="0" w:type="dxa"/>
          <w:bottom w:w="0" w:type="dxa"/>
          <w:right w:w="0" w:type="dxa"/>
        </w:tblCellMar>
      </w:tblPr>
      <w:tblGrid>
        <w:gridCol w:w="200"/>
        <w:gridCol w:w="293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w:t>
            </w:r>
          </w:p>
        </w:tc>
        <w:tc>
          <w:tcPr>
            <w:tcW w:w="293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Termination of Employment</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Termination prior to the end of the PSU Performance Cycle</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terms set out in subsections (i)–(iii) below of this Section I.5(a) shall apply to the vesting and settlement of Earned Performance Units in the event of your termination of employment prior to the last day of the PSU Performance Cycle.</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4"/>
        </w:rPr>
      </w:pPr>
      <w:r>
        <w:rPr>
          <w:rFonts w:ascii="Helvetica;sans-serif" w:hAnsi="Helvetica;sans-serif"/>
          <w:sz w:val="22"/>
        </w:rPr>
        <w:t>(i)</w:t>
      </w:r>
      <w:r>
        <w:rPr>
          <w:rFonts w:ascii="Helvetica;sans-serif" w:hAnsi="Helvetica;sans-serif"/>
          <w:b/>
          <w:sz w:val="22"/>
        </w:rPr>
        <w:t>Death or Disability</w:t>
      </w:r>
      <w:r>
        <w:rPr>
          <w:rFonts w:ascii="Helvetica;sans-serif" w:hAnsi="Helvetica;sans-serif"/>
          <w:sz w:val="22"/>
        </w:rPr>
        <w:t>.  If your employment is terminated by reason of death or Disability, you will be entitled to earn a Pro-Rata Earned Award.  Distribution under Section I.3 in satisfaction of all such Earned Performance Units shall be made on March 15, 2029.</w:t>
      </w:r>
    </w:p>
    <w:p>
      <w:pPr>
        <w:pStyle w:val="TextBody"/>
        <w:bidi w:val="0"/>
        <w:spacing w:before="0" w:after="240"/>
        <w:ind w:left="1440" w:right="0" w:hanging="0"/>
        <w:jc w:val="both"/>
        <w:rPr>
          <w:rFonts w:ascii="Times New Roman;Times;serif" w:hAnsi="Times New Roman;Times;serif"/>
          <w:sz w:val="24"/>
        </w:rPr>
      </w:pPr>
      <w:r>
        <w:rPr>
          <w:rFonts w:ascii="Helvetica;sans-serif" w:hAnsi="Helvetica;sans-serif"/>
          <w:sz w:val="22"/>
        </w:rPr>
        <w:t>(ii)</w:t>
      </w:r>
      <w:r>
        <w:rPr>
          <w:rFonts w:ascii="Helvetica;sans-serif" w:hAnsi="Helvetica;sans-serif"/>
          <w:b/>
          <w:sz w:val="22"/>
        </w:rPr>
        <w:t>Involuntary Termination or Retirement</w:t>
      </w:r>
      <w:r>
        <w:rPr>
          <w:rFonts w:ascii="Helvetica;sans-serif" w:hAnsi="Helvetica;sans-serif"/>
          <w:sz w:val="22"/>
        </w:rPr>
        <w:t>.  If your employment is terminated in an Involuntary Termination or by reason of you becoming a Retiree, you will be entitled to earn a Pro-Rata Earned Award.  Distribution under Section I.3 in satisfaction of all such Earned Performance Units shall be made on March 15, 2029.</w:t>
      </w:r>
    </w:p>
    <w:p>
      <w:pPr>
        <w:pStyle w:val="TextBody"/>
        <w:bidi w:val="0"/>
        <w:spacing w:before="0" w:after="240"/>
        <w:ind w:left="1440" w:right="0" w:hanging="0"/>
        <w:jc w:val="both"/>
        <w:rPr>
          <w:rFonts w:ascii="Times New Roman;Times;serif" w:hAnsi="Times New Roman;Times;serif"/>
          <w:sz w:val="24"/>
        </w:rPr>
      </w:pPr>
      <w:r>
        <w:rPr>
          <w:rFonts w:ascii="Helvetica;sans-serif" w:hAnsi="Helvetica;sans-serif"/>
          <w:sz w:val="22"/>
        </w:rPr>
        <w:t>(iii)</w:t>
      </w:r>
      <w:r>
        <w:rPr>
          <w:rFonts w:ascii="Helvetica;sans-serif" w:hAnsi="Helvetica;sans-serif"/>
          <w:b/>
          <w:sz w:val="22"/>
        </w:rPr>
        <w:t>Other Termination of Employment</w:t>
      </w:r>
      <w:r>
        <w:rPr>
          <w:rFonts w:ascii="Helvetica;sans-serif" w:hAnsi="Helvetica;sans-serif"/>
          <w:sz w:val="22"/>
        </w:rPr>
        <w:t>.  If your employment is terminated prior to the end of the PSU Performance Cycle for any reason other than those set forth in Section I.5(a)(i), I.5(a)(ii) and I.6(b), you will not be entitled to any Earned Performance Units.</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Adjustments by the Committee</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Committee may, in its sole discretion, accelerate the vesting of your right to receive all or any portion of any Earned Performance Units, distributed on the distribution date under Section I.3.</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Forfeiture of Performance Units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In addition to forfeitures of Performance Units pursuant to Section I.5(a) above, if you violate or fail to comply with any of the covenants or obligations applicable to you under the Executive Severance Benefit Policy, you shall immediately forfeit any Performance Units, whether or not earned.</w:t>
      </w:r>
    </w:p>
    <w:tbl>
      <w:tblPr>
        <w:tblW w:w="2155" w:type="dxa"/>
        <w:jc w:val="left"/>
        <w:tblInd w:w="0" w:type="dxa"/>
        <w:tblLayout w:type="fixed"/>
        <w:tblCellMar>
          <w:top w:w="0" w:type="dxa"/>
          <w:left w:w="0" w:type="dxa"/>
          <w:bottom w:w="0" w:type="dxa"/>
          <w:right w:w="0" w:type="dxa"/>
        </w:tblCellMar>
      </w:tblPr>
      <w:tblGrid>
        <w:gridCol w:w="200"/>
        <w:gridCol w:w="195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w:t>
            </w:r>
          </w:p>
        </w:tc>
        <w:tc>
          <w:tcPr>
            <w:tcW w:w="195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Change of Control</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Change of Control</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Upon the occurrence of a Change of Control, if you are employed by the Company on the date of such Change of Control and the Determination Date has not occurred, the number of Earned Performance Units to which you are entitled shall be equal to the Total Target Performance Units, subject to the vesting provisions described in the Award Letter and Section I.2, I.5, and I.6(b).</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The Shares (or other consideration) shall be issued in satisfaction of the Earned Performance Units on the distribution date under Section I.3.</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Change of Control Termination</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Notwithstanding the provisions of the Award Letter or Sections I.2, I.5 or I.6(a), all of your Earned Performance Units (as described in Section I.6(a)) will vest immediately upon a Change of Control Termination and the Shares (or other consideration) shall be issued in satisfaction of the Earned Performance Units thirty days after the date of such Change of Control Termination.</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4105" w:type="dxa"/>
        <w:jc w:val="left"/>
        <w:tblInd w:w="0" w:type="dxa"/>
        <w:tblLayout w:type="fixed"/>
        <w:tblCellMar>
          <w:top w:w="0" w:type="dxa"/>
          <w:left w:w="0" w:type="dxa"/>
          <w:bottom w:w="0" w:type="dxa"/>
          <w:right w:w="0" w:type="dxa"/>
        </w:tblCellMar>
      </w:tblPr>
      <w:tblGrid>
        <w:gridCol w:w="1055"/>
        <w:gridCol w:w="3050"/>
      </w:tblGrid>
      <w:tr>
        <w:trPr/>
        <w:tc>
          <w:tcPr>
            <w:tcW w:w="1055"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Section II.</w:t>
            </w:r>
          </w:p>
        </w:tc>
        <w:tc>
          <w:tcPr>
            <w:tcW w:w="305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RESTRICTED SHARE UNITS</w:t>
            </w:r>
          </w:p>
        </w:tc>
      </w:tr>
    </w:tbl>
    <w:tbl>
      <w:tblPr>
        <w:tblW w:w="3895" w:type="dxa"/>
        <w:jc w:val="left"/>
        <w:tblInd w:w="0" w:type="dxa"/>
        <w:tblLayout w:type="fixed"/>
        <w:tblCellMar>
          <w:top w:w="0" w:type="dxa"/>
          <w:left w:w="0" w:type="dxa"/>
          <w:bottom w:w="0" w:type="dxa"/>
          <w:right w:w="0" w:type="dxa"/>
        </w:tblCellMar>
      </w:tblPr>
      <w:tblGrid>
        <w:gridCol w:w="200"/>
        <w:gridCol w:w="369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w:t>
            </w:r>
          </w:p>
        </w:tc>
        <w:tc>
          <w:tcPr>
            <w:tcW w:w="369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Vesting and Restricted Share Units</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(a)Unless vested on an earlier date as provided in this Appendix A, the Restricted Share Units granted pursuant to your Award Letter will fully vest in installments in accordance with the following vesting schedule (each date below, an “RSU Vesting Date”) provided that you remain continuously employed through the applicable RSU Vesting Date:</w:t>
      </w:r>
    </w:p>
    <w:tbl>
      <w:tblPr>
        <w:tblW w:w="6482" w:type="dxa"/>
        <w:jc w:val="left"/>
        <w:tblInd w:w="0" w:type="dxa"/>
        <w:tblLayout w:type="fixed"/>
        <w:tblCellMar>
          <w:top w:w="28" w:type="dxa"/>
          <w:left w:w="112" w:type="dxa"/>
          <w:bottom w:w="28" w:type="dxa"/>
          <w:right w:w="112" w:type="dxa"/>
        </w:tblCellMar>
      </w:tblPr>
      <w:tblGrid>
        <w:gridCol w:w="1996"/>
        <w:gridCol w:w="4486"/>
      </w:tblGrid>
      <w:tr>
        <w:trPr/>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58"/>
              <w:ind w:left="0" w:right="0" w:hanging="0"/>
              <w:jc w:val="center"/>
              <w:rPr>
                <w:rFonts w:ascii="Helvetica;sans-serif" w:hAnsi="Helvetica;sans-serif"/>
                <w:b/>
                <w:sz w:val="22"/>
              </w:rPr>
            </w:pPr>
            <w:r>
              <w:rPr>
                <w:rFonts w:ascii="Helvetica;sans-serif" w:hAnsi="Helvetica;sans-serif"/>
                <w:b/>
                <w:sz w:val="22"/>
              </w:rPr>
              <w:t>RSU Vesting Date</w:t>
            </w:r>
          </w:p>
        </w:tc>
        <w:tc>
          <w:tcPr>
            <w:tcW w:w="4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58"/>
              <w:ind w:left="0" w:right="0" w:hanging="0"/>
              <w:jc w:val="center"/>
              <w:rPr>
                <w:rFonts w:ascii="Helvetica;sans-serif" w:hAnsi="Helvetica;sans-serif"/>
                <w:b/>
                <w:sz w:val="22"/>
              </w:rPr>
            </w:pPr>
            <w:r>
              <w:rPr>
                <w:rFonts w:ascii="Helvetica;sans-serif" w:hAnsi="Helvetica;sans-serif"/>
                <w:b/>
                <w:sz w:val="22"/>
              </w:rPr>
              <w:t>Portion of Restricted Share Units Vesting</w:t>
            </w:r>
          </w:p>
        </w:tc>
      </w:tr>
      <w:tr>
        <w:trPr/>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March 1, 2027</w:t>
            </w:r>
          </w:p>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March 1, 2028</w:t>
            </w:r>
          </w:p>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March 1, 2029</w:t>
            </w:r>
          </w:p>
        </w:tc>
        <w:tc>
          <w:tcPr>
            <w:tcW w:w="4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1/3</w:t>
            </w:r>
          </w:p>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1/3</w:t>
            </w:r>
          </w:p>
          <w:p>
            <w:pPr>
              <w:pStyle w:val="TableContents"/>
              <w:bidi w:val="0"/>
              <w:spacing w:before="0" w:after="0"/>
              <w:ind w:left="0" w:right="0" w:hanging="0"/>
              <w:jc w:val="center"/>
              <w:rPr>
                <w:rFonts w:ascii="Helvetica;sans-serif" w:hAnsi="Helvetica;sans-serif"/>
                <w:sz w:val="22"/>
              </w:rPr>
            </w:pPr>
            <w:r>
              <w:rPr>
                <w:rFonts w:ascii="Helvetica;sans-serif" w:hAnsi="Helvetica;sans-serif"/>
                <w:sz w:val="22"/>
              </w:rPr>
              <w:t>1/3</w:t>
            </w:r>
          </w:p>
        </w:tc>
      </w:tr>
    </w:tbl>
    <w:p>
      <w:pPr>
        <w:pStyle w:val="TextBody"/>
        <w:bidi w:val="0"/>
        <w:spacing w:before="0" w:after="240"/>
        <w:ind w:left="0" w:right="0" w:hanging="0"/>
        <w:jc w:val="both"/>
        <w:rPr/>
      </w:pPr>
      <w:r>
        <w:rPr/>
        <w:t>​</w:t>
      </w:r>
    </w:p>
    <w:p>
      <w:pPr>
        <w:pStyle w:val="TextBody"/>
        <w:bidi w:val="0"/>
        <w:spacing w:before="0" w:after="0"/>
        <w:ind w:left="1440" w:right="0" w:hanging="0"/>
        <w:jc w:val="both"/>
        <w:rPr>
          <w:rFonts w:ascii="Helvetica;sans-serif" w:hAnsi="Helvetica;sans-serif"/>
          <w:sz w:val="22"/>
        </w:rPr>
      </w:pPr>
      <w:r>
        <w:rPr>
          <w:rFonts w:ascii="Helvetica;sans-serif" w:hAnsi="Helvetica;sans-serif"/>
          <w:sz w:val="22"/>
        </w:rPr>
        <w:t>To the extent that the vesting schedule above would result in vesting of a fractional Restricted Share Unit, such fractional Restricted Share Unit shall be rounded to a whole number as determined by the Committee.</w:t>
      </w:r>
    </w:p>
    <w:p>
      <w:pPr>
        <w:pStyle w:val="TextBody"/>
        <w:bidi w:val="0"/>
        <w:spacing w:before="0" w:after="240"/>
        <w:ind w:left="0" w:right="0" w:hanging="0"/>
        <w:jc w:val="both"/>
        <w:rPr/>
      </w:pPr>
      <w:r>
        <w:rPr/>
        <w:t>​</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(b)In certain circumstances described in Section II.4 below, your Restricted Share Units may fully vest before the final scheduled RSU Vesting Date.  In addition, the Committee may accelerate the vesting of all or a portion of your Restricted Share Units at any time in its discretion, subject to the provisions of Section II.4(d).  The date of any accelerated vesting under Section II.4 below will be a RSU Vesting Date for purposes of this Appendix A.</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(c)You do not need to pay any purchase price for the Restricted Share Units unless otherwise required in accordance with applicable law.</w:t>
      </w:r>
    </w:p>
    <w:tbl>
      <w:tblPr>
        <w:tblW w:w="4645" w:type="dxa"/>
        <w:jc w:val="left"/>
        <w:tblInd w:w="0" w:type="dxa"/>
        <w:tblLayout w:type="fixed"/>
        <w:tblCellMar>
          <w:top w:w="0" w:type="dxa"/>
          <w:left w:w="0" w:type="dxa"/>
          <w:bottom w:w="0" w:type="dxa"/>
          <w:right w:w="0" w:type="dxa"/>
        </w:tblCellMar>
      </w:tblPr>
      <w:tblGrid>
        <w:gridCol w:w="200"/>
        <w:gridCol w:w="444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w:t>
            </w:r>
          </w:p>
        </w:tc>
        <w:tc>
          <w:tcPr>
            <w:tcW w:w="444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Restrictions on the Restricted Share Units</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 xml:space="preserve">Until and unless you vest in your Restricted Share Units and receive a distribution of Shares, you may not attempt to sell, transfer, assign or pledge them.  Until the date on which you receive a distribution of the Shares in respect of any vested Restricted Share Units awarded hereunder, your award of Restricted Share Units will be evidenced by credit to a book entry account. </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When Restricted Share Units vest and become payable, the net Shares (total Shares distributable in respect of vested Restricted Share Units minus any Shares retained by the Company in accordance with the policies and requirements described in Section IV.4), will be delivered to you within sixty days after the RSU Vesting Date in street name to your brokerage account (or, in the event of your death, to a brokerage account in the name of your beneficiary under the Plan) with the Broker.  Any Shares distributed to you in respect of vested Restricted Share Units will be registered in your name and will not be subject to any restrictions.  There will be some delay between the RSU Vesting Date and the date your Shares become available to you due to administrative reasons.</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640" w:type="dxa"/>
        <w:jc w:val="left"/>
        <w:tblInd w:w="0" w:type="dxa"/>
        <w:tblLayout w:type="fixed"/>
        <w:tblCellMar>
          <w:top w:w="0" w:type="dxa"/>
          <w:left w:w="0" w:type="dxa"/>
          <w:bottom w:w="0" w:type="dxa"/>
          <w:right w:w="0" w:type="dxa"/>
        </w:tblCellMar>
      </w:tblPr>
      <w:tblGrid>
        <w:gridCol w:w="200"/>
        <w:gridCol w:w="344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w:t>
            </w:r>
          </w:p>
        </w:tc>
        <w:tc>
          <w:tcPr>
            <w:tcW w:w="344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Dividend Equivalents and Voting</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Dividend Equivalents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In the event that dividends are paid with respect to Shares such that the applicable record date occurs during the period beginning on the Grant Date and ending on the date you receive a distribution of Shares in satisfaction of your vested Restricted Share Units, you will be entitled to receive a cash payment equal to the amount of the dividend paid per Share as of such dividend payment date multiplied by the number of vested Restricted Share Units (the “Dividend Equivalent”).  Dividend Equivalents (if any) payable with respect to your vested Restricted Share Units will be paid in cash on the date of the regularly scheduled payroll next following the applicable Vesting Date, or as soon as administratively practicable following such date, and shall be subject to all applicable withholding taxes.  For any non-cash dividends, the Committee may determine in its sole discretion the cash value to be so paid to you in respect of such Restricted Share Units or, if applicable, the adjustment to be applied pursuant to Section 15 of the Plan.</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Voting Shares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You will have the right to vote your Shares that have been distributed in respect of any vested Restricted Share Units.  There are no voting rights associated with Restricted Share Units.</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No Other Rights</w:t>
      </w:r>
    </w:p>
    <w:p>
      <w:pPr>
        <w:pStyle w:val="TextBody"/>
        <w:bidi w:val="0"/>
        <w:spacing w:before="0" w:after="240"/>
        <w:ind w:left="1440" w:right="0" w:hanging="0"/>
        <w:jc w:val="both"/>
        <w:rPr>
          <w:rFonts w:ascii="Helvetica;sans-serif" w:hAnsi="Helvetica;sans-serif"/>
          <w:sz w:val="22"/>
        </w:rPr>
      </w:pPr>
      <w:r>
        <w:rPr>
          <w:rFonts w:ascii="Helvetica;sans-serif" w:hAnsi="Helvetica;sans-serif"/>
          <w:sz w:val="22"/>
        </w:rPr>
        <w:t>You shall have no other dividend equivalent, dividend or voting rights with respect to any Restricted Share Unit.</w:t>
      </w:r>
    </w:p>
    <w:tbl>
      <w:tblPr>
        <w:tblW w:w="3130" w:type="dxa"/>
        <w:jc w:val="left"/>
        <w:tblInd w:w="0" w:type="dxa"/>
        <w:tblLayout w:type="fixed"/>
        <w:tblCellMar>
          <w:top w:w="0" w:type="dxa"/>
          <w:left w:w="0" w:type="dxa"/>
          <w:bottom w:w="0" w:type="dxa"/>
          <w:right w:w="0" w:type="dxa"/>
        </w:tblCellMar>
      </w:tblPr>
      <w:tblGrid>
        <w:gridCol w:w="200"/>
        <w:gridCol w:w="293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w:t>
            </w:r>
          </w:p>
        </w:tc>
        <w:tc>
          <w:tcPr>
            <w:tcW w:w="293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Termination of Employment</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The following rules apply to the vesting of your Restricted Share Units in the event of your termination of employment.</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Helvetica;sans-serif" w:hAnsi="Helvetica;sans-serif"/>
          <w:b/>
          <w:sz w:val="22"/>
        </w:rPr>
        <w:t>Death or Disability</w:t>
      </w:r>
      <w:r>
        <w:rPr>
          <w:rFonts w:ascii="Helvetica;sans-serif" w:hAnsi="Helvetica;sans-serif"/>
          <w:sz w:val="22"/>
        </w:rPr>
        <w:t>.  If your employment is terminated by reason of death or Disability, all of your Restricted Share Units will vest on your date of termination.  If you are Retirement Eligible and you experience a Disability that satisfies the requirements of U.S. Treasury Regulation Section 1.409A-3(i)(4) prior to the termination of your employment, all of your Restricted Share Units will vest on the date of such Disability.</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Helvetica;sans-serif" w:hAnsi="Helvetica;sans-serif"/>
          <w:b/>
          <w:sz w:val="22"/>
        </w:rPr>
        <w:t>Involuntary Termination or Retirement</w:t>
      </w:r>
      <w:r>
        <w:rPr>
          <w:rFonts w:ascii="Helvetica;sans-serif" w:hAnsi="Helvetica;sans-serif"/>
          <w:sz w:val="22"/>
        </w:rPr>
        <w:t xml:space="preserve">.  If your employment is terminated in an Involuntary Termination or by reason of you becoming a Retiree, a pro rata portion of your Restricted Share Units will vest on your date of termination; such pro rata portion shall be determined by multiplying the number of Restricted Share Units granted to you and remaining outstanding and unvested at the time your employment is terminated by a fraction, the numerator of which is the number of calendar days you were employed between the Grant Date and your date of termination and the denominator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of which is the number of calendar days between the Grant Date and the final scheduled RSU Vesting Date.</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Helvetica;sans-serif" w:hAnsi="Helvetica;sans-serif"/>
          <w:b/>
          <w:sz w:val="22"/>
        </w:rPr>
        <w:t>Other Termination of Employment</w:t>
      </w:r>
      <w:r>
        <w:rPr>
          <w:rFonts w:ascii="Helvetica;sans-serif" w:hAnsi="Helvetica;sans-serif"/>
          <w:sz w:val="22"/>
        </w:rPr>
        <w:t>.  If your employment terminates for any reason other than those set forth in Sections II.4(a), II.4(b) and II.5, any of your Restricted Share Units which have not vested prior to your termination of employment will be forfeited.</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(d)</w:t>
      </w:r>
      <w:r>
        <w:rPr>
          <w:rFonts w:ascii="Helvetica;sans-serif" w:hAnsi="Helvetica;sans-serif"/>
          <w:b/>
          <w:sz w:val="22"/>
        </w:rPr>
        <w:t>Adjustments by the Committee</w:t>
      </w:r>
      <w:r>
        <w:rPr>
          <w:rFonts w:ascii="Helvetica;sans-serif" w:hAnsi="Helvetica;sans-serif"/>
          <w:sz w:val="22"/>
        </w:rPr>
        <w:t>.  The Committee may, in its sole discretion, accelerate the vesting of all or any portion of your Restricted Share Units; provided, however, that no acceleration of delivery of Shares shall be made in a manner that is not in compliance with, or exempt from, any applicable requirements of Code Section 409A.</w:t>
      </w:r>
    </w:p>
    <w:tbl>
      <w:tblPr>
        <w:tblW w:w="2335" w:type="dxa"/>
        <w:jc w:val="left"/>
        <w:tblInd w:w="0" w:type="dxa"/>
        <w:tblLayout w:type="fixed"/>
        <w:tblCellMar>
          <w:top w:w="0" w:type="dxa"/>
          <w:left w:w="0" w:type="dxa"/>
          <w:bottom w:w="0" w:type="dxa"/>
          <w:right w:w="0" w:type="dxa"/>
        </w:tblCellMar>
      </w:tblPr>
      <w:tblGrid>
        <w:gridCol w:w="200"/>
        <w:gridCol w:w="213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w:t>
            </w:r>
          </w:p>
        </w:tc>
        <w:tc>
          <w:tcPr>
            <w:tcW w:w="213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Change of Control.  </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Notwithstanding the provisions of the Award Letter or Sections II.1 or II.4, all of your Restricted Share Units will vest immediately upon a Change of Control Termination.</w:t>
      </w:r>
    </w:p>
    <w:tbl>
      <w:tblPr>
        <w:tblW w:w="2620" w:type="dxa"/>
        <w:jc w:val="left"/>
        <w:tblInd w:w="0" w:type="dxa"/>
        <w:tblLayout w:type="fixed"/>
        <w:tblCellMar>
          <w:top w:w="0" w:type="dxa"/>
          <w:left w:w="0" w:type="dxa"/>
          <w:bottom w:w="0" w:type="dxa"/>
          <w:right w:w="0" w:type="dxa"/>
        </w:tblCellMar>
      </w:tblPr>
      <w:tblGrid>
        <w:gridCol w:w="1115"/>
        <w:gridCol w:w="1505"/>
      </w:tblGrid>
      <w:tr>
        <w:trPr/>
        <w:tc>
          <w:tcPr>
            <w:tcW w:w="1115"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Section III.</w:t>
            </w:r>
          </w:p>
        </w:tc>
        <w:tc>
          <w:tcPr>
            <w:tcW w:w="150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Miscellaneous</w:t>
            </w:r>
          </w:p>
        </w:tc>
      </w:tr>
    </w:tbl>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The terms and provisions of this Section III apply to all Awards.  </w:t>
      </w:r>
    </w:p>
    <w:tbl>
      <w:tblPr>
        <w:tblW w:w="1360" w:type="dxa"/>
        <w:jc w:val="left"/>
        <w:tblInd w:w="0" w:type="dxa"/>
        <w:tblLayout w:type="fixed"/>
        <w:tblCellMar>
          <w:top w:w="0" w:type="dxa"/>
          <w:left w:w="0" w:type="dxa"/>
          <w:bottom w:w="0" w:type="dxa"/>
          <w:right w:w="0" w:type="dxa"/>
        </w:tblCellMar>
      </w:tblPr>
      <w:tblGrid>
        <w:gridCol w:w="200"/>
        <w:gridCol w:w="116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w:t>
            </w:r>
          </w:p>
        </w:tc>
        <w:tc>
          <w:tcPr>
            <w:tcW w:w="116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Definitions</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(a)</w:t>
      </w:r>
      <w:r>
        <w:rPr>
          <w:rFonts w:ascii="Times New Roman;Times;serif" w:hAnsi="Times New Roman;Times;serif"/>
          <w:sz w:val="22"/>
        </w:rPr>
        <w:t>“</w:t>
      </w:r>
      <w:r>
        <w:rPr>
          <w:rFonts w:ascii="Helvetica;sans-serif" w:hAnsi="Helvetica;sans-serif"/>
          <w:b/>
          <w:sz w:val="22"/>
        </w:rPr>
        <w:t>Cause”</w:t>
      </w:r>
      <w:r>
        <w:rPr>
          <w:rFonts w:ascii="Times New Roman;Times;serif" w:hAnsi="Times New Roman;Times;serif"/>
          <w:sz w:val="22"/>
        </w:rPr>
        <w:t xml:space="preserve"> </w:t>
      </w:r>
      <w:r>
        <w:rPr>
          <w:rFonts w:ascii="Helvetica;sans-serif" w:hAnsi="Helvetica;sans-serif"/>
          <w:sz w:val="22"/>
        </w:rPr>
        <w:t>means (1) your willful and continued failure to substantially perform your duties with the Company (other than any such failure resulting from your incapacity due to physical or mental illness), (2) your willful engagement in conduct which is demonstrably and materially injurious to the Company or its Subsidiaries, monetarily or otherwise, (3) your willful, material breach of any written policy of the Company or any written agreement between you and the Company or any of its Subsidiaries, including, but not limited to, the Company’s Code of Integrity, human resource or legal compliance and ethics policies or any employment agreement, (4) your indictment of a felony or a misdemeanor involving fraud, dishonesty or moral turpitude, or (5) such other events, acts or omissions as shall be determined in good faith.  For purposes of clauses (1), (2) and (3) of this definition, no act, or failure to act, on your part shall be deemed “willful” unless done, or omitted to be done, by you not in good faith and without reasonable belief that your act, or failure to act, was in the best interest of the Company.</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(b)</w:t>
      </w:r>
      <w:r>
        <w:rPr>
          <w:rFonts w:ascii="Times New Roman;Times;serif" w:hAnsi="Times New Roman;Times;serif"/>
          <w:sz w:val="22"/>
        </w:rPr>
        <w:t>“</w:t>
      </w:r>
      <w:r>
        <w:rPr>
          <w:rFonts w:ascii="Helvetica;sans-serif" w:hAnsi="Helvetica;sans-serif"/>
          <w:b/>
          <w:sz w:val="22"/>
        </w:rPr>
        <w:t>Change of Control Termination”</w:t>
      </w:r>
      <w:r>
        <w:rPr>
          <w:rFonts w:ascii="Times New Roman;Times;serif" w:hAnsi="Times New Roman;Times;serif"/>
          <w:sz w:val="22"/>
        </w:rPr>
        <w:t xml:space="preserve"> </w:t>
      </w:r>
      <w:r>
        <w:rPr>
          <w:rFonts w:ascii="Helvetica;sans-serif" w:hAnsi="Helvetica;sans-serif"/>
          <w:sz w:val="22"/>
        </w:rPr>
        <w:t>means and occurs on the date of your termination of employment by the Company or any Subsidiary for any reason other than Cause within two years after the date of a Change of Control.</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(c)</w:t>
      </w:r>
      <w:r>
        <w:rPr>
          <w:rFonts w:ascii="Times New Roman;Times;serif" w:hAnsi="Times New Roman;Times;serif"/>
          <w:sz w:val="22"/>
        </w:rPr>
        <w:t>“</w:t>
      </w:r>
      <w:r>
        <w:rPr>
          <w:rFonts w:ascii="Helvetica;sans-serif" w:hAnsi="Helvetica;sans-serif"/>
          <w:b/>
          <w:sz w:val="22"/>
        </w:rPr>
        <w:t>Disability”</w:t>
      </w:r>
      <w:r>
        <w:rPr>
          <w:rFonts w:ascii="Times New Roman;Times;serif" w:hAnsi="Times New Roman;Times;serif"/>
          <w:sz w:val="22"/>
        </w:rPr>
        <w:t xml:space="preserve"> </w:t>
      </w:r>
      <w:r>
        <w:rPr>
          <w:rFonts w:ascii="Helvetica;sans-serif" w:hAnsi="Helvetica;sans-serif"/>
          <w:sz w:val="22"/>
        </w:rPr>
        <w:t>means (1) you qualify for disability benefits under a long term disability plan sponsored by the Company or (2) if you are not covered by any such long term disability plan, the Chief Executive Officer of the Company, or in the case of the termination of employment of the Chief Executive Officer of the Company, the Committee,</w:t>
      </w:r>
      <w:r>
        <w:rPr>
          <w:rFonts w:ascii="Times New Roman;Times;serif" w:hAnsi="Times New Roman;Times;serif"/>
          <w:sz w:val="22"/>
        </w:rPr>
        <w:t xml:space="preserve"> </w:t>
      </w:r>
      <w:r>
        <w:rPr>
          <w:rFonts w:ascii="Helvetica;sans-serif" w:hAnsi="Helvetica;sans-serif"/>
          <w:sz w:val="22"/>
        </w:rPr>
        <w:t>has determined that you are disabled.</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(d)</w:t>
      </w:r>
      <w:r>
        <w:rPr>
          <w:rFonts w:ascii="Times New Roman;Times;serif" w:hAnsi="Times New Roman;Times;serif"/>
          <w:sz w:val="22"/>
        </w:rPr>
        <w:t>“</w:t>
      </w:r>
      <w:r>
        <w:rPr>
          <w:rFonts w:ascii="Helvetica;sans-serif" w:hAnsi="Helvetica;sans-serif"/>
          <w:b/>
          <w:sz w:val="22"/>
        </w:rPr>
        <w:t>Good Reason”</w:t>
      </w:r>
      <w:r>
        <w:rPr>
          <w:rFonts w:ascii="Times New Roman;Times;serif" w:hAnsi="Times New Roman;Times;serif"/>
          <w:sz w:val="22"/>
        </w:rPr>
        <w:t xml:space="preserve"> </w:t>
      </w:r>
      <w:r>
        <w:rPr>
          <w:rFonts w:ascii="Helvetica;sans-serif" w:hAnsi="Helvetica;sans-serif"/>
          <w:sz w:val="22"/>
        </w:rPr>
        <w:t>means (1) the diminution of your duties or responsibilities, or a demotion of your position, to such an extent or in such a manner as to relegate you to a position not substantially similar to that which you held prior to such change or (2) a material reduction in your base salary or annual incentive plan opportunities other than in connection with such reductions that are applicable to the Company’s executives as a group.  You shall not be considered to have terminated for Good Reason unless you notify the Company in writing within 30 days of the date the event giving rise to Good Reason occurs, the Company does not cure such condition within 30 days of such notice and you terminate your employment no later than 90 days after the date the event giving rise to Good Reason occurred.</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(e)</w:t>
      </w:r>
      <w:r>
        <w:rPr>
          <w:rFonts w:ascii="Times New Roman;Times;serif" w:hAnsi="Times New Roman;Times;serif"/>
          <w:sz w:val="22"/>
        </w:rPr>
        <w:t>“</w:t>
      </w:r>
      <w:r>
        <w:rPr>
          <w:rFonts w:ascii="Helvetica;sans-serif" w:hAnsi="Helvetica;sans-serif"/>
          <w:b/>
          <w:sz w:val="22"/>
        </w:rPr>
        <w:t>Involuntary Termination”</w:t>
      </w:r>
      <w:r>
        <w:rPr>
          <w:rFonts w:ascii="Times New Roman;Times;serif" w:hAnsi="Times New Roman;Times;serif"/>
          <w:sz w:val="22"/>
        </w:rPr>
        <w:t xml:space="preserve"> </w:t>
      </w:r>
      <w:r>
        <w:rPr>
          <w:rFonts w:ascii="Helvetica;sans-serif" w:hAnsi="Helvetica;sans-serif"/>
          <w:sz w:val="22"/>
        </w:rPr>
        <w:t>means the termination of your employment (i) by the Company without Cause or (ii) by you for Good Reason.</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(f)With respect to an award of Performance Units,</w:t>
      </w:r>
      <w:r>
        <w:rPr>
          <w:rFonts w:ascii="Times New Roman;Times;serif" w:hAnsi="Times New Roman;Times;serif"/>
          <w:sz w:val="22"/>
        </w:rPr>
        <w:t xml:space="preserve"> “</w:t>
      </w:r>
      <w:r>
        <w:rPr>
          <w:rFonts w:ascii="Helvetica;sans-serif" w:hAnsi="Helvetica;sans-serif"/>
          <w:b/>
          <w:sz w:val="22"/>
        </w:rPr>
        <w:t>Pro-Rata Earned Award”</w:t>
      </w:r>
      <w:r>
        <w:rPr>
          <w:rFonts w:ascii="Times New Roman;Times;serif" w:hAnsi="Times New Roman;Times;serif"/>
          <w:sz w:val="22"/>
        </w:rPr>
        <w:t xml:space="preserve"> </w:t>
      </w:r>
      <w:r>
        <w:rPr>
          <w:rFonts w:ascii="Helvetica;sans-serif" w:hAnsi="Helvetica;sans-serif"/>
          <w:sz w:val="22"/>
        </w:rPr>
        <w:t>is determined by multiplying the number of Earned Performance Units which would have otherwise been earned had your employment not been terminated by a fraction, the numerator of which is the number of calendar days you were employed during the period beginning January 1, 2026 and ending December 31, 2028 and the denominator of which is the total number of calendar days in the period beginning January 1, 2026 and ending December 31, 2028.</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(g)You are a</w:t>
      </w:r>
      <w:r>
        <w:rPr>
          <w:rFonts w:ascii="Times New Roman;Times;serif" w:hAnsi="Times New Roman;Times;serif"/>
          <w:sz w:val="22"/>
        </w:rPr>
        <w:t xml:space="preserve"> “</w:t>
      </w:r>
      <w:r>
        <w:rPr>
          <w:rFonts w:ascii="Helvetica;sans-serif" w:hAnsi="Helvetica;sans-serif"/>
          <w:b/>
          <w:sz w:val="22"/>
        </w:rPr>
        <w:t>Retiree”</w:t>
      </w:r>
      <w:r>
        <w:rPr>
          <w:rFonts w:ascii="Times New Roman;Times;serif" w:hAnsi="Times New Roman;Times;serif"/>
          <w:sz w:val="22"/>
        </w:rPr>
        <w:t xml:space="preserve"> </w:t>
      </w:r>
      <w:r>
        <w:rPr>
          <w:rFonts w:ascii="Helvetica;sans-serif" w:hAnsi="Helvetica;sans-serif"/>
          <w:sz w:val="22"/>
        </w:rPr>
        <w:t>if your separation from service occurs for any reason other than Cause, Involuntary Termination, Change in Control Termination, death or Disability after (a) attainment of age 62 and (b) completion of at least five years of service with the Company or its Subsidiaries.</w:t>
      </w:r>
    </w:p>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(h)With respect to an award of Restricted Share Units,</w:t>
      </w:r>
      <w:r>
        <w:rPr>
          <w:rFonts w:ascii="Times New Roman;Times;serif" w:hAnsi="Times New Roman;Times;serif"/>
          <w:sz w:val="22"/>
        </w:rPr>
        <w:t xml:space="preserve"> “</w:t>
      </w:r>
      <w:r>
        <w:rPr>
          <w:rFonts w:ascii="Helvetica;sans-serif" w:hAnsi="Helvetica;sans-serif"/>
          <w:b/>
          <w:sz w:val="22"/>
        </w:rPr>
        <w:t>Retirement Eligible”</w:t>
      </w:r>
      <w:r>
        <w:rPr>
          <w:rFonts w:ascii="Times New Roman;Times;serif" w:hAnsi="Times New Roman;Times;serif"/>
          <w:sz w:val="22"/>
        </w:rPr>
        <w:t xml:space="preserve"> </w:t>
      </w:r>
      <w:r>
        <w:rPr>
          <w:rFonts w:ascii="Helvetica;sans-serif" w:hAnsi="Helvetica;sans-serif"/>
          <w:sz w:val="22"/>
        </w:rPr>
        <w:t>means, and will apply if, your final RSU Vesting Date is scheduled to occur after the calendar year in which you will complete at least five years of service with the Company or its Subsidiaries and will attain at least age 62.</w:t>
      </w:r>
    </w:p>
    <w:tbl>
      <w:tblPr>
        <w:tblW w:w="2575" w:type="dxa"/>
        <w:jc w:val="left"/>
        <w:tblInd w:w="0" w:type="dxa"/>
        <w:tblLayout w:type="fixed"/>
        <w:tblCellMar>
          <w:top w:w="0" w:type="dxa"/>
          <w:left w:w="0" w:type="dxa"/>
          <w:bottom w:w="0" w:type="dxa"/>
          <w:right w:w="0" w:type="dxa"/>
        </w:tblCellMar>
      </w:tblPr>
      <w:tblGrid>
        <w:gridCol w:w="200"/>
        <w:gridCol w:w="237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w:t>
            </w:r>
          </w:p>
        </w:tc>
        <w:tc>
          <w:tcPr>
            <w:tcW w:w="237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Award Determinations</w:t>
            </w:r>
          </w:p>
        </w:tc>
      </w:tr>
    </w:tbl>
    <w:p>
      <w:pPr>
        <w:pStyle w:val="TextBody"/>
        <w:bidi w:val="0"/>
        <w:spacing w:before="0" w:after="240"/>
        <w:ind w:left="720" w:right="0" w:hanging="0"/>
        <w:jc w:val="both"/>
        <w:rPr>
          <w:rFonts w:ascii="Times New Roman;Times;serif" w:hAnsi="Times New Roman;Times;serif"/>
          <w:sz w:val="22"/>
        </w:rPr>
      </w:pPr>
      <w:r>
        <w:rPr>
          <w:rFonts w:ascii="Helvetica;sans-serif" w:hAnsi="Helvetica;sans-serif"/>
          <w:sz w:val="22"/>
        </w:rPr>
        <w:t>The Chief Executive Officer of the Company, or in the case of the termination of employment of the Chief Executive Officer of the Company, the Committee, shall have absolute discretion to determine the date and</w:t>
      </w:r>
      <w:r>
        <w:rPr>
          <w:rFonts w:ascii="Times New Roman;Times;serif" w:hAnsi="Times New Roman;Times;serif"/>
          <w:sz w:val="22"/>
        </w:rPr>
        <w:t xml:space="preserve"> </w:t>
      </w:r>
      <w:r>
        <w:rPr>
          <w:rFonts w:ascii="Helvetica;sans-serif" w:hAnsi="Helvetica;sans-serif"/>
          <w:sz w:val="22"/>
        </w:rPr>
        <w:t>circumstances of termination of your employment or separation from service, including without limitation whether as a result of Disability, Involuntary Termination, Cause, Good Reason or any other reason and whether you are a Retiree, and such determination shall be final, conclusive and binding upon you.</w:t>
      </w:r>
    </w:p>
    <w:tbl>
      <w:tblPr>
        <w:tblW w:w="2725" w:type="dxa"/>
        <w:jc w:val="left"/>
        <w:tblInd w:w="0" w:type="dxa"/>
        <w:tblLayout w:type="fixed"/>
        <w:tblCellMar>
          <w:top w:w="0" w:type="dxa"/>
          <w:left w:w="0" w:type="dxa"/>
          <w:bottom w:w="0" w:type="dxa"/>
          <w:right w:w="0" w:type="dxa"/>
        </w:tblCellMar>
      </w:tblPr>
      <w:tblGrid>
        <w:gridCol w:w="200"/>
        <w:gridCol w:w="252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w:t>
            </w:r>
          </w:p>
        </w:tc>
        <w:tc>
          <w:tcPr>
            <w:tcW w:w="252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Section 280G Limitation</w:t>
            </w:r>
          </w:p>
        </w:tc>
      </w:tr>
    </w:tbl>
    <w:p>
      <w:pPr>
        <w:pStyle w:val="TextBody"/>
        <w:bidi w:val="0"/>
        <w:spacing w:before="0" w:after="0"/>
        <w:ind w:left="720" w:right="0" w:hanging="0"/>
        <w:jc w:val="both"/>
        <w:rPr>
          <w:rFonts w:ascii="Helvetica;sans-serif" w:hAnsi="Helvetica;sans-serif"/>
          <w:sz w:val="22"/>
        </w:rPr>
      </w:pPr>
      <w:r>
        <w:rPr>
          <w:rFonts w:ascii="Helvetica;sans-serif" w:hAnsi="Helvetica;sans-serif"/>
          <w:sz w:val="22"/>
        </w:rPr>
        <w:t xml:space="preserve">Notwithstanding anything in the Award Letter (including this Appendix A) to the contrary, if all or any portion of the benefits provided hereunder, either alone or together with other payments and benefits received or to be received from the Company or any affiliate or successor, would constitute a “parachute payment”, as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such term is defined in Code Section 280G(b)(2), the aggregate of the amounts constituting the parachute payment shall be reduced to the extent necessary so that no portion thereof shall be subject to the excise tax imposed by Code Section 4999, but only if, by reason of such reduction, the net after-tax benefit shall exceed the net after-tax benefit if such reduction were not made.  “Net after-tax benefit” for these purposes shall mean the sum of (w) the total amount payable under this Award, plus (x) all other payments and benefits which you receive or are then entitled to receive from the Company or an Affiliate that, alone or in combination with the amounts payable under the Award, would constitute a “parachute payment” within the meaning of Code Section 280G, less (y) the amount of federal income taxes payable with respect to the foregoing calculated at the maximum marginal income tax rate for each year in which the foregoing shall be paid (based upon the rate in effect for such year as set forth in the Code at the time of the payment under the Plan), less (z) the amount of excise taxes imposed with respect to the payments and benefits described in (w) and (x) above by Code Section 4999.  Such reduction shall be made to those amounts that provide you with the best economic benefit (and to the extent any payments are economically equivalent, each shall be reduced pro rata), which may include, without limitation and to the extent necessary, a reduction to the Awards or vesting of the Awards in order that this limitation not be exceeded; provided, however, that this Section IV.3 shall be superseded in its entirety by (i) any contrary treatment of parachute payments to which you have agreed in writing prior to the Change of Control pursuant to any other plan, program or agreement, or (ii) any more favorable treatment of the excise tax on parachute payments extended to you by the Company or its affiliates pursuant to any other plan, program or agreement.</w:t>
      </w:r>
    </w:p>
    <w:tbl>
      <w:tblPr>
        <w:tblW w:w="4000" w:type="dxa"/>
        <w:jc w:val="left"/>
        <w:tblInd w:w="0" w:type="dxa"/>
        <w:tblLayout w:type="fixed"/>
        <w:tblCellMar>
          <w:top w:w="0" w:type="dxa"/>
          <w:left w:w="0" w:type="dxa"/>
          <w:bottom w:w="0" w:type="dxa"/>
          <w:right w:w="0" w:type="dxa"/>
        </w:tblCellMar>
      </w:tblPr>
      <w:tblGrid>
        <w:gridCol w:w="200"/>
        <w:gridCol w:w="380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w:t>
            </w:r>
          </w:p>
        </w:tc>
        <w:tc>
          <w:tcPr>
            <w:tcW w:w="380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Tax Consequences and Withholding</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(a)You should consult the Plan Prospectus for a general summary of the Swiss federal income tax consequences to you and, if applicable, the U.S. tax consequences to you, upon the grant, vesting or distribution to you of the Awards based on currently applicable provisions of the Code, related regulations and Swiss tax rules. The summary does not discuss state and local tax laws or the laws of any other jurisdictions, which may differ from the U.S. federal tax law and Swiss tax rules. For these reasons, you are urged to consult your own tax advisor regarding the application of the tax laws to your particular situation.</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(b)With respect to Awards of Performance Units under Section I and Restricted Share Units under Section II, the Company shall reduce the number of Shares otherwise deliverable to you with respect to your Earned Performance Units or Restricted Share Units by a number of Shares having a value approximately equal to the amount required to be withheld under the Company’s policies and procedures or applicable law.  Further, any dividend equivalents paid to you in respect of Earned Performance Units or Restricted Share Units pursuant to Section I.4 or II.3, respectively, will be subject to tax withholding, as appropriate, as additional compensation.</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 xml:space="preserve">(c)You may not elect to have the Broker withhold Shares having a value less than the minimum statutory withholding tax liability or, if you are serving as an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expatriate employee, the “standard deduction” withheld in accordance with the Company’s policies and procedures. If you fail to satisfy such withholding obligation in a time and manner satisfactory to the Company, the Company shall have the right to withhold the required amount from your salary or other amounts payable to you.</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(d)In addition to the previous withholding requirements, any award under the Plan is also subject to all applicable withholding policies of the Company as may be in effect from time to time, at the sole discretion of the Company.  Without limiting the generality of the foregoing, the Company expressly has the right to collect or cause to be collected, pursuant to any tax equalization or other plan or policy, as any such policies or plans may be in effect from time to time (irrespective of whether such withholding correlates to the applicable tax withholding requirement with respect to your award) proceeds of the sale of Shares acquired upon vesting of the applicable award through a sale arranged by the Company or Broker on your behalf pursuant to this authorization without further consent.  Awards are further subject to any tax and other reporting requirement that may be applicable in any pertinent jurisdiction including any obligation to report awards (whether related to the granting or vesting thereof or exercise of rights thereunder) to any taxing authority or other pertinent third party.</w:t>
      </w:r>
    </w:p>
    <w:tbl>
      <w:tblPr>
        <w:tblW w:w="2590" w:type="dxa"/>
        <w:jc w:val="left"/>
        <w:tblInd w:w="0" w:type="dxa"/>
        <w:tblLayout w:type="fixed"/>
        <w:tblCellMar>
          <w:top w:w="0" w:type="dxa"/>
          <w:left w:w="0" w:type="dxa"/>
          <w:bottom w:w="0" w:type="dxa"/>
          <w:right w:w="0" w:type="dxa"/>
        </w:tblCellMar>
      </w:tblPr>
      <w:tblGrid>
        <w:gridCol w:w="200"/>
        <w:gridCol w:w="239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w:t>
            </w:r>
          </w:p>
        </w:tc>
        <w:tc>
          <w:tcPr>
            <w:tcW w:w="239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Restrictions on Resale</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Other than the restrictions referenced in Sections I.3 and II.2, there are no restrictions imposed by the Plan on the resale of Shares acquired under the Plan.  However, under the provisions of the Securities Act and the rules and regulations of the SEC, resales of Shares acquired under the Plan by certain officers and directors of the Company who may be deemed to be “affiliates” of the Company must be made pursuant to an appropriate effective registration statement filed with the SEC, pursuant to the provisions of Rule 144 issued under the Securities Act, or pursuant to another exemption from registration provided in the Securities Act.  At the present time, the Company does not have a currently effective registration statement pursuant to which such resales may be made by affiliates.  There are no restrictions imposed by the SEC on the resale of Shares acquired under the Plan by persons who are not affiliates of the Company; provided, however, that all employees are subject to the Company’s policies against insider trading, and restrictions against resale may be imposed by the Company from time-to-time as may be necessary under applicable law.</w:t>
      </w:r>
    </w:p>
    <w:tbl>
      <w:tblPr>
        <w:tblW w:w="1405" w:type="dxa"/>
        <w:jc w:val="left"/>
        <w:tblInd w:w="0" w:type="dxa"/>
        <w:tblLayout w:type="fixed"/>
        <w:tblCellMar>
          <w:top w:w="0" w:type="dxa"/>
          <w:left w:w="0" w:type="dxa"/>
          <w:bottom w:w="0" w:type="dxa"/>
          <w:right w:w="0" w:type="dxa"/>
        </w:tblCellMar>
      </w:tblPr>
      <w:tblGrid>
        <w:gridCol w:w="200"/>
        <w:gridCol w:w="120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w:t>
            </w:r>
          </w:p>
        </w:tc>
        <w:tc>
          <w:tcPr>
            <w:tcW w:w="120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Beneficiary</w:t>
            </w:r>
          </w:p>
        </w:tc>
      </w:tr>
    </w:tbl>
    <w:p>
      <w:pPr>
        <w:pStyle w:val="TextBody"/>
        <w:bidi w:val="0"/>
        <w:spacing w:before="0" w:after="0"/>
        <w:ind w:left="720" w:right="0" w:hanging="0"/>
        <w:jc w:val="both"/>
        <w:rPr>
          <w:rFonts w:ascii="Helvetica;sans-serif" w:hAnsi="Helvetica;sans-serif"/>
          <w:sz w:val="22"/>
        </w:rPr>
      </w:pPr>
      <w:r>
        <w:rPr>
          <w:rFonts w:ascii="Helvetica;sans-serif" w:hAnsi="Helvetica;sans-serif"/>
          <w:sz w:val="22"/>
        </w:rPr>
        <w:t xml:space="preserve">You may designate a beneficiary to receive any portion of your Performance Units and Restricted Share Units that become due to you after your death, and you may change your beneficiary from time to time.  Beneficiary designations should be filed with the Broker with respect to Performance Units and Restricted Share Units.   The beneficiary if you fail to file a designation with the Broker for the Performance Units and the Restricted Share Units, will be (1) the beneficiary you designated under any group life insurance plan maintained by the Company or its Subsidiaries that provides the largest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death benefit, which will constitute the designated beneficiary for purposes of this Section IV.6, or, if none, (2) the executor or administrator of your estate.</w:t>
      </w:r>
    </w:p>
    <w:tbl>
      <w:tblPr>
        <w:tblW w:w="2755" w:type="dxa"/>
        <w:jc w:val="left"/>
        <w:tblInd w:w="0" w:type="dxa"/>
        <w:tblLayout w:type="fixed"/>
        <w:tblCellMar>
          <w:top w:w="0" w:type="dxa"/>
          <w:left w:w="0" w:type="dxa"/>
          <w:bottom w:w="0" w:type="dxa"/>
          <w:right w:w="0" w:type="dxa"/>
        </w:tblCellMar>
      </w:tblPr>
      <w:tblGrid>
        <w:gridCol w:w="200"/>
        <w:gridCol w:w="2555"/>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w:t>
            </w:r>
          </w:p>
        </w:tc>
        <w:tc>
          <w:tcPr>
            <w:tcW w:w="255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Effect on Other Benefits</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Income recognized by you as a result of the grant, vesting, exercise or distribution of Shares with respect to Awards will not be included in the formula for calculating benefits under any of the Company’s retirement and disability plans or any other benefit plans.</w:t>
      </w:r>
    </w:p>
    <w:tbl>
      <w:tblPr>
        <w:tblW w:w="3520" w:type="dxa"/>
        <w:jc w:val="left"/>
        <w:tblInd w:w="0" w:type="dxa"/>
        <w:tblLayout w:type="fixed"/>
        <w:tblCellMar>
          <w:top w:w="0" w:type="dxa"/>
          <w:left w:w="0" w:type="dxa"/>
          <w:bottom w:w="0" w:type="dxa"/>
          <w:right w:w="0" w:type="dxa"/>
        </w:tblCellMar>
      </w:tblPr>
      <w:tblGrid>
        <w:gridCol w:w="200"/>
        <w:gridCol w:w="3320"/>
      </w:tblGrid>
      <w:tr>
        <w:trPr/>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w:t>
            </w:r>
          </w:p>
        </w:tc>
        <w:tc>
          <w:tcPr>
            <w:tcW w:w="332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Code Section 409A Compliance</w:t>
            </w:r>
          </w:p>
        </w:tc>
      </w:tr>
    </w:tbl>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(a)The award of Performance Units under Section I is intended to be exempt from or to comply with the provisions of Section 409A and, wherever possible, shall be consistent therewith.  No action taken to comply with Section 409A shall be deemed to impair a benefit under the Award Letter or this Appendix A.</w:t>
      </w:r>
    </w:p>
    <w:p>
      <w:pPr>
        <w:pStyle w:val="TextBody"/>
        <w:bidi w:val="0"/>
        <w:spacing w:before="0" w:after="240"/>
        <w:ind w:left="720" w:right="0" w:hanging="0"/>
        <w:jc w:val="both"/>
        <w:rPr>
          <w:rFonts w:ascii="Helvetica;sans-serif" w:hAnsi="Helvetica;sans-serif"/>
          <w:sz w:val="22"/>
        </w:rPr>
      </w:pPr>
      <w:r>
        <w:rPr>
          <w:rFonts w:ascii="Helvetica;sans-serif" w:hAnsi="Helvetica;sans-serif"/>
          <w:sz w:val="22"/>
        </w:rPr>
        <w:t>(b)The award of Restricted Share Units under Section II is intended to be exempt from or to comply with the provisions of Section 409A and, wherever possible, shall be interpreted consistent therewith.  Specifically, (1) if you are not Retirement Eligible, the time of payment specified in Sections II.2 and II.4 is exempt from Code Section 409A as a short term deferral in compliance with U.S. Treasury Regulation Section 1.409A-1(b)(4), and (2) if you are Retirement Eligible the time of payment specified with respect to Section II.4(b) is compliant with U.S. Treasury Regulation Section 1.409A-3(a)(1) and is compliant with Code Section 409A as being paid pursuant to a permissible payment date of separation from service under U.S. Treasury Regulation Section 1.409A-1(h) and the time of payment specified in Section II.4(a) with respect to Disability is compliant with U.S. Treasury Regulation Section 1.409A-3(a)(2) and is compliant with Code Section 409A as being paid pursuant to the permissible payment event of disability under U.S. Treasury Regulation Section 1.409A-3(i)(4).  If you are Retirement Eligible, you will not be considered to have a termination from employment unless such termination meets the requirements for a “separation from service” within the meaning of U.S. Treasury Regulation Section 1.409A-1(h), if applicable.  If you are a “specified employee” on the date of your “separation from service” within the meaning of Code Section 409A, the time of payment otherwise specified in the Award Letter or this Appendix A will be deferred to the extent required by Code Section 409A.  No action taken to comply with Code Section 409A shall be deemed to impair a benefit under the Award Letter or this Appendix A.</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Helvetica;sans-serif" w:hAnsi="Helvetica;sans-serif"/>
          <w:b/>
          <w:sz w:val="22"/>
        </w:rPr>
      </w:pPr>
      <w:r>
        <w:rPr>
          <w:rFonts w:ascii="Helvetica;sans-serif" w:hAnsi="Helvetica;sans-serif"/>
          <w:b/>
          <w:sz w:val="22"/>
        </w:rPr>
        <w:t>Exhibit “A” to Performance Unit Award</w:t>
      </w:r>
    </w:p>
    <w:tbl>
      <w:tblPr>
        <w:tblW w:w="3685" w:type="dxa"/>
        <w:jc w:val="left"/>
        <w:tblInd w:w="0" w:type="dxa"/>
        <w:tblLayout w:type="fixed"/>
        <w:tblCellMar>
          <w:top w:w="0" w:type="dxa"/>
          <w:left w:w="0" w:type="dxa"/>
          <w:bottom w:w="0" w:type="dxa"/>
          <w:right w:w="0" w:type="dxa"/>
        </w:tblCellMar>
      </w:tblPr>
      <w:tblGrid>
        <w:gridCol w:w="245"/>
        <w:gridCol w:w="3440"/>
      </w:tblGrid>
      <w:tr>
        <w:trPr/>
        <w:tc>
          <w:tcPr>
            <w:tcW w:w="245" w:type="dxa"/>
            <w:tcBorders/>
            <w:vAlign w:val="center"/>
          </w:tcPr>
          <w:p>
            <w:pPr>
              <w:pStyle w:val="TableContents"/>
              <w:bidi w:val="0"/>
              <w:spacing w:before="0" w:after="283"/>
              <w:jc w:val="left"/>
              <w:rPr>
                <w:rFonts w:ascii="Helvetica;sans-serif" w:hAnsi="Helvetica;sans-serif"/>
                <w:b/>
                <w:sz w:val="22"/>
              </w:rPr>
            </w:pPr>
            <w:r>
              <w:rPr>
                <w:rFonts w:ascii="Helvetica;sans-serif" w:hAnsi="Helvetica;sans-serif"/>
                <w:b/>
                <w:sz w:val="22"/>
              </w:rPr>
              <w:t>A.</w:t>
            </w:r>
          </w:p>
        </w:tc>
        <w:tc>
          <w:tcPr>
            <w:tcW w:w="344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Committee Methodology for FCF</w:t>
            </w:r>
          </w:p>
        </w:tc>
      </w:tr>
    </w:tbl>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Total Earned Performance Units will be determined taking into account FCF (as defined under Section B below) during each of the three calendar years during the PSU Performance Cycle, with the FCF Performance Percentage determined as a percentage between 0% and 200% for each calendar year.  The FCF Performance Percentages shall be averaged for the three years at the conclusion of the PSU Performance Cycle to determine the Average FCF Performance Percentage for the PSU Performance Cycle.  </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The Company’s achievement of FCF shall determine the FCF Performance Percentage based on the following schedule:  </w:t>
      </w:r>
    </w:p>
    <w:tbl>
      <w:tblPr>
        <w:tblW w:w="5492" w:type="dxa"/>
        <w:jc w:val="left"/>
        <w:tblInd w:w="0" w:type="dxa"/>
        <w:tblLayout w:type="fixed"/>
        <w:tblCellMar>
          <w:top w:w="28" w:type="dxa"/>
          <w:left w:w="103" w:type="dxa"/>
          <w:bottom w:w="28" w:type="dxa"/>
          <w:right w:w="103" w:type="dxa"/>
        </w:tblCellMar>
      </w:tblPr>
      <w:tblGrid>
        <w:gridCol w:w="2251"/>
        <w:gridCol w:w="3241"/>
      </w:tblGrid>
      <w:tr>
        <w:trPr/>
        <w:tc>
          <w:tcPr>
            <w:tcW w:w="225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72" w:before="0" w:after="0"/>
              <w:ind w:left="0" w:right="0" w:hanging="0"/>
              <w:jc w:val="both"/>
              <w:rPr>
                <w:rFonts w:ascii="Helvetica;sans-serif" w:hAnsi="Helvetica;sans-serif"/>
                <w:b/>
                <w:sz w:val="22"/>
              </w:rPr>
            </w:pPr>
            <w:r>
              <w:rPr>
                <w:rFonts w:ascii="Helvetica;sans-serif" w:hAnsi="Helvetica;sans-serif"/>
                <w:b/>
                <w:sz w:val="22"/>
              </w:rPr>
              <w:t>Achievement of FCF</w:t>
            </w:r>
          </w:p>
        </w:tc>
        <w:tc>
          <w:tcPr>
            <w:tcW w:w="324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372" w:before="0" w:after="80"/>
              <w:ind w:left="0" w:right="0" w:hanging="0"/>
              <w:jc w:val="both"/>
              <w:rPr>
                <w:rFonts w:ascii="Helvetica;sans-serif" w:hAnsi="Helvetica;sans-serif"/>
                <w:b/>
                <w:sz w:val="22"/>
              </w:rPr>
            </w:pPr>
            <w:r>
              <w:rPr>
                <w:rFonts w:ascii="Helvetica;sans-serif" w:hAnsi="Helvetica;sans-serif"/>
                <w:b/>
                <w:sz w:val="22"/>
              </w:rPr>
              <w:t>FCF Performance Percentage</w:t>
            </w:r>
          </w:p>
        </w:tc>
      </w:tr>
      <w:tr>
        <w:trPr/>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0"/>
              <w:ind w:left="0" w:right="0" w:hanging="0"/>
              <w:jc w:val="both"/>
              <w:rPr>
                <w:rFonts w:ascii="Helvetica;sans-serif" w:hAnsi="Helvetica;sans-serif"/>
                <w:sz w:val="22"/>
              </w:rPr>
            </w:pPr>
            <w:r>
              <w:rPr>
                <w:rFonts w:ascii="Helvetica;sans-serif" w:hAnsi="Helvetica;sans-serif"/>
                <w:sz w:val="22"/>
              </w:rPr>
              <w:t>Threshold</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80"/>
              <w:ind w:left="0" w:right="0" w:hanging="0"/>
              <w:jc w:val="both"/>
              <w:rPr>
                <w:rFonts w:ascii="Helvetica;sans-serif" w:hAnsi="Helvetica;sans-serif"/>
                <w:sz w:val="22"/>
              </w:rPr>
            </w:pPr>
            <w:r>
              <w:rPr>
                <w:rFonts w:ascii="Helvetica;sans-serif" w:hAnsi="Helvetica;sans-serif"/>
                <w:sz w:val="22"/>
              </w:rPr>
              <w:t>0%</w:t>
            </w:r>
          </w:p>
        </w:tc>
      </w:tr>
      <w:tr>
        <w:trPr/>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0"/>
              <w:ind w:left="0" w:right="0" w:hanging="0"/>
              <w:jc w:val="both"/>
              <w:rPr>
                <w:rFonts w:ascii="Helvetica;sans-serif" w:hAnsi="Helvetica;sans-serif"/>
                <w:sz w:val="22"/>
              </w:rPr>
            </w:pPr>
            <w:r>
              <w:rPr>
                <w:rFonts w:ascii="Helvetica;sans-serif" w:hAnsi="Helvetica;sans-serif"/>
                <w:sz w:val="22"/>
              </w:rPr>
              <w:t>Target</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80"/>
              <w:ind w:left="0" w:right="0" w:hanging="0"/>
              <w:jc w:val="both"/>
              <w:rPr>
                <w:rFonts w:ascii="Helvetica;sans-serif" w:hAnsi="Helvetica;sans-serif"/>
                <w:sz w:val="22"/>
              </w:rPr>
            </w:pPr>
            <w:r>
              <w:rPr>
                <w:rFonts w:ascii="Helvetica;sans-serif" w:hAnsi="Helvetica;sans-serif"/>
                <w:sz w:val="22"/>
              </w:rPr>
              <w:t>100%</w:t>
            </w:r>
          </w:p>
        </w:tc>
      </w:tr>
      <w:tr>
        <w:trPr/>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0"/>
              <w:ind w:left="0" w:right="0" w:hanging="0"/>
              <w:jc w:val="both"/>
              <w:rPr>
                <w:rFonts w:ascii="Helvetica;sans-serif" w:hAnsi="Helvetica;sans-serif"/>
                <w:sz w:val="22"/>
              </w:rPr>
            </w:pPr>
            <w:r>
              <w:rPr>
                <w:rFonts w:ascii="Helvetica;sans-serif" w:hAnsi="Helvetica;sans-serif"/>
                <w:sz w:val="22"/>
              </w:rPr>
              <w:t>Maximum</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72" w:before="0" w:after="80"/>
              <w:ind w:left="0" w:right="446" w:hanging="0"/>
              <w:jc w:val="both"/>
              <w:rPr>
                <w:rFonts w:ascii="Helvetica;sans-serif" w:hAnsi="Helvetica;sans-serif"/>
                <w:sz w:val="22"/>
              </w:rPr>
            </w:pPr>
            <w:r>
              <w:rPr>
                <w:rFonts w:ascii="Helvetica;sans-serif" w:hAnsi="Helvetica;sans-serif"/>
                <w:sz w:val="22"/>
              </w:rPr>
              <w:t>200%</w:t>
            </w:r>
          </w:p>
        </w:tc>
      </w:tr>
    </w:tbl>
    <w:p>
      <w:pPr>
        <w:pStyle w:val="TextBody"/>
        <w:bidi w:val="0"/>
        <w:spacing w:before="0" w:after="240"/>
        <w:ind w:left="0" w:right="0" w:hanging="0"/>
        <w:jc w:val="both"/>
        <w:rPr/>
      </w:pPr>
      <w:r>
        <w:rPr/>
        <w:t>​</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The Committee shall establish the criteria for the threshold, target and maximum FCF for each of the calendar years in the PSU Performance Cycle during the first calendar quarter of each of the relevant calendar years.</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For any achievement of FCF between the levels set forth in the schedule above, the FCF Performance Percentage will be determined by linear interpolation between the percentages assigned in the schedule above.  The FCF Performance Percentage for FCF equal to or below the threshold above shall be 0%, and in no event shall the FCF Performance Percentage for any calendar year exceed 200%.</w:t>
      </w:r>
      <w:bookmarkStart w:id="725" w:name="_Hlk1877618631"/>
      <w:bookmarkEnd w:id="725"/>
    </w:p>
    <w:p>
      <w:pPr>
        <w:pStyle w:val="TextBody"/>
        <w:bidi w:val="0"/>
        <w:spacing w:before="0" w:after="120"/>
        <w:ind w:left="0" w:right="0" w:hanging="0"/>
        <w:jc w:val="left"/>
        <w:rPr>
          <w:rFonts w:ascii="Times New Roman;Times;serif" w:hAnsi="Times New Roman;Times;serif"/>
          <w:sz w:val="22"/>
        </w:rPr>
      </w:pPr>
      <w:r>
        <w:rPr>
          <w:rFonts w:ascii="Helvetica;sans-serif" w:hAnsi="Helvetica;sans-serif"/>
          <w:b/>
          <w:i w:val="false"/>
          <w:caps w:val="false"/>
          <w:smallCaps w:val="false"/>
          <w:sz w:val="22"/>
        </w:rPr>
        <w:t>B.</w:t>
      </w:r>
      <w:r>
        <w:rPr>
          <w:rFonts w:ascii="Helvetica;sans-serif" w:hAnsi="Helvetica;sans-serif"/>
          <w:b/>
          <w:sz w:val="22"/>
        </w:rPr>
        <w:t>Definition of Free Cash Flow</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Free Cash Flow (“FCF”) means cash provided by (used in) operating activities, reduced by capital expenditures.  FCF achieved may be adjusted by the Committee to account for any significant transaction not contemplated in the annual goal established by the Committee in the first quarter of each calendar year.  Adjustments may include, but are not limited to, the related or indirect effect on FCF resulting from acquisition, divestiture, reactivation of rigs and any other transaction or activity that may have an impact on FCF as determined appropriate by the Committee.  </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Helvetica;sans-serif" w:hAnsi="Helvetica;sans-serif"/>
          <w:b/>
          <w:sz w:val="22"/>
        </w:rPr>
      </w:pPr>
      <w:r>
        <w:rPr>
          <w:rFonts w:ascii="Helvetica;sans-serif" w:hAnsi="Helvetica;sans-serif"/>
          <w:b/>
          <w:sz w:val="22"/>
        </w:rPr>
        <w:t>C.    Committee Methodology for TSR</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Total Earned Performance Units will be determined taking into account achievement of relative TSR performance.  The Committee will make a determination on the Determination Date with respect to the achievement of TSR (as defined under Section D below) by the Company and the members of its peer group (as described under Section E below) and the resulting TSR Modifier.</w:t>
      </w:r>
    </w:p>
    <w:p>
      <w:pPr>
        <w:pStyle w:val="TextBody"/>
        <w:bidi w:val="0"/>
        <w:spacing w:before="0" w:after="240"/>
        <w:ind w:left="0" w:right="0" w:hanging="0"/>
        <w:jc w:val="both"/>
        <w:rPr/>
      </w:pPr>
      <w:r>
        <w:rPr/>
        <w:t>​</w:t>
      </w:r>
    </w:p>
    <w:p>
      <w:pPr>
        <w:pStyle w:val="TextBody"/>
        <w:bidi w:val="0"/>
        <w:spacing w:before="0" w:after="160"/>
        <w:ind w:left="0" w:right="0" w:hanging="0"/>
        <w:jc w:val="both"/>
        <w:rPr/>
      </w:pPr>
      <w:r>
        <w:rPr/>
        <w:t>“</w:t>
      </w:r>
      <w:r>
        <w:rPr>
          <w:rFonts w:ascii="Helvetica;sans-serif" w:hAnsi="Helvetica;sans-serif"/>
          <w:sz w:val="22"/>
        </w:rPr>
        <w:t xml:space="preserve">Relative Performance” shall be determined by ranking the Company, along with the other companies in its peer group, from best to worst based on TSR, and then determining the percentile ranking to assess the TSR Modifier as described below. </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bookmarkStart w:id="726" w:name="_Hlk945337921"/>
      <w:bookmarkEnd w:id="726"/>
      <w:r>
        <w:rPr>
          <w:rFonts w:ascii="Helvetica;sans-serif" w:hAnsi="Helvetica;sans-serif"/>
          <w:sz w:val="22"/>
        </w:rPr>
        <w:t>If, during the PSU Performance Cycle, (i) any peer group company files for or is the subject of any bankruptcy, insolvency or liquidation proceeding, (ii) any peer group company continues to exist but is no longer publicly traded on an established securities market as a result of a de-listing event (other than due to an acquisition), or (iii) any other corporate financial restructuring event, condition or circumstance exists that, in the determination of the Committee, causes a peer performance to no longer be appropriate for a TSR comparison, such peer group company will remain in the peer group positioned below the lowest performing member of the peer group in chronological order by the date of such bankruptcy, insolvency, liquidation, de-listing or other event, condition or circumstance for the applicable period.  </w:t>
      </w:r>
      <w:bookmarkStart w:id="727" w:name="_Hlk945303411"/>
      <w:bookmarkEnd w:id="727"/>
      <w:r>
        <w:rPr>
          <w:rFonts w:ascii="Helvetica;sans-serif" w:hAnsi="Helvetica;sans-serif"/>
          <w:sz w:val="22"/>
        </w:rPr>
        <w:t>In the event that a peer group company is subject to a transaction in which more than 50% of the value of the company’s outstanding shares immediately prior to the transaction are acquired by another person or entity, such company shall be removed from the peer group company listing for the applicable period in which the transaction occurred.  </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The Company’s percentile ranking in its peer group shall determine the TSR Modifier for the number of Earned Performance Units due to relative performance based on the following schedule:</w:t>
      </w:r>
    </w:p>
    <w:tbl>
      <w:tblPr>
        <w:tblW w:w="7142" w:type="dxa"/>
        <w:jc w:val="left"/>
        <w:tblInd w:w="0" w:type="dxa"/>
        <w:tblLayout w:type="fixed"/>
        <w:tblCellMar>
          <w:top w:w="28" w:type="dxa"/>
          <w:left w:w="103" w:type="dxa"/>
          <w:bottom w:w="28" w:type="dxa"/>
          <w:right w:w="103" w:type="dxa"/>
        </w:tblCellMar>
      </w:tblPr>
      <w:tblGrid>
        <w:gridCol w:w="2311"/>
        <w:gridCol w:w="4831"/>
      </w:tblGrid>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b/>
                <w:sz w:val="20"/>
              </w:rPr>
            </w:pPr>
            <w:r>
              <w:rPr>
                <w:rFonts w:ascii="Helvetica;sans-serif" w:hAnsi="Helvetica;sans-serif"/>
                <w:b/>
                <w:sz w:val="20"/>
              </w:rPr>
              <w:t>Transocean Percentile</w:t>
            </w:r>
          </w:p>
        </w:tc>
        <w:tc>
          <w:tcPr>
            <w:tcW w:w="48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b/>
                <w:sz w:val="20"/>
              </w:rPr>
            </w:pPr>
            <w:r>
              <w:rPr>
                <w:rFonts w:ascii="Helvetica;sans-serif" w:hAnsi="Helvetica;sans-serif"/>
                <w:b/>
                <w:sz w:val="20"/>
              </w:rPr>
              <w:t>TSR Modifier Percentage (“Relative Performance”)</w:t>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90th percentile or greater</w:t>
            </w:r>
          </w:p>
        </w:tc>
        <w:tc>
          <w:tcPr>
            <w:tcW w:w="48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25%</w:t>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50th percentile (Target)</w:t>
            </w:r>
          </w:p>
        </w:tc>
        <w:tc>
          <w:tcPr>
            <w:tcW w:w="48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0%</w:t>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Less than 25th percentile</w:t>
            </w:r>
          </w:p>
        </w:tc>
        <w:tc>
          <w:tcPr>
            <w:tcW w:w="48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Helvetica;sans-serif" w:hAnsi="Helvetica;sans-serif"/>
                <w:sz w:val="20"/>
              </w:rPr>
            </w:pPr>
            <w:r>
              <w:rPr>
                <w:rFonts w:ascii="Helvetica;sans-serif" w:hAnsi="Helvetica;sans-serif"/>
                <w:sz w:val="20"/>
              </w:rPr>
              <w:t>-25%</w:t>
            </w:r>
          </w:p>
        </w:tc>
      </w:tr>
    </w:tbl>
    <w:p>
      <w:pPr>
        <w:pStyle w:val="TextBody"/>
        <w:bidi w:val="0"/>
        <w:spacing w:before="120" w:after="120"/>
        <w:ind w:left="0" w:right="0" w:hanging="0"/>
        <w:jc w:val="both"/>
        <w:rPr>
          <w:rFonts w:ascii="Helvetica;sans-serif" w:hAnsi="Helvetica;sans-serif"/>
          <w:sz w:val="22"/>
        </w:rPr>
      </w:pPr>
      <w:r>
        <w:rPr>
          <w:rFonts w:ascii="Helvetica;sans-serif" w:hAnsi="Helvetica;sans-serif"/>
          <w:sz w:val="22"/>
        </w:rPr>
        <w:t>For any achievement of a percentile ranking between the percentiles set forth in the schedule above, the TSR Modifier will be determined by linear interpolation between the percentages assigned in the schedule above.</w:t>
      </w:r>
    </w:p>
    <w:p>
      <w:pPr>
        <w:pStyle w:val="TextBody"/>
        <w:bidi w:val="0"/>
        <w:spacing w:before="0" w:after="120"/>
        <w:ind w:left="0" w:right="0" w:hanging="0"/>
        <w:jc w:val="left"/>
        <w:rPr>
          <w:rFonts w:ascii="Times New Roman;Times;serif" w:hAnsi="Times New Roman;Times;serif"/>
          <w:sz w:val="22"/>
        </w:rPr>
      </w:pPr>
      <w:r>
        <w:rPr>
          <w:rFonts w:ascii="Helvetica;sans-serif" w:hAnsi="Helvetica;sans-serif"/>
          <w:b/>
          <w:i w:val="false"/>
          <w:caps w:val="false"/>
          <w:smallCaps w:val="false"/>
          <w:sz w:val="22"/>
        </w:rPr>
        <w:t>D.</w:t>
      </w:r>
      <w:r>
        <w:rPr>
          <w:rFonts w:ascii="Helvetica;sans-serif" w:hAnsi="Helvetica;sans-serif"/>
          <w:b/>
          <w:sz w:val="22"/>
        </w:rPr>
        <w:t>Definition of Total Shareholder Return</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Total Shareholder Return (“TSR”) through the PSU Performance Cycle is based on the comparison of the average closing share price for the thirty (30) business days prior to January 1, 2026 and the average closing share price for the last thirty (30) business days in the calendar year ending December 31, 2028, adjusted for dividends.  The same calculation is conducted for the Company and each of the companies in the peer group.</w:t>
      </w:r>
    </w:p>
    <w:p>
      <w:pPr>
        <w:pStyle w:val="TextBody"/>
        <w:bidi w:val="0"/>
        <w:spacing w:before="0" w:after="120"/>
        <w:ind w:left="0" w:right="0" w:hanging="0"/>
        <w:jc w:val="left"/>
        <w:rPr>
          <w:rFonts w:ascii="Times New Roman;Times;serif" w:hAnsi="Times New Roman;Times;serif"/>
          <w:sz w:val="22"/>
        </w:rPr>
      </w:pPr>
      <w:r>
        <w:rPr>
          <w:rFonts w:ascii="Helvetica;sans-serif" w:hAnsi="Helvetica;sans-serif"/>
          <w:b/>
          <w:i w:val="false"/>
          <w:caps w:val="false"/>
          <w:smallCaps w:val="false"/>
          <w:sz w:val="22"/>
        </w:rPr>
        <w:t>E.</w:t>
      </w:r>
      <w:r>
        <w:rPr>
          <w:rFonts w:ascii="Helvetica;sans-serif" w:hAnsi="Helvetica;sans-serif"/>
          <w:b/>
          <w:sz w:val="22"/>
        </w:rPr>
        <w:t>Peer Group</w:t>
      </w:r>
    </w:p>
    <w:p>
      <w:pPr>
        <w:pStyle w:val="TextBody"/>
        <w:bidi w:val="0"/>
        <w:spacing w:before="0" w:after="240"/>
        <w:ind w:left="0" w:right="0" w:hanging="0"/>
        <w:jc w:val="both"/>
        <w:rPr>
          <w:rFonts w:ascii="Times New Roman;Times;serif" w:hAnsi="Times New Roman;Times;serif"/>
          <w:sz w:val="22"/>
        </w:rPr>
      </w:pPr>
      <w:r>
        <w:rPr>
          <w:rFonts w:ascii="Helvetica;sans-serif" w:hAnsi="Helvetica;sans-serif"/>
          <w:sz w:val="22"/>
        </w:rPr>
        <w:t>The peer group shall consist of:</w:t>
      </w:r>
      <w:r>
        <w:rPr>
          <w:rFonts w:ascii="Times New Roman;Times;serif" w:hAnsi="Times New Roman;Times;serif"/>
          <w:sz w:val="22"/>
        </w:rPr>
        <w:t xml:space="preserve"> </w:t>
      </w:r>
    </w:p>
    <w:tbl>
      <w:tblPr>
        <w:tblW w:w="6092" w:type="dxa"/>
        <w:jc w:val="left"/>
        <w:tblInd w:w="0" w:type="dxa"/>
        <w:tblLayout w:type="fixed"/>
        <w:tblCellMar>
          <w:top w:w="28" w:type="dxa"/>
          <w:left w:w="103" w:type="dxa"/>
          <w:bottom w:w="28" w:type="dxa"/>
          <w:right w:w="103" w:type="dxa"/>
        </w:tblCellMar>
      </w:tblPr>
      <w:tblGrid>
        <w:gridCol w:w="3106"/>
        <w:gridCol w:w="2986"/>
      </w:tblGrid>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Baker Hughes Company</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Oil States International, Inc.</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Borr Drilling Limited</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Patterson-UTI Energy, Inc.</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Helmrich &amp; Payne, Inc.</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Precision Drilling Corporation</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Nabors Industries Ltd.</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Seadrill Limited</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Noble Corporation plc</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TechnipFMC plc</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NOV Inc.</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Valaris Limited</w:t>
            </w:r>
          </w:p>
        </w:tc>
      </w:tr>
      <w:tr>
        <w:trPr/>
        <w:tc>
          <w:tcPr>
            <w:tcW w:w="31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Helvetica;sans-serif" w:hAnsi="Helvetica;sans-serif"/>
                <w:sz w:val="22"/>
                <w:shd w:fill="FFFF00" w:val="clear"/>
              </w:rPr>
            </w:pPr>
            <w:r>
              <w:rPr>
                <w:rFonts w:ascii="Helvetica;sans-serif" w:hAnsi="Helvetica;sans-serif"/>
                <w:sz w:val="22"/>
                <w:shd w:fill="FFFF00" w:val="clear"/>
              </w:rPr>
              <w:t>Oceaneering International, Inc.</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shd w:fill="FFFF00" w:val="clear"/>
              </w:rPr>
            </w:pPr>
            <w:r>
              <w:rPr>
                <w:shd w:fill="FFFF00" w:val="clear"/>
              </w:rPr>
              <w:t>​</w:t>
            </w:r>
          </w:p>
        </w:tc>
      </w:tr>
    </w:tbl>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sz w:val="22"/>
        </w:rPr>
      </w:pPr>
      <w:r>
        <w:rPr>
          <w:rFonts w:ascii="Helvetica;sans-serif" w:hAnsi="Helvetica;sans-serif"/>
          <w:b/>
          <w:i w:val="false"/>
          <w:caps w:val="false"/>
          <w:smallCaps w:val="false"/>
          <w:sz w:val="22"/>
        </w:rPr>
        <w:t>F.</w:t>
      </w:r>
      <w:r>
        <w:rPr>
          <w:rFonts w:ascii="Helvetica;sans-serif" w:hAnsi="Helvetica;sans-serif"/>
          <w:b/>
          <w:sz w:val="22"/>
        </w:rPr>
        <w:t>Determination of Total Earned Performance Units</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The number of Earned Performance Units shall be determined by multiplying the Total Target Performance Units by a percentage equal to the sum of (i) the Average FCF Performance Percentage and (ii) the TSR Modifier (the “Combined Performance Achievement Percentage”).  For the avoidance of doubt, the Combined Performance Achievement Percentage may exceed 200%. If any calculation with respect to the Earned Performance Units would result in a fractional share, the numbers of Earned Performance Units shall be rounded down to the nearest whole share.</w:t>
      </w:r>
    </w:p>
    <w:p>
      <w:pPr>
        <w:pStyle w:val="TextBody"/>
        <w:bidi w:val="0"/>
        <w:spacing w:before="0" w:after="240"/>
        <w:ind w:left="0" w:right="0" w:hanging="0"/>
        <w:jc w:val="both"/>
        <w:rPr>
          <w:rFonts w:ascii="Helvetica;sans-serif" w:hAnsi="Helvetica;sans-serif"/>
          <w:sz w:val="22"/>
        </w:rPr>
      </w:pPr>
      <w:r>
        <w:rPr>
          <w:rFonts w:ascii="Helvetica;sans-serif" w:hAnsi="Helvetica;sans-serif"/>
          <w:sz w:val="22"/>
        </w:rPr>
        <w:t>Notwithstanding the foregoing, a “Price Cap” will apply such that if the Fair Market Value of a Share exceeds $20, subject to adjustment pursuant to Section 15 of the Plan, on the Determination Date, the number of Performance Units that would have become Earned Performance Units as calculated using the Combined Performance Achievement Percentage will be reduced by multiplying such number of Earned Performance Units by a fraction, the numerator of which is $20, subject to adjustment pursuant to Section 15 of the Plan, and the denominator of which is the Fair Market Value of a Share on the Determination Date.  If the Price Cap applies, delivery of a number of Shares equal to such reduced number of Earned Performance Units will be in full satisfaction of the Performance Units.  As an example of the application of the Price Cap, if 100 Performance Units would become Earned Performance Units based on the Combined Performance Achievement Percentage and the Fair Market Value of a Share is $25 on the Determination Date, 80 Shares will be delivered in settlement of the Performance Units (100 x 20/25).</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2"/>
        </w:rPr>
      </w:pPr>
      <w:r>
        <w:rPr>
          <w:rFonts w:ascii="Helvetica;sans-serif" w:hAnsi="Helvetica;sans-serif"/>
          <w:b/>
          <w:sz w:val="22"/>
        </w:rPr>
        <w:t>NOTE:</w:t>
      </w:r>
      <w:r>
        <w:rPr>
          <w:rFonts w:ascii="Times New Roman;Times;serif" w:hAnsi="Times New Roman;Times;serif"/>
          <w:sz w:val="22"/>
        </w:rPr>
        <w:t xml:space="preserve">  </w:t>
      </w:r>
      <w:r>
        <w:rPr>
          <w:rFonts w:ascii="Helvetica;sans-serif" w:hAnsi="Helvetica;sans-serif"/>
          <w:b/>
          <w:sz w:val="22"/>
        </w:rPr>
        <w:t>The Committee has the sole authority to interpret the terms of this Exhibit A, including determination of FCF and the formula for TSR.  The Committee’s determination of all matters in connection with the award will be final and binding.</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Appendix A-14-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 Narrow" w:hAnsi="Arial Narrow"/>
          <w:b/>
          <w:sz w:val="20"/>
        </w:rPr>
      </w:pPr>
      <w:bookmarkStart w:id="728" w:name="rig-20260331xex31d1.htm"/>
      <w:bookmarkStart w:id="729" w:name="ksrig20260331xex31d1"/>
      <w:bookmarkEnd w:id="728"/>
      <w:bookmarkEnd w:id="729"/>
      <w:r>
        <w:rPr>
          <w:rFonts w:ascii="Arial Narrow" w:hAnsi="Arial Narrow"/>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CEO CERTIFICATION PURSUANT TO SECTION 302 OF THE SARBANES-OXLEY ACT OF 2002</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I, Keelan Adamson, certify that: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1. I have reviewed this report on Form 10-Q of Transocean Ltd.;</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276" w:type="dxa"/>
        <w:jc w:val="center"/>
        <w:tblInd w:w="0" w:type="dxa"/>
        <w:tblLayout w:type="fixed"/>
        <w:tblCellMar>
          <w:top w:w="0" w:type="dxa"/>
          <w:left w:w="0" w:type="dxa"/>
          <w:bottom w:w="0" w:type="dxa"/>
          <w:right w:w="0" w:type="dxa"/>
        </w:tblCellMar>
      </w:tblPr>
      <w:tblGrid>
        <w:gridCol w:w="1486"/>
        <w:gridCol w:w="2535"/>
        <w:gridCol w:w="255"/>
      </w:tblGrid>
      <w:tr>
        <w:trPr/>
        <w:tc>
          <w:tcPr>
            <w:tcW w:w="148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b w:val="false"/>
                <w:i w:val="false"/>
                <w:caps w:val="false"/>
                <w:smallCaps w:val="false"/>
                <w:sz w:val="20"/>
              </w:rPr>
              <w:t>Dated:</w:t>
            </w:r>
            <w:r>
              <w:rPr>
                <w:rFonts w:ascii="Arial Narrow" w:hAnsi="Arial Narrow"/>
                <w:sz w:val="20"/>
              </w:rPr>
              <w:t>May 5, 2026</w:t>
            </w:r>
          </w:p>
        </w:tc>
        <w:tc>
          <w:tcPr>
            <w:tcW w:w="2535"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Keelan Adamson</w:t>
            </w:r>
          </w:p>
        </w:tc>
        <w:tc>
          <w:tcPr>
            <w:tcW w:w="255" w:type="dxa"/>
            <w:tcBorders/>
            <w:vAlign w:val="center"/>
          </w:tcPr>
          <w:p>
            <w:pPr>
              <w:pStyle w:val="TableContents"/>
              <w:bidi w:val="0"/>
              <w:spacing w:before="0" w:after="0"/>
              <w:ind w:left="0" w:right="0" w:hanging="0"/>
              <w:jc w:val="left"/>
              <w:rPr/>
            </w:pPr>
            <w:r>
              <w:rPr/>
              <w:t>​</w:t>
            </w:r>
          </w:p>
        </w:tc>
      </w:tr>
      <w:tr>
        <w:trPr/>
        <w:tc>
          <w:tcPr>
            <w:tcW w:w="427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Keelan Adamson</w:t>
              <w:b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 Narrow" w:hAnsi="Arial Narrow"/>
          <w:b/>
          <w:sz w:val="20"/>
        </w:rPr>
      </w:pPr>
      <w:bookmarkStart w:id="730" w:name="rig-20260331xex31d2.htm"/>
      <w:bookmarkStart w:id="731" w:name="ksrig20260331xex31d2"/>
      <w:bookmarkEnd w:id="730"/>
      <w:bookmarkEnd w:id="731"/>
      <w:r>
        <w:rPr>
          <w:rFonts w:ascii="Arial Narrow" w:hAnsi="Arial Narrow"/>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CFO CERTIFICATION PURSUANT TO SECTION 302 OF THE SARBANES-OXLEY ACT OF 2002</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I, Robert Thaddeus Vayda, certify that: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1. I have reviewed this report on Form 10-Q of Transocean Ltd.;</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296" w:type="dxa"/>
        <w:jc w:val="center"/>
        <w:tblInd w:w="0" w:type="dxa"/>
        <w:tblLayout w:type="fixed"/>
        <w:tblCellMar>
          <w:top w:w="0" w:type="dxa"/>
          <w:left w:w="0" w:type="dxa"/>
          <w:bottom w:w="0" w:type="dxa"/>
          <w:right w:w="0" w:type="dxa"/>
        </w:tblCellMar>
      </w:tblPr>
      <w:tblGrid>
        <w:gridCol w:w="1486"/>
        <w:gridCol w:w="3547"/>
        <w:gridCol w:w="263"/>
      </w:tblGrid>
      <w:tr>
        <w:trPr/>
        <w:tc>
          <w:tcPr>
            <w:tcW w:w="148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b w:val="false"/>
                <w:i w:val="false"/>
                <w:caps w:val="false"/>
                <w:smallCaps w:val="false"/>
                <w:sz w:val="20"/>
              </w:rPr>
              <w:t>Dated:</w:t>
            </w:r>
            <w:r>
              <w:rPr>
                <w:rFonts w:ascii="Arial Narrow" w:hAnsi="Arial Narrow"/>
                <w:sz w:val="20"/>
              </w:rPr>
              <w:t>May 5, 2026</w:t>
            </w:r>
          </w:p>
        </w:tc>
        <w:tc>
          <w:tcPr>
            <w:tcW w:w="3547"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Robert Thaddeus Vayda</w:t>
            </w:r>
          </w:p>
        </w:tc>
        <w:tc>
          <w:tcPr>
            <w:tcW w:w="263" w:type="dxa"/>
            <w:tcBorders/>
            <w:vAlign w:val="center"/>
          </w:tcPr>
          <w:p>
            <w:pPr>
              <w:pStyle w:val="TableContents"/>
              <w:bidi w:val="0"/>
              <w:spacing w:before="0" w:after="0"/>
              <w:ind w:left="0" w:right="0" w:hanging="0"/>
              <w:jc w:val="left"/>
              <w:rPr/>
            </w:pPr>
            <w:r>
              <w:rPr/>
              <w:t>​</w:t>
            </w:r>
          </w:p>
        </w:tc>
      </w:tr>
      <w:tr>
        <w:trPr/>
        <w:tc>
          <w:tcPr>
            <w:tcW w:w="529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Robert Thaddeus Vayda</w:t>
              <w:b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 Narrow" w:hAnsi="Arial Narrow"/>
          <w:b/>
          <w:sz w:val="20"/>
        </w:rPr>
      </w:pPr>
      <w:bookmarkStart w:id="732" w:name="rig-20260331xex32d1.htm"/>
      <w:bookmarkStart w:id="733" w:name="ksrig20260331xex32d1"/>
      <w:bookmarkEnd w:id="732"/>
      <w:bookmarkEnd w:id="733"/>
      <w:r>
        <w:rPr>
          <w:rFonts w:ascii="Arial Narrow" w:hAnsi="Arial Narrow"/>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 xml:space="preserve">CERTIFICATION PURSUANT TO SECTION 906 OF </w:t>
        <w:br/>
        <w:t xml:space="preserve">THE SARBANES-OXLEY ACT OF 2002 (SUBSECTIONS (a) AND (b) </w:t>
        <w:br/>
        <w:t>OF SECTION 1350, CHAPTER 63 OF TITLE 18, UNITED STATES CODE)</w:t>
      </w:r>
    </w:p>
    <w:p>
      <w:pPr>
        <w:pStyle w:val="TextBody"/>
        <w:bidi w:val="0"/>
        <w:spacing w:before="60" w:after="120"/>
        <w:ind w:left="0" w:right="0" w:firstLine="720"/>
        <w:jc w:val="both"/>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Pursuant to Section 906 of the Sarbanes-Oxley Act of 2002 (Subsections (a) and (b) of Section 1350, Chapter 63 of Title 18, United States Code), I, Keelan Adamson, President and Chief Executive Officer of Transocean Ltd., a Swiss corporation (the “Company”), hereby certify, to my knowledge, that:</w:t>
      </w:r>
    </w:p>
    <w:p>
      <w:pPr>
        <w:pStyle w:val="TextBody"/>
        <w:bidi w:val="0"/>
        <w:spacing w:before="60" w:after="120"/>
        <w:ind w:left="0" w:right="0" w:firstLine="720"/>
        <w:jc w:val="both"/>
        <w:rPr>
          <w:rFonts w:ascii="Arial Narrow" w:hAnsi="Arial Narrow"/>
          <w:sz w:val="20"/>
        </w:rPr>
      </w:pPr>
      <w:r>
        <w:rPr>
          <w:rFonts w:ascii="Arial Narrow" w:hAnsi="Arial Narrow"/>
          <w:sz w:val="20"/>
        </w:rPr>
        <w:t>(1) the Company’s Quarterly Report on Form 10-Q for the quarter ended March 31, 2026 (the “Report”) fully complies with the requirements of Section 13(a) or 15(d) of the Securities Exchange Act of 1934; and</w:t>
      </w:r>
    </w:p>
    <w:p>
      <w:pPr>
        <w:pStyle w:val="TextBody"/>
        <w:bidi w:val="0"/>
        <w:spacing w:before="60" w:after="120"/>
        <w:ind w:left="0" w:right="0" w:firstLine="720"/>
        <w:jc w:val="both"/>
        <w:rPr>
          <w:rFonts w:ascii="Arial Narrow" w:hAnsi="Arial Narrow"/>
          <w:sz w:val="20"/>
        </w:rPr>
      </w:pPr>
      <w:r>
        <w:rPr>
          <w:rFonts w:ascii="Arial Narrow" w:hAnsi="Arial Narrow"/>
          <w:sz w:val="20"/>
        </w:rPr>
        <w:t>(2) information contained in the Report fairly presents, in all material respects, the financial condition and results of operations of the Company.</w:t>
      </w:r>
    </w:p>
    <w:p>
      <w:pPr>
        <w:pStyle w:val="TextBody"/>
        <w:bidi w:val="0"/>
        <w:spacing w:before="60" w:after="120"/>
        <w:ind w:left="0" w:right="0" w:firstLine="720"/>
        <w:jc w:val="both"/>
        <w:rPr/>
      </w:pPr>
      <w:r>
        <w:rPr/>
        <w:t>​</w:t>
      </w:r>
    </w:p>
    <w:tbl>
      <w:tblPr>
        <w:tblW w:w="4276" w:type="dxa"/>
        <w:jc w:val="center"/>
        <w:tblInd w:w="0" w:type="dxa"/>
        <w:tblLayout w:type="fixed"/>
        <w:tblCellMar>
          <w:top w:w="0" w:type="dxa"/>
          <w:left w:w="0" w:type="dxa"/>
          <w:bottom w:w="0" w:type="dxa"/>
          <w:right w:w="0" w:type="dxa"/>
        </w:tblCellMar>
      </w:tblPr>
      <w:tblGrid>
        <w:gridCol w:w="1486"/>
        <w:gridCol w:w="2535"/>
        <w:gridCol w:w="255"/>
      </w:tblGrid>
      <w:tr>
        <w:trPr/>
        <w:tc>
          <w:tcPr>
            <w:tcW w:w="1486" w:type="dxa"/>
            <w:tcBorders/>
            <w:vAlign w:val="center"/>
          </w:tcPr>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b w:val="false"/>
                <w:i w:val="false"/>
                <w:caps w:val="false"/>
                <w:smallCaps w:val="false"/>
                <w:sz w:val="20"/>
              </w:rPr>
              <w:t>Dated:</w:t>
            </w:r>
            <w:r>
              <w:rPr>
                <w:rFonts w:ascii="Arial Narrow" w:hAnsi="Arial Narrow"/>
                <w:sz w:val="20"/>
              </w:rPr>
              <w:t>May 5, 2026</w:t>
            </w:r>
          </w:p>
        </w:tc>
        <w:tc>
          <w:tcPr>
            <w:tcW w:w="2535"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Keelan Adamson</w:t>
            </w:r>
          </w:p>
        </w:tc>
        <w:tc>
          <w:tcPr>
            <w:tcW w:w="255" w:type="dxa"/>
            <w:tcBorders/>
            <w:vAlign w:val="center"/>
          </w:tcPr>
          <w:p>
            <w:pPr>
              <w:pStyle w:val="TableContents"/>
              <w:bidi w:val="0"/>
              <w:spacing w:before="0" w:after="0"/>
              <w:ind w:left="0" w:right="0" w:hanging="0"/>
              <w:jc w:val="left"/>
              <w:rPr/>
            </w:pPr>
            <w:r>
              <w:rPr/>
              <w:t>​</w:t>
            </w:r>
          </w:p>
        </w:tc>
      </w:tr>
      <w:tr>
        <w:trPr/>
        <w:tc>
          <w:tcPr>
            <w:tcW w:w="427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Keelan Adamson</w:t>
              <w:br/>
              <w:t>President and Chief Executive Officer</w:t>
            </w:r>
          </w:p>
        </w:tc>
      </w:tr>
    </w:tbl>
    <w:p>
      <w:pPr>
        <w:pStyle w:val="TextBody"/>
        <w:bidi w:val="0"/>
        <w:spacing w:before="0" w:after="0"/>
        <w:ind w:left="0" w:right="0" w:hanging="0"/>
        <w:jc w:val="left"/>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pStyle w:val="TextBody"/>
        <w:bidi w:val="0"/>
        <w:spacing w:before="60" w:after="120"/>
        <w:ind w:left="0" w:right="0" w:firstLine="720"/>
        <w:jc w:val="both"/>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A signed original of this written statement required by Section 906 has been provided to the Company and will be retained by the Company and furnished to the U.S.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 Narrow" w:hAnsi="Arial Narrow"/>
          <w:b/>
          <w:sz w:val="20"/>
        </w:rPr>
      </w:pPr>
      <w:bookmarkStart w:id="734" w:name="rig-20260331xex32d2.htm"/>
      <w:bookmarkStart w:id="735" w:name="ksrig20260331xex32d2"/>
      <w:bookmarkEnd w:id="734"/>
      <w:bookmarkEnd w:id="735"/>
      <w:r>
        <w:rPr>
          <w:rFonts w:ascii="Arial Narrow" w:hAnsi="Arial Narrow"/>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 xml:space="preserve">CERTIFICATION PURSUANT TO SECTION 906 OF </w:t>
        <w:br/>
        <w:t>THE SARBANES-OXLEY ACT OF 2002 (SUBSECTIONS (a) AND (b)</w:t>
        <w:br/>
        <w:t>OF SECTION 1350, CHAPTER 63 OF TITLE 18, UNITED STATES CODE)</w:t>
      </w:r>
    </w:p>
    <w:p>
      <w:pPr>
        <w:pStyle w:val="TextBody"/>
        <w:bidi w:val="0"/>
        <w:spacing w:before="60" w:after="120"/>
        <w:ind w:left="0" w:right="0" w:firstLine="720"/>
        <w:jc w:val="both"/>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Pursuant to Section 906 of the Sarbanes-Oxley Act of 2002 (Subsections (a) and (b) of Section 1350, Chapter 63 of Title 18, United States Code), I, Robert Thaddeus Vayda, Executive Vice President and Chief Financial Officer of Transocean Ltd., a Swiss corporation (the “Company”), hereby certify, to my knowledge, that:</w:t>
      </w:r>
    </w:p>
    <w:p>
      <w:pPr>
        <w:pStyle w:val="TextBody"/>
        <w:bidi w:val="0"/>
        <w:spacing w:before="60" w:after="120"/>
        <w:ind w:left="0" w:right="0" w:firstLine="720"/>
        <w:jc w:val="both"/>
        <w:rPr>
          <w:rFonts w:ascii="Arial Narrow" w:hAnsi="Arial Narrow"/>
          <w:sz w:val="20"/>
        </w:rPr>
      </w:pPr>
      <w:r>
        <w:rPr>
          <w:rFonts w:ascii="Arial Narrow" w:hAnsi="Arial Narrow"/>
          <w:sz w:val="20"/>
        </w:rPr>
        <w:t>(1) the Company’s Quarterly Report on Form 10-Q for the quarter ended March 31, 2026 (the “Report”) fully complies with the requirements of Section 13(a) or 15(d) of the Securities Exchange Act of 1934; and</w:t>
      </w:r>
    </w:p>
    <w:p>
      <w:pPr>
        <w:pStyle w:val="TextBody"/>
        <w:bidi w:val="0"/>
        <w:spacing w:before="60" w:after="120"/>
        <w:ind w:left="0" w:right="0" w:firstLine="720"/>
        <w:jc w:val="both"/>
        <w:rPr>
          <w:rFonts w:ascii="Arial Narrow" w:hAnsi="Arial Narrow"/>
          <w:sz w:val="20"/>
        </w:rPr>
      </w:pPr>
      <w:r>
        <w:rPr>
          <w:rFonts w:ascii="Arial Narrow" w:hAnsi="Arial Narrow"/>
          <w:sz w:val="20"/>
        </w:rPr>
        <w:t>(2) information contained in the Report fairly presents, in all material respects, the financial condition and results of operations of the Company.</w:t>
      </w:r>
    </w:p>
    <w:p>
      <w:pPr>
        <w:pStyle w:val="TextBody"/>
        <w:bidi w:val="0"/>
        <w:spacing w:before="60" w:after="120"/>
        <w:ind w:left="0" w:right="0" w:firstLine="720"/>
        <w:jc w:val="both"/>
        <w:rPr/>
      </w:pPr>
      <w:r>
        <w:rPr/>
        <w:t>​</w:t>
      </w:r>
    </w:p>
    <w:tbl>
      <w:tblPr>
        <w:tblW w:w="5296" w:type="dxa"/>
        <w:jc w:val="center"/>
        <w:tblInd w:w="0" w:type="dxa"/>
        <w:tblLayout w:type="fixed"/>
        <w:tblCellMar>
          <w:top w:w="0" w:type="dxa"/>
          <w:left w:w="0" w:type="dxa"/>
          <w:bottom w:w="0" w:type="dxa"/>
          <w:right w:w="0" w:type="dxa"/>
        </w:tblCellMar>
      </w:tblPr>
      <w:tblGrid>
        <w:gridCol w:w="1486"/>
        <w:gridCol w:w="3547"/>
        <w:gridCol w:w="263"/>
      </w:tblGrid>
      <w:tr>
        <w:trPr/>
        <w:tc>
          <w:tcPr>
            <w:tcW w:w="148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Arial Narrow" w:hAnsi="Arial Narrow"/>
                <w:sz w:val="20"/>
              </w:rPr>
            </w:pPr>
            <w:r>
              <w:rPr>
                <w:rFonts w:ascii="Arial Narrow" w:hAnsi="Arial Narrow"/>
                <w:sz w:val="20"/>
              </w:rPr>
              <w:t>Chief Financial Officer</w:t>
            </w:r>
          </w:p>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b w:val="false"/>
                <w:i w:val="false"/>
                <w:caps w:val="false"/>
                <w:smallCaps w:val="false"/>
                <w:sz w:val="20"/>
              </w:rPr>
              <w:t>Dated:</w:t>
            </w:r>
            <w:r>
              <w:rPr>
                <w:rFonts w:ascii="Arial Narrow" w:hAnsi="Arial Narrow"/>
                <w:sz w:val="20"/>
              </w:rPr>
              <w:t>May 5, 2026</w:t>
            </w:r>
          </w:p>
        </w:tc>
        <w:tc>
          <w:tcPr>
            <w:tcW w:w="3547"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Robert Thaddeus Vayda</w:t>
            </w:r>
          </w:p>
        </w:tc>
        <w:tc>
          <w:tcPr>
            <w:tcW w:w="263" w:type="dxa"/>
            <w:tcBorders/>
            <w:vAlign w:val="center"/>
          </w:tcPr>
          <w:p>
            <w:pPr>
              <w:pStyle w:val="TableContents"/>
              <w:bidi w:val="0"/>
              <w:spacing w:before="0" w:after="0"/>
              <w:ind w:left="0" w:right="0" w:hanging="0"/>
              <w:jc w:val="left"/>
              <w:rPr/>
            </w:pPr>
            <w:r>
              <w:rPr/>
              <w:t>​</w:t>
            </w:r>
          </w:p>
        </w:tc>
      </w:tr>
      <w:tr>
        <w:trPr/>
        <w:tc>
          <w:tcPr>
            <w:tcW w:w="529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Robert Thaddeus Vayda</w:t>
            </w:r>
          </w:p>
          <w:p>
            <w:pPr>
              <w:pStyle w:val="TableContents"/>
              <w:bidi w:val="0"/>
              <w:spacing w:before="0" w:after="0"/>
              <w:ind w:left="0" w:right="0" w:hanging="0"/>
              <w:jc w:val="left"/>
              <w:rPr>
                <w:rFonts w:ascii="Arial Narrow" w:hAnsi="Arial Narrow"/>
                <w:sz w:val="20"/>
              </w:rPr>
            </w:pPr>
            <w:r>
              <w:rPr>
                <w:rFonts w:ascii="Arial Narrow" w:hAnsi="Arial Narrow"/>
                <w:sz w:val="20"/>
              </w:rPr>
              <w:t>Executive Vice President and Chief Financial Officer</w:t>
            </w:r>
          </w:p>
        </w:tc>
      </w:tr>
    </w:tbl>
    <w:p>
      <w:pPr>
        <w:pStyle w:val="TextBody"/>
        <w:bidi w:val="0"/>
        <w:spacing w:before="0" w:after="0"/>
        <w:ind w:left="0" w:right="0" w:hanging="0"/>
        <w:jc w:val="left"/>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pStyle w:val="TextBody"/>
        <w:bidi w:val="0"/>
        <w:spacing w:before="60" w:after="120"/>
        <w:ind w:left="0" w:right="0" w:firstLine="720"/>
        <w:jc w:val="both"/>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A signed original of this written statement required by Section 906 has been provided to the Company and will be retained by the Company and furnished to the U.S.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altName w:val="Times"/>
    <w:charset w:val="01"/>
    <w:family w:val="auto"/>
    <w:pitch w:val="default"/>
  </w:font>
  <w:font w:name="Apto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451505/000145150526000018/rig-20251231x10k.htm" TargetMode="External"/><Relationship Id="rId4" Type="http://schemas.openxmlformats.org/officeDocument/2006/relationships/hyperlink" Target="https://www.sec.gov/ix?doc=/Archives/edgar/data/0001451505/000145150526000018/rig-20251231x10k.htm" TargetMode="External"/><Relationship Id="rId5" Type="http://schemas.openxmlformats.org/officeDocument/2006/relationships/hyperlink" Target="https://www.sec.gov/ix?doc=/Archives/edgar/data/0001451505/000145150526000018/rig-20251231x10k.htm" TargetMode="External"/><Relationship Id="rId6" Type="http://schemas.openxmlformats.org/officeDocument/2006/relationships/hyperlink" Target="https://www.sec.gov/ix?doc=/Archives/edgar/data/0001451505/000145150526000018/rig-20251231x10k.htm" TargetMode="External"/><Relationship Id="rId7" Type="http://schemas.openxmlformats.org/officeDocument/2006/relationships/hyperlink" Target="https://www.sec.gov/Archives/edgar/data/1451505/000110465926012387/tm265550d3_ex2-1.htm" TargetMode="External"/><Relationship Id="rId8" Type="http://schemas.openxmlformats.org/officeDocument/2006/relationships/hyperlink" Target="https://www.sec.gov/Archives/edgar/data/1451505/000145150525000053/rig-20250603xex3d2.htm" TargetMode="External"/><Relationship Id="rId9" Type="http://schemas.openxmlformats.org/officeDocument/2006/relationships/hyperlink" Target="https://www.sec.gov/Archives/edgar/data/1451505/000145150525000053/rig-20250603xex3d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29391</Words>
  <Characters>157818</Characters>
  <CharactersWithSpaces>188622</CharactersWithSpaces>
  <Paragraphs>5080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