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28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16, 2026</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TRANSOCEAN LTD.</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9019"/>
          </w:cols>
          <w:pgMar w:left="1440" w:top="891" w:right="1440" w:bottom="1440" w:gutter="0" w:footer="0" w:header="0"/>
        </w:sectPr>
      </w:pPr>
    </w:p>
    <w:p>
      <w:pPr>
        <w:spacing w:after="0" w:line="21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3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spacing w:after="0"/>
        <w:tabs>
          <w:tab w:leader="none" w:pos="1020" w:val="left"/>
          <w:tab w:leader="none" w:pos="11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001-38373</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98-0599916</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2700" w:space="400"/>
            <w:col w:w="3240" w:space="560"/>
            <w:col w:w="2119"/>
          </w:cols>
          <w:pgMar w:left="1440" w:top="891" w:right="1440" w:bottom="1440" w:gutter="0" w:footer="0" w:header="0"/>
          <w:type w:val="continuous"/>
        </w:sectPr>
      </w:pPr>
    </w:p>
    <w:p>
      <w:pPr>
        <w:spacing w:after="0" w:line="1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7"/>
          <w:szCs w:val="17"/>
          <w:b w:val="1"/>
          <w:bCs w:val="1"/>
          <w:color w:val="auto"/>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sectPr>
          <w:pgSz w:w="11900" w:h="16838" w:orient="portrait"/>
          <w:cols w:equalWidth="0" w:num="2">
            <w:col w:w="3860" w:space="720"/>
            <w:col w:w="4439"/>
          </w:cols>
          <w:pgMar w:left="1440" w:top="891"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b w:val="1"/>
          <w:bCs w:val="1"/>
          <w:color w:val="auto"/>
        </w:rPr>
        <w:t>Steinhausen,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CH-6312</w:t>
      </w:r>
    </w:p>
    <w:p>
      <w:pPr>
        <w:spacing w:after="0" w:line="200" w:lineRule="exact"/>
        <w:rPr>
          <w:sz w:val="24"/>
          <w:szCs w:val="24"/>
          <w:color w:val="auto"/>
        </w:rPr>
      </w:pPr>
    </w:p>
    <w:p>
      <w:pPr>
        <w:sectPr>
          <w:pgSz w:w="11900" w:h="16838" w:orient="portrait"/>
          <w:cols w:equalWidth="0" w:num="2">
            <w:col w:w="5680" w:space="720"/>
            <w:col w:w="2619"/>
          </w:cols>
          <w:pgMar w:left="1440" w:top="891" w:right="1440" w:bottom="1440" w:gutter="0" w:footer="0" w:header="0"/>
          <w:type w:val="continuous"/>
        </w:sectPr>
      </w:pPr>
    </w:p>
    <w:p>
      <w:pPr>
        <w:spacing w:after="0" w:line="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5660" w:space="720"/>
            <w:col w:w="2639"/>
          </w:cols>
          <w:pgMar w:left="1440" w:top="891" w:right="1440"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 (41) 749-0500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5339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9080" cy="8255"/>
                    </a:xfrm>
                    <a:prstGeom prst="rect">
                      <a:avLst/>
                    </a:prstGeom>
                    <a:noFill/>
                  </pic:spPr>
                </pic:pic>
              </a:graphicData>
            </a:graphic>
          </wp:anchor>
        </w:drawing>
      </w:r>
    </w:p>
    <w:p>
      <w:pPr>
        <w:spacing w:after="0" w:line="344" w:lineRule="exact"/>
        <w:rPr>
          <w:sz w:val="24"/>
          <w:szCs w:val="24"/>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4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30"/>
        </w:trPr>
        <w:tc>
          <w:tcPr>
            <w:tcW w:w="1040" w:type="dxa"/>
            <w:vAlign w:val="bottom"/>
          </w:tcPr>
          <w:p>
            <w:pPr>
              <w:spacing w:after="0"/>
              <w:rPr>
                <w:sz w:val="19"/>
                <w:szCs w:val="19"/>
                <w:color w:val="auto"/>
              </w:rPr>
            </w:pPr>
          </w:p>
        </w:tc>
        <w:tc>
          <w:tcPr>
            <w:tcW w:w="25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290"/>
        </w:trPr>
        <w:tc>
          <w:tcPr>
            <w:tcW w:w="3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 $0.10 par value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RIG</w:t>
            </w:r>
          </w:p>
        </w:tc>
        <w:tc>
          <w:tcPr>
            <w:tcW w:w="1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11" w:lineRule="exact"/>
        <w:rPr>
          <w:sz w:val="24"/>
          <w:szCs w:val="24"/>
          <w:color w:val="auto"/>
        </w:rPr>
      </w:pPr>
    </w:p>
    <w:p>
      <w:pPr>
        <w:ind w:left="200" w:right="27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left="200" w:right="27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591185</wp:posOffset>
            </wp:positionV>
            <wp:extent cx="545211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type w:val="continuous"/>
        </w:sectPr>
      </w:pPr>
    </w:p>
    <w:bookmarkStart w:id="1" w:name="page2"/>
    <w:bookmarkEnd w:id="1"/>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22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20"/>
          <w:szCs w:val="20"/>
          <w:color w:val="auto"/>
        </w:rPr>
        <w:t xml:space="preserve">Transocean Ltd. (NYSE: RIG) (“Transocean”) today announced that the </w:t>
      </w:r>
      <w:r>
        <w:rPr>
          <w:rFonts w:ascii="Times New Roman" w:cs="Times New Roman" w:eastAsia="Times New Roman" w:hAnsi="Times New Roman"/>
          <w:sz w:val="20"/>
          <w:szCs w:val="20"/>
          <w:i w:val="1"/>
          <w:iCs w:val="1"/>
          <w:color w:val="auto"/>
        </w:rPr>
        <w:t>Deepwater Asgard</w:t>
      </w:r>
      <w:r>
        <w:rPr>
          <w:rFonts w:ascii="Times New Roman" w:cs="Times New Roman" w:eastAsia="Times New Roman" w:hAnsi="Times New Roman"/>
          <w:sz w:val="20"/>
          <w:szCs w:val="20"/>
          <w:color w:val="auto"/>
        </w:rPr>
        <w:t xml:space="preserve"> was awarded a five-well contract in the Eastern Mediterranean Sea with an undisclosed operator. The estimated 390-day campaign is expected to commence in the fourth quarter of 2026 and contribute approximately $158 million in backlog, excluding additional services and compensation for mobilization and demobilization.</w:t>
      </w:r>
    </w:p>
    <w:p>
      <w:pPr>
        <w:spacing w:after="0" w:line="189"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20"/>
          <w:szCs w:val="20"/>
          <w:color w:val="auto"/>
        </w:rPr>
        <w:t xml:space="preserve">Inclusive of the recently announced fixtures on the </w:t>
      </w:r>
      <w:r>
        <w:rPr>
          <w:rFonts w:ascii="Times New Roman" w:cs="Times New Roman" w:eastAsia="Times New Roman" w:hAnsi="Times New Roman"/>
          <w:sz w:val="20"/>
          <w:szCs w:val="20"/>
          <w:i w:val="1"/>
          <w:iCs w:val="1"/>
          <w:color w:val="auto"/>
        </w:rPr>
        <w:t>Transocean Barents</w:t>
      </w:r>
      <w:r>
        <w:rPr>
          <w:rFonts w:ascii="Times New Roman" w:cs="Times New Roman" w:eastAsia="Times New Roman" w:hAnsi="Times New Roman"/>
          <w:sz w:val="20"/>
          <w:szCs w:val="20"/>
          <w:color w:val="auto"/>
        </w:rPr>
        <w:t xml:space="preserve"> in Norway, and the </w:t>
      </w:r>
      <w:r>
        <w:rPr>
          <w:rFonts w:ascii="Times New Roman" w:cs="Times New Roman" w:eastAsia="Times New Roman" w:hAnsi="Times New Roman"/>
          <w:sz w:val="20"/>
          <w:szCs w:val="20"/>
          <w:i w:val="1"/>
          <w:iCs w:val="1"/>
          <w:color w:val="auto"/>
        </w:rPr>
        <w:t>Deepwater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Orion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Deepwater Aquila</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Deepwater Corcovado </w:t>
      </w:r>
      <w:r>
        <w:rPr>
          <w:rFonts w:ascii="Times New Roman" w:cs="Times New Roman" w:eastAsia="Times New Roman" w:hAnsi="Times New Roman"/>
          <w:sz w:val="20"/>
          <w:szCs w:val="20"/>
          <w:color w:val="auto"/>
        </w:rPr>
        <w:t>in Brazil, total backlog additions approximate $1.6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billion since the beginning of April.</w:t>
      </w:r>
    </w:p>
    <w:p>
      <w:pPr>
        <w:spacing w:after="0" w:line="186"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A copy of the press release announcing the fixtures referred to above is attached hereto and incorporated herein by reference as </w:t>
      </w:r>
      <w:r>
        <w:rPr>
          <w:rFonts w:ascii="Times New Roman" w:cs="Times New Roman" w:eastAsia="Times New Roman" w:hAnsi="Times New Roman"/>
          <w:sz w:val="20"/>
          <w:szCs w:val="20"/>
          <w:u w:val="single" w:color="auto"/>
          <w:color w:val="0000EE"/>
        </w:rPr>
        <w:t>Exhibit 99.1</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 Exhibits.</w:t>
      </w:r>
    </w:p>
    <w:p>
      <w:pPr>
        <w:spacing w:after="0" w:line="211" w:lineRule="exact"/>
        <w:rPr>
          <w:sz w:val="20"/>
          <w:szCs w:val="20"/>
          <w:color w:val="auto"/>
        </w:rPr>
      </w:pPr>
    </w:p>
    <w:p>
      <w:pPr>
        <w:ind w:left="200"/>
        <w:spacing w:after="0"/>
        <w:tabs>
          <w:tab w:leader="none" w:pos="104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rFonts w:ascii="Times New Roman" w:cs="Times New Roman" w:eastAsia="Times New Roman" w:hAnsi="Times New Roman"/>
          <w:sz w:val="14"/>
          <w:szCs w:val="14"/>
          <w:u w:val="single" w:color="auto"/>
          <w:color w:val="auto"/>
        </w:rPr>
        <w:t>.</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-13970</wp:posOffset>
            </wp:positionV>
            <wp:extent cx="4843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6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0"/>
                <w:szCs w:val="20"/>
                <w:color w:val="0000EE"/>
                <w:w w:val="98"/>
              </w:rPr>
              <w:t xml:space="preserve">Transocean Ltd. Announces </w:t>
            </w:r>
            <w:r>
              <w:rPr>
                <w:rFonts w:ascii="Times New Roman" w:cs="Times New Roman" w:eastAsia="Times New Roman" w:hAnsi="Times New Roman"/>
                <w:sz w:val="20"/>
                <w:szCs w:val="20"/>
                <w:u w:val="single" w:color="auto"/>
                <w:color w:val="0000EE"/>
                <w:w w:val="98"/>
              </w:rPr>
              <w:t>$</w:t>
            </w:r>
            <w:r>
              <w:rPr>
                <w:rFonts w:ascii="Times New Roman" w:cs="Times New Roman" w:eastAsia="Times New Roman" w:hAnsi="Times New Roman"/>
                <w:sz w:val="20"/>
                <w:szCs w:val="20"/>
                <w:color w:val="0000EE"/>
                <w:w w:val="98"/>
              </w:rPr>
              <w:t>158 Million Award for Ultra-Deepwater Drillship</w:t>
            </w:r>
          </w:p>
        </w:tc>
        <w:tc>
          <w:tcPr>
            <w:tcW w:w="1340" w:type="dxa"/>
            <w:vAlign w:val="bottom"/>
          </w:tcPr>
          <w:p>
            <w:pPr>
              <w:spacing w:after="0"/>
              <w:rPr>
                <w:sz w:val="19"/>
                <w:szCs w:val="19"/>
                <w:color w:val="auto"/>
              </w:rPr>
            </w:pPr>
          </w:p>
        </w:tc>
      </w:tr>
      <w:tr>
        <w:trPr>
          <w:trHeight w:val="25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w:t>
            </w:r>
          </w:p>
        </w:tc>
      </w:tr>
      <w:tr>
        <w:trPr>
          <w:trHeight w:val="229"/>
        </w:trPr>
        <w:tc>
          <w:tcPr>
            <w:tcW w:w="96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 Reporting Language</w:t>
            </w: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w:t>
            </w:r>
          </w:p>
        </w:tc>
      </w:tr>
      <w:tr>
        <w:trPr>
          <w:trHeight w:val="1000"/>
        </w:trPr>
        <w:tc>
          <w:tcPr>
            <w:tcW w:w="9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9" w:lineRule="exact"/>
        <w:rPr>
          <w:sz w:val="20"/>
          <w:szCs w:val="20"/>
          <w:color w:val="auto"/>
        </w:rPr>
      </w:pPr>
    </w:p>
    <w:p>
      <w:pPr>
        <w:ind w:left="200" w:right="239" w:firstLine="667"/>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tbl>
      <w:tblPr>
        <w:tblLayout w:type="fixed"/>
        <w:tblInd w:w="220" w:type="dxa"/>
        <w:tblCellMar>
          <w:top w:w="0" w:type="dxa"/>
          <w:left w:w="0" w:type="dxa"/>
          <w:bottom w:w="0" w:type="dxa"/>
          <w:right w:w="0" w:type="dxa"/>
        </w:tblCellMar>
      </w:tblPr>
      <w:tr>
        <w:trPr>
          <w:trHeight w:val="258"/>
        </w:trPr>
        <w:tc>
          <w:tcPr>
            <w:tcW w:w="3000" w:type="dxa"/>
            <w:vAlign w:val="bottom"/>
          </w:tcPr>
          <w:p>
            <w:pPr>
              <w:spacing w:after="0"/>
              <w:rPr>
                <w:sz w:val="22"/>
                <w:szCs w:val="22"/>
                <w:color w:val="auto"/>
              </w:rPr>
            </w:pPr>
          </w:p>
        </w:tc>
        <w:tc>
          <w:tcPr>
            <w:tcW w:w="5580" w:type="dxa"/>
            <w:vAlign w:val="bottom"/>
            <w:gridSpan w:val="2"/>
          </w:tcPr>
          <w:p>
            <w:pPr>
              <w:ind w:left="1360"/>
              <w:spacing w:after="0"/>
              <w:rPr>
                <w:sz w:val="20"/>
                <w:szCs w:val="20"/>
                <w:color w:val="auto"/>
              </w:rPr>
            </w:pPr>
            <w:r>
              <w:rPr>
                <w:rFonts w:ascii="Times New Roman" w:cs="Times New Roman" w:eastAsia="Times New Roman" w:hAnsi="Times New Roman"/>
                <w:sz w:val="20"/>
                <w:szCs w:val="20"/>
                <w:color w:val="auto"/>
              </w:rPr>
              <w:t>TRANSOCEAN LTD.</w:t>
            </w:r>
          </w:p>
        </w:tc>
      </w:tr>
      <w:tr>
        <w:trPr>
          <w:trHeight w:val="683"/>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Date: April 16, 2026</w:t>
            </w:r>
          </w:p>
        </w:tc>
        <w:tc>
          <w:tcPr>
            <w:tcW w:w="5580" w:type="dxa"/>
            <w:vAlign w:val="bottom"/>
            <w:gridSpan w:val="2"/>
          </w:tcPr>
          <w:p>
            <w:pPr>
              <w:ind w:left="1360"/>
              <w:spacing w:after="0"/>
              <w:rPr>
                <w:sz w:val="20"/>
                <w:szCs w:val="20"/>
                <w:color w:val="auto"/>
              </w:rPr>
            </w:pPr>
            <w:r>
              <w:rPr>
                <w:rFonts w:ascii="Times New Roman" w:cs="Times New Roman" w:eastAsia="Times New Roman" w:hAnsi="Times New Roman"/>
                <w:sz w:val="20"/>
                <w:szCs w:val="20"/>
                <w:color w:val="auto"/>
              </w:rPr>
              <w:t>By:/s/ Debra Kupferman</w:t>
            </w:r>
          </w:p>
        </w:tc>
      </w:tr>
      <w:tr>
        <w:trPr>
          <w:trHeight w:val="200"/>
        </w:trPr>
        <w:tc>
          <w:tcPr>
            <w:tcW w:w="3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9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Debra Kupferman</w:t>
            </w:r>
          </w:p>
        </w:tc>
      </w:tr>
      <w:tr>
        <w:trPr>
          <w:trHeight w:val="258"/>
        </w:trPr>
        <w:tc>
          <w:tcPr>
            <w:tcW w:w="30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Authorized Person</w:t>
            </w:r>
          </w:p>
        </w:tc>
      </w:tr>
      <w:tr>
        <w:trPr>
          <w:trHeight w:val="1175"/>
        </w:trPr>
        <w:tc>
          <w:tcPr>
            <w:tcW w:w="3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3" w:name="page4"/>
    <w:bookmarkEnd w:id="3"/>
    <w:p>
      <w:pPr>
        <w:ind w:left="8180"/>
        <w:spacing w:after="0"/>
        <w:rPr>
          <w:sz w:val="20"/>
          <w:szCs w:val="20"/>
          <w:color w:val="auto"/>
        </w:rPr>
      </w:pPr>
      <w:r>
        <w:rPr>
          <w:rFonts w:ascii="Times New Roman" w:cs="Times New Roman" w:eastAsia="Times New Roman" w:hAnsi="Times New Roman"/>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93345</wp:posOffset>
            </wp:positionV>
            <wp:extent cx="161163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Transocean Ltd. Announces $158 Million Award for Ultra-Deepwater Drillship</w:t>
      </w:r>
    </w:p>
    <w:p>
      <w:pPr>
        <w:spacing w:after="0" w:line="2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STEINHAUSEN, Switzerland, April 16, 2026 — Transocean Ltd. (NYSE: RIG) (“Transocean”) today announced that the </w:t>
      </w:r>
      <w:r>
        <w:rPr>
          <w:rFonts w:ascii="Times New Roman" w:cs="Times New Roman" w:eastAsia="Times New Roman" w:hAnsi="Times New Roman"/>
          <w:sz w:val="22"/>
          <w:szCs w:val="22"/>
          <w:i w:val="1"/>
          <w:iCs w:val="1"/>
          <w:color w:val="auto"/>
        </w:rPr>
        <w:t>Deepwater Asgard</w:t>
      </w:r>
      <w:r>
        <w:rPr>
          <w:rFonts w:ascii="Times New Roman" w:cs="Times New Roman" w:eastAsia="Times New Roman" w:hAnsi="Times New Roman"/>
          <w:sz w:val="22"/>
          <w:szCs w:val="22"/>
          <w:color w:val="auto"/>
        </w:rPr>
        <w:t xml:space="preserve"> was awarded a five-well contract in the Eastern Mediterranean Sea with an undisclosed operator. The estimated 390-day campaign is expected to commence in the fourth quarter of 2026 and contribute approximately $158 million in backlog, excluding additional services and compensation for mobilization and demobilization.</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Inclusive of the recently announced fixtures on the </w:t>
      </w:r>
      <w:r>
        <w:rPr>
          <w:rFonts w:ascii="Times New Roman" w:cs="Times New Roman" w:eastAsia="Times New Roman" w:hAnsi="Times New Roman"/>
          <w:sz w:val="22"/>
          <w:szCs w:val="22"/>
          <w:i w:val="1"/>
          <w:iCs w:val="1"/>
          <w:color w:val="auto"/>
        </w:rPr>
        <w:t>Transocean Barents</w:t>
      </w:r>
      <w:r>
        <w:rPr>
          <w:rFonts w:ascii="Times New Roman" w:cs="Times New Roman" w:eastAsia="Times New Roman" w:hAnsi="Times New Roman"/>
          <w:sz w:val="22"/>
          <w:szCs w:val="22"/>
          <w:color w:val="auto"/>
        </w:rPr>
        <w:t xml:space="preserve"> in Norway, and the </w:t>
      </w:r>
      <w:r>
        <w:rPr>
          <w:rFonts w:ascii="Times New Roman" w:cs="Times New Roman" w:eastAsia="Times New Roman" w:hAnsi="Times New Roman"/>
          <w:sz w:val="22"/>
          <w:szCs w:val="22"/>
          <w:i w:val="1"/>
          <w:iCs w:val="1"/>
          <w:color w:val="auto"/>
        </w:rPr>
        <w:t>Deepwater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Deepwater Aquila</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Deepwater Corcovado </w:t>
      </w:r>
      <w:r>
        <w:rPr>
          <w:rFonts w:ascii="Times New Roman" w:cs="Times New Roman" w:eastAsia="Times New Roman" w:hAnsi="Times New Roman"/>
          <w:sz w:val="22"/>
          <w:szCs w:val="22"/>
          <w:color w:val="auto"/>
        </w:rPr>
        <w:t>in Brazil, total backlog additions approximate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$1.6 billion since the beginning of April.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Transocean</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Transocean owns or has partial ownership interests in and operates a fleet of 27 mobile offshore drilling units, consisting of 20 ultra-deepwater floaters and seven harsh environment floaters.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statements described herein that are not historical facts are forward-looking statements within the meaning of Section 27A of the Securities Act of 1933, as amended, and Section 21E of the Securities Exchange Act of 1934, as amended. These statements could contain words such as “approximately,” “expected,” “estimated,”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the company's most recent Annual Report on Form 10-K for the year ended December 31, 2025, and in the company's other filings with the SEC, which are available free of charge on the SEC's website at: www.sec.gov.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340360</wp:posOffset>
            </wp:positionV>
            <wp:extent cx="588073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4" w:name="page5"/>
    <w:bookmarkEnd w:id="4"/>
    <w:p>
      <w:pPr>
        <w:jc w:val="both"/>
        <w:spacing w:after="0" w:line="236" w:lineRule="auto"/>
        <w:rPr>
          <w:sz w:val="20"/>
          <w:szCs w:val="20"/>
          <w:color w:val="auto"/>
        </w:rPr>
      </w:pPr>
      <w:r>
        <w:rPr>
          <w:rFonts w:ascii="Times New Roman" w:cs="Times New Roman" w:eastAsia="Times New Roman" w:hAnsi="Times New Roman"/>
          <w:sz w:val="22"/>
          <w:szCs w:val="22"/>
          <w:color w:val="auto"/>
        </w:rPr>
        <w:t>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Analyst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Sarah Davidson</w:t>
      </w:r>
    </w:p>
    <w:p>
      <w:pPr>
        <w:spacing w:after="0"/>
        <w:rPr>
          <w:sz w:val="20"/>
          <w:szCs w:val="20"/>
          <w:color w:val="auto"/>
        </w:rPr>
      </w:pPr>
      <w:r>
        <w:rPr>
          <w:rFonts w:ascii="Times New Roman" w:cs="Times New Roman" w:eastAsia="Times New Roman" w:hAnsi="Times New Roman"/>
          <w:sz w:val="22"/>
          <w:szCs w:val="22"/>
          <w:color w:val="auto"/>
        </w:rPr>
        <w:t>+1 713-232-7217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Kristina Mays</w:t>
      </w:r>
    </w:p>
    <w:p>
      <w:pPr>
        <w:spacing w:after="0"/>
        <w:rPr>
          <w:sz w:val="20"/>
          <w:szCs w:val="20"/>
          <w:color w:val="auto"/>
        </w:rPr>
      </w:pPr>
      <w:r>
        <w:rPr>
          <w:rFonts w:ascii="Times New Roman" w:cs="Times New Roman" w:eastAsia="Times New Roman" w:hAnsi="Times New Roman"/>
          <w:sz w:val="22"/>
          <w:szCs w:val="22"/>
          <w:color w:val="auto"/>
        </w:rPr>
        <w:t>+1 713-232-7734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338455</wp:posOffset>
            </wp:positionV>
            <wp:extent cx="5880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sectPr>
      <w:pgSz w:w="11900" w:h="16838" w:orient="portrait"/>
      <w:cols w:equalWidth="0" w:num="1">
        <w:col w:w="9240"/>
      </w:cols>
      <w:pgMar w:left="1320" w:top="112"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2026-04-16T05:27:40Z</dcterms:created>
  <dcterms:modified xsi:type="dcterms:W3CDTF">2026-04-16T05:27:40Z</dcterms:modified>
</cp:coreProperties>
</file>