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ig-20261009x8k.htm"/>
      <w:bookmarkStart w:id="1" w:name="ksrig20261009x8k"/>
      <w:bookmarkEnd w:id="0"/>
      <w:bookmarkEnd w:id="1"/>
      <w:r>
        <w:rPr/>
        <w:t>​</w:t>
      </w:r>
    </w:p>
    <w:p>
      <w:pPr>
        <w:pStyle w:val="TextBody"/>
        <w:bidi w:val="0"/>
        <w:spacing w:before="0" w:after="0"/>
        <w:ind w:left="0" w:right="0" w:hanging="0"/>
        <w:jc w:val="center"/>
        <w:rPr>
          <w:rFonts w:ascii="Times New Roman;Times;serif" w:hAnsi="Times New Roman;Times;serif"/>
          <w:b/>
          <w:sz w:val="24"/>
        </w:rPr>
      </w:pPr>
      <w:bookmarkStart w:id="2" w:name="_1173a2be_98ec_49f0_8be3_b4630e6cbdf4"/>
      <w:bookmarkEnd w:id="2"/>
      <w:r>
        <w:rPr>
          <w:rFonts w:ascii="Times New Roman;Times;serif" w:hAnsi="Times New Roman;Times;serif"/>
          <w:b/>
          <w:sz w:val="24"/>
        </w:rPr>
        <w:t>UNITED STATES</w:t>
        <w:b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CURRENT REPORT</w:t>
        <w:br/>
        <w:t xml:space="preserve">Pursuant to Section 13 or 15(d) of </w:t>
        <w:br/>
        <w:t xml:space="preserve">the Securities Exchange Act of 1934 </w:t>
        <w:br/>
        <w:br/>
        <w:t>Date of report (date of earliest event reported): October 9, 2026</w:t>
      </w:r>
      <w:r>
        <w:rPr>
          <w:rFonts w:ascii="Times New Roman;Times;serif" w:hAnsi="Times New Roman;Times;serif"/>
          <w:sz w:val="2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TRANSOCEAN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lqBaU0UI-0OPKqmKhtl6qA_3_4"/>
      <w:bookmarkStart w:id="4" w:name="Tc_VO_rehiql0i7jHKJ8XPIBA_3_2"/>
      <w:bookmarkStart w:id="5" w:name="Tc_yEt-6p7btkqbGmESTVz3iA_3_0"/>
      <w:bookmarkStart w:id="6" w:name="Tc_taq-sA7IJU-ucvNGTtvt7A_2_4"/>
      <w:bookmarkStart w:id="7" w:name="Tc_7KSvDyVmP0K0N1agNKJ_PA_2_2"/>
      <w:bookmarkStart w:id="8" w:name="Tc_EtDinD4NOkq_rvH8VW09Ng_2_0"/>
      <w:bookmarkStart w:id="9" w:name="_97099f8b_6d91_4212_ac39_f0329140466e"/>
      <w:bookmarkStart w:id="10" w:name="Tc_lqBaU0UI-0OPKqmKhtl6qA_3_4"/>
      <w:bookmarkStart w:id="11" w:name="Tc_VO_rehiql0i7jHKJ8XPIBA_3_2"/>
      <w:bookmarkStart w:id="12" w:name="Tc_yEt-6p7btkqbGmESTVz3iA_3_0"/>
      <w:bookmarkStart w:id="13" w:name="Tc_taq-sA7IJU-ucvNGTtvt7A_2_4"/>
      <w:bookmarkStart w:id="14" w:name="Tc_7KSvDyVmP0K0N1agNKJ_PA_2_2"/>
      <w:bookmarkStart w:id="15" w:name="Tc_EtDinD4NOkq_rvH8VW09Ng_2_0"/>
      <w:bookmarkStart w:id="16" w:name="_97099f8b_6d91_4212_ac39_f0329140466e"/>
      <w:bookmarkEnd w:id="10"/>
      <w:bookmarkEnd w:id="11"/>
      <w:bookmarkEnd w:id="12"/>
      <w:bookmarkEnd w:id="13"/>
      <w:bookmarkEnd w:id="14"/>
      <w:bookmarkEnd w:id="15"/>
      <w:bookmarkEnd w:id="16"/>
    </w:p>
    <w:tbl>
      <w:tblPr>
        <w:tblW w:w="6110" w:type="dxa"/>
        <w:jc w:val="left"/>
        <w:tblInd w:w="0" w:type="dxa"/>
        <w:tblLayout w:type="fixed"/>
        <w:tblCellMar>
          <w:top w:w="0" w:type="dxa"/>
          <w:left w:w="0" w:type="dxa"/>
          <w:bottom w:w="0" w:type="dxa"/>
          <w:right w:w="0" w:type="dxa"/>
        </w:tblCellMar>
      </w:tblPr>
      <w:tblGrid>
        <w:gridCol w:w="2581"/>
        <w:gridCol w:w="346"/>
        <w:gridCol w:w="1186"/>
        <w:gridCol w:w="34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Switzerland</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001-38373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98-0599916</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saGdvPHkgE62RpUyQwh43g_4_2"/>
      <w:bookmarkStart w:id="18" w:name="Tc_LIvyvBdWgkqNz9PsEaHfZA_4_0"/>
      <w:bookmarkStart w:id="19" w:name="Tc_rqcD16Cp3kGF0PGe9UjxEA_2_0"/>
      <w:bookmarkStart w:id="20" w:name="_9471b4bf_9661_43a6_adc8_d44ad8e8b2df"/>
      <w:bookmarkStart w:id="21" w:name="Tc_saGdvPHkgE62RpUyQwh43g_4_2"/>
      <w:bookmarkStart w:id="22" w:name="Tc_LIvyvBdWgkqNz9PsEaHfZA_4_0"/>
      <w:bookmarkStart w:id="23" w:name="Tc_rqcD16Cp3kGF0PGe9UjxEA_2_0"/>
      <w:bookmarkStart w:id="24" w:name="_9471b4bf_9661_43a6_adc8_d44ad8e8b2df"/>
      <w:bookmarkEnd w:id="21"/>
      <w:bookmarkEnd w:id="22"/>
      <w:bookmarkEnd w:id="23"/>
      <w:bookmarkEnd w:id="24"/>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Turmstrasse 30</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Steinhausen, Switzerland</w:t>
            </w:r>
            <w:r>
              <w:rPr>
                <w:rFonts w:ascii="Times New Roman;Times;serif" w:hAnsi="Times New Roman;Times;serif"/>
                <w:sz w:val="24"/>
              </w:rPr>
              <w:t xml:space="preserve"> </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CH-6312</w:t>
            </w:r>
          </w:p>
        </w:tc>
      </w:tr>
      <w:tr>
        <w:trPr/>
        <w:tc>
          <w:tcPr>
            <w:tcW w:w="33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w:t>
      </w:r>
      <w:r>
        <w:rPr>
          <w:rFonts w:ascii="Times New Roman;Times;serif" w:hAnsi="Times New Roman;Times;serif"/>
          <w:sz w:val="24"/>
        </w:rPr>
        <w:t xml:space="preserve"> </w:t>
      </w:r>
      <w:r>
        <w:rPr>
          <w:rFonts w:ascii="Times New Roman;Times;serif" w:hAnsi="Times New Roman;Times;serif"/>
          <w:b/>
          <w:sz w:val="20"/>
        </w:rPr>
        <w:t>(41) 749-0500</w:t>
      </w:r>
    </w:p>
    <w:p>
      <w:pPr>
        <w:pStyle w:val="TextBody"/>
        <w:bidi w:val="0"/>
        <w:spacing w:before="0" w:after="120"/>
        <w:ind w:left="0" w:right="0" w:hanging="0"/>
        <w:jc w:val="both"/>
        <w:rPr/>
      </w:pPr>
      <w:r>
        <w:rPr>
          <w:u w:val="single"/>
        </w:rPr>
        <w:t>​ ​</w:t>
      </w: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Soliciting material pursuant to Rule 14a-12 under the Exchange Act (17 CFR 240.14a-12) </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360" w:right="0" w:hanging="0"/>
        <w:jc w:val="left"/>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 xml:space="preserve">Pre-commencement communications pursuant to Rule 13e-4(c) under the Exchange Act (17 CFR 240.13e-4(c)) </w:t>
      </w:r>
    </w:p>
    <w:p>
      <w:pPr>
        <w:pStyle w:val="Normal"/>
        <w:bidi w:val="0"/>
        <w:spacing w:before="0" w:after="0"/>
        <w:jc w:val="left"/>
        <w:rPr>
          <w:sz w:val="4"/>
          <w:szCs w:val="4"/>
        </w:rPr>
      </w:pPr>
      <w:r>
        <w:rPr>
          <w:sz w:val="4"/>
          <w:szCs w:val="4"/>
        </w:rPr>
      </w:r>
      <w:bookmarkStart w:id="25" w:name="Tc_yM2rmDBXXUS8Y4ag0FEQeg_3_0"/>
      <w:bookmarkStart w:id="26" w:name="Tc_DDK6AHWhA0KgBY_VmfvxVw_2_2"/>
      <w:bookmarkStart w:id="27" w:name="Tc_rC_Pfe7P4EWsGtlfmp8OGA_2_1"/>
      <w:bookmarkStart w:id="28" w:name="Tc_qwKQxuU7y0Wa5n_OyRSnfA_2_0"/>
      <w:bookmarkStart w:id="29" w:name="Tc_-mzZv8vHyUehdO922ocvxg_1_0"/>
      <w:bookmarkStart w:id="30" w:name="_8dd5d2dc_c168_404c_b78e_10bd7467f0ed"/>
      <w:bookmarkStart w:id="31" w:name="Tc_yM2rmDBXXUS8Y4ag0FEQeg_3_0"/>
      <w:bookmarkStart w:id="32" w:name="Tc_DDK6AHWhA0KgBY_VmfvxVw_2_2"/>
      <w:bookmarkStart w:id="33" w:name="Tc_rC_Pfe7P4EWsGtlfmp8OGA_2_1"/>
      <w:bookmarkStart w:id="34" w:name="Tc_qwKQxuU7y0Wa5n_OyRSnfA_2_0"/>
      <w:bookmarkStart w:id="35" w:name="Tc_-mzZv8vHyUehdO922ocvxg_1_0"/>
      <w:bookmarkStart w:id="36" w:name="_8dd5d2dc_c168_404c_b78e_10bd7467f0ed"/>
      <w:bookmarkEnd w:id="31"/>
      <w:bookmarkEnd w:id="32"/>
      <w:bookmarkEnd w:id="33"/>
      <w:bookmarkEnd w:id="34"/>
      <w:bookmarkEnd w:id="35"/>
      <w:bookmarkEnd w:id="36"/>
    </w:p>
    <w:tbl>
      <w:tblPr>
        <w:tblW w:w="7188" w:type="dxa"/>
        <w:jc w:val="left"/>
        <w:tblInd w:w="0" w:type="dxa"/>
        <w:tblLayout w:type="fixed"/>
        <w:tblCellMar>
          <w:top w:w="0" w:type="dxa"/>
          <w:left w:w="0" w:type="dxa"/>
          <w:bottom w:w="0" w:type="dxa"/>
          <w:right w:w="0" w:type="dxa"/>
        </w:tblCellMar>
      </w:tblPr>
      <w:tblGrid>
        <w:gridCol w:w="1996"/>
        <w:gridCol w:w="1426"/>
        <w:gridCol w:w="3766"/>
      </w:tblGrid>
      <w:tr>
        <w:trPr/>
        <w:tc>
          <w:tcPr>
            <w:tcW w:w="199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7188" w:type="dxa"/>
            <w:gridSpan w:val="3"/>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Shares, $0.10 par value</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RIG</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bookmarkStart w:id="37" w:name="_720414cf_8f6d_48ff_9109_605ed16fce45"/>
      <w:bookmarkEnd w:id="37"/>
      <w:r>
        <w:rPr>
          <w:rFonts w:ascii="Times New Roman;Times;serif" w:hAnsi="Times New Roman;Times;serif"/>
          <w:b/>
          <w:i w:val="false"/>
          <w:caps w:val="false"/>
          <w:smallCaps w:val="false"/>
          <w:sz w:val="22"/>
        </w:rPr>
        <w:t>Item 7.01</w:t>
      </w:r>
      <w:r>
        <w:rPr>
          <w:rFonts w:ascii="Times New Roman;Times;serif" w:hAnsi="Times New Roman;Times;serif"/>
          <w:b/>
          <w:sz w:val="22"/>
        </w:rPr>
        <w:t xml:space="preserve">Regulation FD Disclosure.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Transocean Ltd. (NYSE: RIG) (“Transocean”) today announced a new contract award representing approximately $62 million in firm contract backlog and the formal approval of the previously announced Equinor agreement resulting in conversion of the $1.0 billion contract value to firm backlog.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w:t>
      </w:r>
      <w:r>
        <w:rPr>
          <w:rFonts w:ascii="Times New Roman;Times;serif" w:hAnsi="Times New Roman;Times;serif"/>
          <w:i/>
          <w:sz w:val="22"/>
        </w:rPr>
        <w:t>Transocean Norge</w:t>
      </w:r>
      <w:r>
        <w:rPr>
          <w:rFonts w:ascii="Times New Roman;Times;serif" w:hAnsi="Times New Roman;Times;serif"/>
          <w:sz w:val="22"/>
        </w:rPr>
        <w:t xml:space="preserve"> was awarded a two-well contract with A/S Norske Shell. The estimated 120 days of work is expected to commence in direct continuation of the rig's previously awarded programs in Norway and contribute approximately $62 million in backlog, excluding additional services. The contract also includes one single-well 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In late September, final approval was received from Equinor for the previously announced agreement for three harsh environment semisubmersible rigs in Norway: </w:t>
      </w:r>
      <w:r>
        <w:rPr>
          <w:rFonts w:ascii="Times New Roman;Times;serif" w:hAnsi="Times New Roman;Times;serif"/>
          <w:i/>
          <w:sz w:val="22"/>
        </w:rPr>
        <w:t>Transocean Enabler, Transocean Encourage</w:t>
      </w:r>
      <w:r>
        <w:rPr>
          <w:rFonts w:ascii="Times New Roman;Times;serif" w:hAnsi="Times New Roman;Times;serif"/>
          <w:sz w:val="22"/>
        </w:rPr>
        <w:t xml:space="preserve">, and </w:t>
      </w:r>
      <w:r>
        <w:rPr>
          <w:rFonts w:ascii="Times New Roman;Times;serif" w:hAnsi="Times New Roman;Times;serif"/>
          <w:i/>
          <w:sz w:val="22"/>
        </w:rPr>
        <w:t>Transocean Endurance</w:t>
      </w:r>
      <w:r>
        <w:rPr>
          <w:rFonts w:ascii="Times New Roman;Times;serif" w:hAnsi="Times New Roman;Times;serif"/>
          <w:sz w:val="22"/>
        </w:rPr>
        <w:t>. The total contract value of approximately $1.0 billion is now included in Transocean’s backlog.</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2"/>
        </w:rPr>
        <w:t xml:space="preserve">A copy of the press release announcing the fixture referred to above is attached hereto and incorporated herein by reference as </w:t>
      </w:r>
      <w:hyperlink w:anchor="rig-ex99d1.htm">
        <w:r>
          <w:rPr>
            <w:rStyle w:val="InternetLink"/>
            <w:rFonts w:ascii="Times New Roman;Times;serif" w:hAnsi="Times New Roman;Times;serif"/>
            <w:b w:val="false"/>
            <w:i w:val="false"/>
            <w:caps w:val="false"/>
            <w:smallCaps w:val="false"/>
            <w:sz w:val="22"/>
          </w:rPr>
          <w:t>Exhibit 99.1</w:t>
        </w:r>
      </w:hyperlink>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sz w:val="16"/>
              </w:rPr>
            </w:pPr>
            <w:r>
              <w:rPr>
                <w:rFonts w:ascii="Times New Roman;Times;serif" w:hAnsi="Times New Roman;Times;serif"/>
                <w:b/>
                <w:sz w:val="16"/>
              </w:rPr>
              <w:t>Exhibit No</w:t>
            </w:r>
            <w:r>
              <w:rPr>
                <w:rFonts w:ascii="Times New Roman;Times;serif" w:hAnsi="Times New Roman;Times;serif"/>
                <w:sz w:val="16"/>
              </w:rPr>
              <w:t>.</w:t>
            </w:r>
          </w:p>
        </w:tc>
        <w:tc>
          <w:tcPr>
            <w:tcW w:w="346" w:type="dxa"/>
            <w:tcBorders/>
            <w:vAlign w:val="center"/>
          </w:tcPr>
          <w:p>
            <w:pPr>
              <w:pStyle w:val="TableContents"/>
              <w:bidi w:val="0"/>
              <w:spacing w:lineRule="atLeast" w:line="180" w:before="0" w:after="0"/>
              <w:ind w:left="0" w:right="0" w:hanging="0"/>
              <w:jc w:val="left"/>
              <w:rPr/>
            </w:pPr>
            <w:r>
              <w:rPr/>
              <w:t>  ​ ​ ​</w:t>
            </w:r>
          </w:p>
        </w:tc>
        <w:tc>
          <w:tcPr>
            <w:tcW w:w="8913"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rig-ex99d1.htm">
              <w:r>
                <w:rPr>
                  <w:rStyle w:val="InternetLink"/>
                  <w:rFonts w:ascii="Times New Roman;Times;serif" w:hAnsi="Times New Roman;Times;serif"/>
                  <w:b w:val="false"/>
                  <w:i w:val="false"/>
                  <w:caps w:val="false"/>
                  <w:smallCaps w:val="false"/>
                  <w:sz w:val="24"/>
                </w:rPr>
                <w:t>Transocean Ltd. Announces Contract Backlog of Approximately $1.1 Billion, Including Fully Approved Equinor Agreement</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Interactive data files pursuant to Rule 405 of Regulation S-T formatted in Inline Extensible Business Reporting Language</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(formatted as inline XBRL).</w:t>
            </w:r>
          </w:p>
        </w:tc>
      </w:tr>
    </w:tbl>
    <w:p>
      <w:pPr>
        <w:pStyle w:val="TextBody"/>
        <w:bidi w:val="0"/>
        <w:spacing w:before="225" w:after="225"/>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480"/>
        <w:ind w:left="0" w:right="0" w:firstLine="741"/>
        <w:jc w:val="both"/>
        <w:rPr>
          <w:rFonts w:ascii="Times New Roman;Times;serif" w:hAnsi="Times New Roman;Times;serif"/>
          <w:sz w:val="22"/>
        </w:rPr>
      </w:pPr>
      <w:r>
        <w:rPr>
          <w:rFonts w:ascii="Times New Roman;Times;serif" w:hAnsi="Times New Roman;Times;serif"/>
          <w:sz w:val="22"/>
        </w:rPr>
        <w:t xml:space="preserve">Pursuant to the requirements of the Securities Exchange Act of 1934, the Registrant has duly caused this report to be signed on its behalf by the undersigned hereunto duly authorized. </w:t>
      </w:r>
    </w:p>
    <w:tbl>
      <w:tblPr>
        <w:tblW w:w="4758" w:type="dxa"/>
        <w:jc w:val="left"/>
        <w:tblInd w:w="0" w:type="dxa"/>
        <w:tblLayout w:type="fixed"/>
        <w:tblCellMar>
          <w:top w:w="0" w:type="dxa"/>
          <w:left w:w="0" w:type="dxa"/>
          <w:bottom w:w="0" w:type="dxa"/>
          <w:right w:w="0" w:type="dxa"/>
        </w:tblCellMar>
      </w:tblPr>
      <w:tblGrid>
        <w:gridCol w:w="2206"/>
        <w:gridCol w:w="436"/>
        <w:gridCol w:w="21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October 9, 2026</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Debra Kupferman</w:t>
            </w:r>
          </w:p>
        </w:tc>
      </w:tr>
      <w:tr>
        <w:trPr/>
        <w:tc>
          <w:tcPr>
            <w:tcW w:w="2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Debra Kupferman</w:t>
            </w:r>
          </w:p>
        </w:tc>
      </w:tr>
      <w:tr>
        <w:trPr/>
        <w:tc>
          <w:tcPr>
            <w:tcW w:w="2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bookmarkStart w:id="38" w:name="rig-ex99d1.htm"/>
      <w:bookmarkStart w:id="39" w:name="ksrigex99d1"/>
      <w:bookmarkEnd w:id="38"/>
      <w:bookmarkEnd w:id="39"/>
      <w:r>
        <w:rPr>
          <w:rFonts w:ascii="Times New Roman;Times;serif" w:hAnsi="Times New Roman;Times;serif"/>
          <w:sz w:val="20"/>
        </w:rPr>
        <w:t>EXHIBIT 99.1</w:t>
      </w:r>
      <w:r>
        <w:br w:type="page"/>
      </w:r>
    </w:p>
    <w:p>
      <w:pPr>
        <w:pStyle w:val="TextBody"/>
        <w:bidi w:val="0"/>
        <w:jc w:val="left"/>
        <w:rPr/>
      </w:pPr>
      <w:r>
        <w:rPr/>
        <w:drawing>
          <wp:inline distT="0" distB="0" distL="0" distR="0">
            <wp:extent cx="1790700" cy="39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393700"/>
                    </a:xfrm>
                    <a:prstGeom prst="rect">
                      <a:avLst/>
                    </a:prstGeom>
                  </pic:spPr>
                </pic:pic>
              </a:graphicData>
            </a:graphic>
          </wp:inline>
        </w:drawing>
      </w:r>
    </w:p>
    <w:p>
      <w:pPr>
        <w:pStyle w:val="TextBody"/>
        <w:bidi w:val="0"/>
        <w:spacing w:before="0" w:after="0"/>
        <w:ind w:left="0" w:right="0" w:hanging="0"/>
        <w:jc w:val="both"/>
        <w:rPr/>
      </w:pPr>
      <w:bookmarkStart w:id="40" w:name="OLE_LINK1"/>
      <w:bookmarkEnd w:id="40"/>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Transocean Ltd. Announces Contract Backlog of Approximately $1.1 Billion, Including Fully Approved Equinor Agreement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bookmarkStart w:id="41" w:name="_Hlk14176730"/>
      <w:bookmarkEnd w:id="41"/>
      <w:r>
        <w:rPr>
          <w:rFonts w:ascii="Times New Roman;Times;serif" w:hAnsi="Times New Roman;Times;serif"/>
          <w:sz w:val="24"/>
        </w:rPr>
        <w:t>STEINHAUSEN, Switzerland, October 9, 2026 (GLOBE NEWSWIRE) -- Transocean Ltd. (NYSE: RIG) (“Transocean”) today announced a new contract award representing approximately $62 million in firm contract backlog and the formal approval of the previously announced Equinor agreement resulting in conversion of the $1.0 billion contract value to firm backlog.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The </w:t>
      </w:r>
      <w:r>
        <w:rPr>
          <w:rFonts w:ascii="Times New Roman;Times;serif" w:hAnsi="Times New Roman;Times;serif"/>
          <w:i/>
          <w:sz w:val="24"/>
        </w:rPr>
        <w:t>Transocean Norge</w:t>
      </w:r>
      <w:r>
        <w:rPr>
          <w:rFonts w:ascii="Times New Roman;Times;serif" w:hAnsi="Times New Roman;Times;serif"/>
          <w:sz w:val="20"/>
        </w:rPr>
        <w:t xml:space="preserve"> </w:t>
      </w:r>
      <w:r>
        <w:rPr>
          <w:rFonts w:ascii="Times New Roman;Times;serif" w:hAnsi="Times New Roman;Times;serif"/>
          <w:sz w:val="24"/>
        </w:rPr>
        <w:t>was awarded a two-well contract with A/S Norske Shell. The estimated 120 days of work is expected to commence in direct continuation of the rig's previously awarded programs in Norway and contribute approximately $62 million in backlog, excluding additional services. The contract also includes one single-well 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In late September, final approval was received from Equinor for the previously announced agreement for three harsh environment semisubmersible rigs in Norway: </w:t>
      </w:r>
      <w:r>
        <w:rPr>
          <w:rFonts w:ascii="Times New Roman;Times;serif" w:hAnsi="Times New Roman;Times;serif"/>
          <w:i/>
          <w:sz w:val="24"/>
        </w:rPr>
        <w:t>Transocean Enabler, Transocean Encourage</w:t>
      </w:r>
      <w:r>
        <w:rPr>
          <w:rFonts w:ascii="Times New Roman;Times;serif" w:hAnsi="Times New Roman;Times;serif"/>
          <w:sz w:val="24"/>
        </w:rPr>
        <w:t xml:space="preserve">, and </w:t>
      </w:r>
      <w:r>
        <w:rPr>
          <w:rFonts w:ascii="Times New Roman;Times;serif" w:hAnsi="Times New Roman;Times;serif"/>
          <w:i/>
          <w:sz w:val="24"/>
        </w:rPr>
        <w:t>Transocean Endurance</w:t>
      </w:r>
      <w:r>
        <w:rPr>
          <w:rFonts w:ascii="Times New Roman;Times;serif" w:hAnsi="Times New Roman;Times;serif"/>
          <w:sz w:val="24"/>
        </w:rPr>
        <w:t>. The total contract value of approximately $1.0 billion is now included in Transocean’s backlog.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About Transocean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owns or has partial ownership interests in and operates a fleet of 27 mobile offshore drilling units, consisting of 20 ultra-deepwater floaters and seven harsh environment floaters.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“estimated,” “approximately,”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Analyst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Sarah Davidson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+1 713-232-7217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Media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Kristina Mays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+1 713-232-7734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1296</Words>
  <Characters>7610</Characters>
  <CharactersWithSpaces>8946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