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15.gif" ContentType="image/gif"/>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1.jpeg" ContentType="image/jpeg"/>
  <Override PartName="/word/media/image35.jpeg" ContentType="image/jpeg"/>
  <Override PartName="/word/media/image22.jpeg" ContentType="image/jpeg"/>
  <Override PartName="/word/media/image41.jpeg" ContentType="image/jpeg"/>
  <Override PartName="/word/media/image14.jpeg" ContentType="image/jpeg"/>
  <Override PartName="/word/media/image23.jpeg" ContentType="image/jpeg"/>
  <Override PartName="/word/media/image17.gif" ContentType="image/gif"/>
  <Override PartName="/word/media/image50.jpeg" ContentType="image/jpeg"/>
  <Override PartName="/word/media/image21.jpeg" ContentType="image/jpeg"/>
  <Override PartName="/word/media/image5.jpeg" ContentType="image/jpeg"/>
  <Override PartName="/word/media/image18.jpeg" ContentType="image/jpeg"/>
  <Override PartName="/word/media/image20.jpeg" ContentType="image/jpeg"/>
  <Override PartName="/word/media/image60.jpeg" ContentType="image/jpeg"/>
  <Override PartName="/word/media/image3.jpeg" ContentType="image/jpeg"/>
  <Override PartName="/word/media/image37.jpeg" ContentType="image/jpeg"/>
  <Override PartName="/word/media/image61.jpeg" ContentType="image/jpeg"/>
  <Override PartName="/word/media/image4.jpeg" ContentType="image/jpeg"/>
  <Override PartName="/word/media/image75.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9.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2.jpeg" ContentType="image/jpeg"/>
  <Override PartName="/word/media/image16.gif" ContentType="image/gif"/>
  <Override PartName="/word/media/image64.jpeg" ContentType="image/jpeg"/>
  <Override PartName="/word/media/image7.jpeg" ContentType="image/jpeg"/>
  <Override PartName="/word/media/image38.jpeg" ContentType="image/jpeg"/>
  <Override PartName="/word/media/image19.jpeg" ContentType="image/jpeg"/>
  <Override PartName="/word/media/image63.jpeg" ContentType="image/jpeg"/>
  <Override PartName="/word/media/image6.jpeg" ContentType="image/jpeg"/>
  <Override PartName="/word/media/image2.jpeg" ContentType="image/jpeg"/>
  <Override PartName="/word/media/image36.jpeg" ContentType="image/jpeg"/>
  <Override PartName="/word/media/image24.jpeg" ContentType="image/jpeg"/>
  <Override PartName="/word/media/image25.jpeg" ContentType="image/jpeg"/>
  <Override PartName="/word/media/image26.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360"/>
        <w:ind w:left="0" w:right="0" w:hanging="0"/>
        <w:jc w:val="both"/>
        <w:rPr/>
      </w:pPr>
      <w:hyperlink w:anchor="TOC">
        <w:bookmarkStart w:id="0" w:name="rig-20260522xpre14a.htm"/>
        <w:bookmarkStart w:id="1" w:name="ksrig20260522xpre14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b/>
          <w:sz w:val="20"/>
        </w:rPr>
      </w:pPr>
      <w:bookmarkStart w:id="2" w:name="_718536c0_9b8a_4a94_bdcf_067133a03c76"/>
      <w:bookmarkEnd w:id="2"/>
      <w:r>
        <w:rPr>
          <w:rFonts w:ascii="Arial;Helvetica;sans-serif" w:hAnsi="Arial;Helvetica;sans-serif"/>
          <w:b/>
          <w:sz w:val="20"/>
        </w:rPr>
        <w:t>UNITED STATES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SECURITIES AND EXCHANGE</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COMMISSION</w:t>
      </w:r>
    </w:p>
    <w:p>
      <w:pPr>
        <w:pStyle w:val="TextBody"/>
        <w:bidi w:val="0"/>
        <w:spacing w:lineRule="auto" w:line="285" w:before="0" w:after="12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lineRule="auto" w:line="285" w:before="0" w:after="120"/>
        <w:ind w:left="0" w:right="0" w:hanging="0"/>
        <w:jc w:val="center"/>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SCHEDULE 14A</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Proxy Statement Pursuant to Section 14(a) of</w:t>
      </w:r>
    </w:p>
    <w:p>
      <w:pPr>
        <w:pStyle w:val="TextBody"/>
        <w:bidi w:val="0"/>
        <w:spacing w:lineRule="auto" w:line="285" w:before="0" w:after="120"/>
        <w:ind w:left="0" w:right="0" w:hanging="0"/>
        <w:jc w:val="center"/>
        <w:rPr>
          <w:rFonts w:ascii="Arial;Helvetica;sans-serif" w:hAnsi="Arial;Helvetica;sans-serif"/>
          <w:sz w:val="20"/>
        </w:rPr>
      </w:pPr>
      <w:r>
        <w:rPr>
          <w:rFonts w:ascii="Arial;Helvetica;sans-serif" w:hAnsi="Arial;Helvetica;sans-serif"/>
          <w:sz w:val="20"/>
        </w:rPr>
        <w:t>the Securities Exchange Act of 1934 (Amendment No.  )</w:t>
      </w:r>
    </w:p>
    <w:tbl>
      <w:tblPr>
        <w:tblW w:w="7802" w:type="dxa"/>
        <w:jc w:val="left"/>
        <w:tblInd w:w="0" w:type="dxa"/>
        <w:tblLayout w:type="fixed"/>
        <w:tblCellMar>
          <w:top w:w="0" w:type="dxa"/>
          <w:left w:w="0" w:type="dxa"/>
          <w:bottom w:w="0" w:type="dxa"/>
          <w:right w:w="0" w:type="dxa"/>
        </w:tblCellMar>
      </w:tblPr>
      <w:tblGrid>
        <w:gridCol w:w="331"/>
        <w:gridCol w:w="7471"/>
      </w:tblGrid>
      <w:tr>
        <w:trPr/>
        <w:tc>
          <w:tcPr>
            <w:tcW w:w="331" w:type="dxa"/>
            <w:tcBorders/>
            <w:vAlign w:val="center"/>
          </w:tcPr>
          <w:p>
            <w:pPr>
              <w:pStyle w:val="TableContents"/>
              <w:bidi w:val="0"/>
              <w:spacing w:lineRule="auto" w:line="285" w:before="0" w:after="0"/>
              <w:ind w:left="0" w:right="0" w:hanging="0"/>
              <w:jc w:val="both"/>
              <w:rPr/>
            </w:pPr>
            <w:r>
              <w:rPr/>
              <w:t>​</w:t>
            </w:r>
          </w:p>
        </w:tc>
        <w:tc>
          <w:tcPr>
            <w:tcW w:w="7471" w:type="dxa"/>
            <w:tcBorders/>
            <w:vAlign w:val="center"/>
          </w:tcPr>
          <w:p>
            <w:pPr>
              <w:pStyle w:val="TableContents"/>
              <w:bidi w:val="0"/>
              <w:spacing w:lineRule="auto" w:line="285" w:before="0" w:after="0"/>
              <w:ind w:left="0" w:right="0" w:hanging="0"/>
              <w:jc w:val="both"/>
              <w:rPr/>
            </w:pPr>
            <w:r>
              <w:rPr/>
              <w:t>​</w:t>
            </w:r>
          </w:p>
        </w:tc>
      </w:tr>
      <w:tr>
        <w:trPr/>
        <w:tc>
          <w:tcPr>
            <w:tcW w:w="7802" w:type="dxa"/>
            <w:gridSpan w:val="2"/>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Filed by the Registrant ⌧</w:t>
            </w:r>
          </w:p>
        </w:tc>
      </w:tr>
      <w:tr>
        <w:trPr/>
        <w:tc>
          <w:tcPr>
            <w:tcW w:w="7802" w:type="dxa"/>
            <w:gridSpan w:val="2"/>
            <w:tcBorders/>
            <w:vAlign w:val="center"/>
          </w:tcPr>
          <w:p>
            <w:pPr>
              <w:pStyle w:val="TableContents"/>
              <w:pBdr/>
              <w:bidi w:val="0"/>
              <w:spacing w:lineRule="auto" w:line="285" w:before="60" w:after="0"/>
              <w:ind w:left="0" w:right="0" w:hanging="0"/>
              <w:jc w:val="left"/>
              <w:rPr>
                <w:rFonts w:ascii="Arial;Helvetica;sans-serif" w:hAnsi="Arial;Helvetica;sans-serif"/>
                <w:sz w:val="20"/>
              </w:rPr>
            </w:pPr>
            <w:r>
              <w:rPr>
                <w:rFonts w:ascii="Arial;Helvetica;sans-serif" w:hAnsi="Arial;Helvetica;sans-serif"/>
                <w:sz w:val="20"/>
              </w:rPr>
              <w:t>Filed by a Party other than the Registrant ☐</w:t>
            </w:r>
          </w:p>
        </w:tc>
      </w:tr>
      <w:tr>
        <w:trPr/>
        <w:tc>
          <w:tcPr>
            <w:tcW w:w="7802" w:type="dxa"/>
            <w:gridSpan w:val="2"/>
            <w:tcBorders/>
            <w:vAlign w:val="center"/>
          </w:tcPr>
          <w:p>
            <w:pPr>
              <w:pStyle w:val="TableContents"/>
              <w:pBdr/>
              <w:bidi w:val="0"/>
              <w:spacing w:lineRule="auto" w:line="285" w:before="60" w:after="0"/>
              <w:ind w:left="0" w:right="0" w:hanging="0"/>
              <w:jc w:val="left"/>
              <w:rPr>
                <w:rFonts w:ascii="Arial;Helvetica;sans-serif" w:hAnsi="Arial;Helvetica;sans-serif"/>
                <w:sz w:val="20"/>
              </w:rPr>
            </w:pPr>
            <w:r>
              <w:rPr>
                <w:rFonts w:ascii="Arial;Helvetica;sans-serif" w:hAnsi="Arial;Helvetica;sans-serif"/>
                <w:sz w:val="20"/>
              </w:rPr>
              <w:t>Check the appropriate box:</w:t>
            </w:r>
          </w:p>
        </w:tc>
      </w:tr>
      <w:tr>
        <w:trPr/>
        <w:tc>
          <w:tcPr>
            <w:tcW w:w="331" w:type="dxa"/>
            <w:tcBorders/>
            <w:vAlign w:val="center"/>
          </w:tcPr>
          <w:p>
            <w:pPr>
              <w:pStyle w:val="TableContents"/>
              <w:pBdr/>
              <w:bidi w:val="0"/>
              <w:spacing w:lineRule="auto" w:line="285" w:before="40" w:after="0"/>
              <w:ind w:left="0" w:right="0" w:hanging="0"/>
              <w:jc w:val="left"/>
              <w:rPr/>
            </w:pPr>
            <w:r>
              <w:rPr/>
              <w:t>⌧</w:t>
            </w:r>
          </w:p>
        </w:tc>
        <w:tc>
          <w:tcPr>
            <w:tcW w:w="747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Preliminary Proxy Statement</w:t>
            </w:r>
          </w:p>
        </w:tc>
      </w:tr>
      <w:tr>
        <w:trPr/>
        <w:tc>
          <w:tcPr>
            <w:tcW w:w="331" w:type="dxa"/>
            <w:tcBorders/>
            <w:vAlign w:val="center"/>
          </w:tcPr>
          <w:p>
            <w:pPr>
              <w:pStyle w:val="TableContents"/>
              <w:pBdr/>
              <w:bidi w:val="0"/>
              <w:spacing w:lineRule="auto" w:line="285" w:before="0" w:after="0"/>
              <w:ind w:left="0" w:right="0" w:hanging="0"/>
              <w:jc w:val="left"/>
              <w:rPr/>
            </w:pPr>
            <w:r>
              <w:rPr/>
              <w:t>☐</w:t>
            </w:r>
          </w:p>
        </w:tc>
        <w:tc>
          <w:tcPr>
            <w:tcW w:w="7471" w:type="dxa"/>
            <w:tcBorders/>
            <w:vAlign w:val="center"/>
          </w:tcPr>
          <w:p>
            <w:pPr>
              <w:pStyle w:val="TableContents"/>
              <w:bidi w:val="0"/>
              <w:spacing w:lineRule="auto" w:line="285" w:before="0" w:after="0"/>
              <w:ind w:left="0" w:right="0" w:hanging="0"/>
              <w:jc w:val="left"/>
              <w:rPr>
                <w:rFonts w:ascii="Arial;Helvetica;sans-serif" w:hAnsi="Arial;Helvetica;sans-serif"/>
                <w:b/>
                <w:sz w:val="20"/>
              </w:rPr>
            </w:pPr>
            <w:r>
              <w:rPr>
                <w:rFonts w:ascii="Arial;Helvetica;sans-serif" w:hAnsi="Arial;Helvetica;sans-serif"/>
                <w:b/>
                <w:sz w:val="20"/>
              </w:rPr>
              <w:t>Confidential, for Use of the Commission Only (as permitted by Rule 14a-6(e)(2))</w:t>
            </w:r>
          </w:p>
        </w:tc>
      </w:tr>
      <w:tr>
        <w:trPr/>
        <w:tc>
          <w:tcPr>
            <w:tcW w:w="331" w:type="dxa"/>
            <w:tcBorders/>
            <w:vAlign w:val="center"/>
          </w:tcPr>
          <w:p>
            <w:pPr>
              <w:pStyle w:val="TableContents"/>
              <w:pBdr/>
              <w:bidi w:val="0"/>
              <w:spacing w:lineRule="auto" w:line="285" w:before="0" w:after="0"/>
              <w:ind w:left="0" w:right="0" w:hanging="0"/>
              <w:jc w:val="left"/>
              <w:rPr/>
            </w:pPr>
            <w:r>
              <w:rPr/>
              <w:t>☐</w:t>
            </w:r>
          </w:p>
        </w:tc>
        <w:tc>
          <w:tcPr>
            <w:tcW w:w="747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Definitive Proxy Statement</w:t>
            </w:r>
          </w:p>
        </w:tc>
      </w:tr>
      <w:tr>
        <w:trPr/>
        <w:tc>
          <w:tcPr>
            <w:tcW w:w="331" w:type="dxa"/>
            <w:tcBorders/>
            <w:vAlign w:val="center"/>
          </w:tcPr>
          <w:p>
            <w:pPr>
              <w:pStyle w:val="TableContents"/>
              <w:pBdr/>
              <w:bidi w:val="0"/>
              <w:spacing w:lineRule="auto" w:line="285" w:before="0" w:after="0"/>
              <w:ind w:left="0" w:right="0" w:hanging="0"/>
              <w:jc w:val="left"/>
              <w:rPr/>
            </w:pPr>
            <w:r>
              <w:rPr/>
              <w:t>☐</w:t>
            </w:r>
          </w:p>
        </w:tc>
        <w:tc>
          <w:tcPr>
            <w:tcW w:w="747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Definitive Additional Materials</w:t>
            </w:r>
          </w:p>
        </w:tc>
      </w:tr>
      <w:tr>
        <w:trPr/>
        <w:tc>
          <w:tcPr>
            <w:tcW w:w="331" w:type="dxa"/>
            <w:tcBorders/>
            <w:vAlign w:val="center"/>
          </w:tcPr>
          <w:p>
            <w:pPr>
              <w:pStyle w:val="TableContents"/>
              <w:pBdr/>
              <w:bidi w:val="0"/>
              <w:spacing w:lineRule="auto" w:line="285" w:before="0" w:after="0"/>
              <w:ind w:left="0" w:right="0" w:hanging="0"/>
              <w:jc w:val="left"/>
              <w:rPr/>
            </w:pPr>
            <w:r>
              <w:rPr/>
              <w:t>☐</w:t>
            </w:r>
          </w:p>
        </w:tc>
        <w:tc>
          <w:tcPr>
            <w:tcW w:w="747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Soliciting Material under §240.14a-12</w:t>
            </w:r>
          </w:p>
        </w:tc>
      </w:tr>
    </w:tbl>
    <w:p>
      <w:pPr>
        <w:pStyle w:val="TextBody"/>
        <w:bidi w:val="0"/>
        <w:spacing w:lineRule="auto" w:line="285" w:before="0" w:after="0"/>
        <w:ind w:left="0" w:right="0" w:hanging="0"/>
        <w:jc w:val="both"/>
        <w:rPr/>
      </w:pPr>
      <w:r>
        <w:rPr/>
        <w:t>​</w:t>
      </w:r>
    </w:p>
    <w:p>
      <w:pPr>
        <w:pStyle w:val="TextBody"/>
        <w:pBdr>
          <w:bottom w:val="single" w:sz="2" w:space="1" w:color="000000"/>
        </w:pBdr>
        <w:bidi w:val="0"/>
        <w:spacing w:lineRule="auto" w:line="285" w:before="0" w:after="20"/>
        <w:ind w:left="0" w:right="0" w:hanging="0"/>
        <w:jc w:val="center"/>
        <w:rPr>
          <w:rFonts w:ascii="Arial;Helvetica;sans-serif" w:hAnsi="Arial;Helvetica;sans-serif"/>
          <w:b/>
          <w:sz w:val="20"/>
        </w:rPr>
      </w:pPr>
      <w:r>
        <w:rPr>
          <w:rFonts w:ascii="Arial;Helvetica;sans-serif" w:hAnsi="Arial;Helvetica;sans-serif"/>
          <w:b/>
          <w:sz w:val="20"/>
        </w:rPr>
        <w:t>Transocean Ltd.</w:t>
      </w:r>
    </w:p>
    <w:p>
      <w:pPr>
        <w:pStyle w:val="TextBody"/>
        <w:bidi w:val="0"/>
        <w:spacing w:lineRule="auto" w:line="285" w:before="0" w:after="20"/>
        <w:ind w:left="0" w:right="0" w:hanging="0"/>
        <w:jc w:val="center"/>
        <w:rPr>
          <w:rFonts w:ascii="Arial;Helvetica;sans-serif" w:hAnsi="Arial;Helvetica;sans-serif"/>
          <w:sz w:val="20"/>
        </w:rPr>
      </w:pPr>
      <w:r>
        <w:rPr>
          <w:rFonts w:ascii="Arial;Helvetica;sans-serif" w:hAnsi="Arial;Helvetica;sans-serif"/>
          <w:sz w:val="20"/>
        </w:rPr>
        <w:t>(Name of Registrant as Specified In Its Charter)</w:t>
      </w:r>
    </w:p>
    <w:p>
      <w:pPr>
        <w:pStyle w:val="TextBody"/>
        <w:bidi w:val="0"/>
        <w:spacing w:lineRule="auto" w:line="285" w:before="0" w:after="0"/>
        <w:ind w:left="0" w:right="0" w:hanging="0"/>
        <w:jc w:val="both"/>
        <w:rPr/>
      </w:pPr>
      <w:r>
        <w:rPr/>
        <w:t>​</w:t>
      </w:r>
    </w:p>
    <w:tbl>
      <w:tblPr>
        <w:tblW w:w="9197" w:type="dxa"/>
        <w:jc w:val="left"/>
        <w:tblInd w:w="0" w:type="dxa"/>
        <w:tblLayout w:type="fixed"/>
        <w:tblCellMar>
          <w:top w:w="28" w:type="dxa"/>
          <w:left w:w="0" w:type="dxa"/>
          <w:bottom w:w="0" w:type="dxa"/>
          <w:right w:w="0" w:type="dxa"/>
        </w:tblCellMar>
      </w:tblPr>
      <w:tblGrid>
        <w:gridCol w:w="331"/>
        <w:gridCol w:w="8866"/>
      </w:tblGrid>
      <w:tr>
        <w:trPr/>
        <w:tc>
          <w:tcPr>
            <w:tcW w:w="9197" w:type="dxa"/>
            <w:gridSpan w:val="2"/>
            <w:tcBorders>
              <w:top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(Name of Person(s) Filing Proxy Statement, if other than the Registrant)</w:t>
            </w:r>
          </w:p>
        </w:tc>
      </w:tr>
      <w:tr>
        <w:trPr/>
        <w:tc>
          <w:tcPr>
            <w:tcW w:w="9197" w:type="dxa"/>
            <w:gridSpan w:val="2"/>
            <w:tcBorders/>
            <w:tcMar>
              <w:top w:w="0" w:type="dxa"/>
            </w:tcMar>
            <w:vAlign w:val="center"/>
          </w:tcPr>
          <w:p>
            <w:pPr>
              <w:pStyle w:val="TableContents"/>
              <w:pBdr/>
              <w:bidi w:val="0"/>
              <w:spacing w:lineRule="auto" w:line="285" w:before="80" w:after="0"/>
              <w:ind w:left="0" w:right="0" w:hanging="0"/>
              <w:jc w:val="left"/>
              <w:rPr>
                <w:rFonts w:ascii="Arial;Helvetica;sans-serif" w:hAnsi="Arial;Helvetica;sans-serif"/>
                <w:sz w:val="20"/>
              </w:rPr>
            </w:pPr>
            <w:r>
              <w:rPr>
                <w:rFonts w:ascii="Arial;Helvetica;sans-serif" w:hAnsi="Arial;Helvetica;sans-serif"/>
                <w:sz w:val="20"/>
              </w:rPr>
              <w:t>Payment of Filing Fee (Check the appropriate box):</w:t>
            </w:r>
          </w:p>
        </w:tc>
      </w:tr>
      <w:tr>
        <w:trPr/>
        <w:tc>
          <w:tcPr>
            <w:tcW w:w="331" w:type="dxa"/>
            <w:tcBorders/>
            <w:tcMar>
              <w:top w:w="0" w:type="dxa"/>
            </w:tcMar>
            <w:vAlign w:val="center"/>
          </w:tcPr>
          <w:p>
            <w:pPr>
              <w:pStyle w:val="TableContents"/>
              <w:pBdr/>
              <w:bidi w:val="0"/>
              <w:spacing w:lineRule="auto" w:line="285" w:before="40" w:after="0"/>
              <w:ind w:left="0" w:right="0" w:hanging="0"/>
              <w:jc w:val="left"/>
              <w:rPr/>
            </w:pPr>
            <w:r>
              <w:rPr/>
              <w:t>⌧</w:t>
            </w:r>
          </w:p>
        </w:tc>
        <w:tc>
          <w:tcPr>
            <w:tcW w:w="8866" w:type="dxa"/>
            <w:tcBorders/>
            <w:tcMar>
              <w:top w:w="0" w:type="dxa"/>
            </w:tcMar>
            <w:vAlign w:val="center"/>
          </w:tcPr>
          <w:p>
            <w:pPr>
              <w:pStyle w:val="TableContents"/>
              <w:bidi w:val="0"/>
              <w:spacing w:lineRule="auto" w:line="285" w:before="80" w:after="0"/>
              <w:ind w:left="0" w:right="0" w:hanging="0"/>
              <w:jc w:val="left"/>
              <w:rPr>
                <w:rFonts w:ascii="Arial;Helvetica;sans-serif" w:hAnsi="Arial;Helvetica;sans-serif"/>
                <w:sz w:val="20"/>
              </w:rPr>
            </w:pPr>
            <w:r>
              <w:rPr>
                <w:rFonts w:ascii="Arial;Helvetica;sans-serif" w:hAnsi="Arial;Helvetica;sans-serif"/>
                <w:sz w:val="20"/>
              </w:rPr>
              <w:t>No fee required.</w:t>
            </w:r>
          </w:p>
        </w:tc>
      </w:tr>
      <w:tr>
        <w:trPr/>
        <w:tc>
          <w:tcPr>
            <w:tcW w:w="331" w:type="dxa"/>
            <w:tcBorders/>
            <w:tcMar>
              <w:top w:w="0" w:type="dxa"/>
            </w:tcMar>
            <w:vAlign w:val="center"/>
          </w:tcPr>
          <w:p>
            <w:pPr>
              <w:pStyle w:val="TableContents"/>
              <w:pBdr/>
              <w:bidi w:val="0"/>
              <w:spacing w:lineRule="auto" w:line="285" w:before="0" w:after="0"/>
              <w:ind w:left="0" w:right="0" w:hanging="0"/>
              <w:jc w:val="left"/>
              <w:rPr/>
            </w:pPr>
            <w:r>
              <w:rPr/>
              <w:t>☐</w:t>
            </w:r>
          </w:p>
        </w:tc>
        <w:tc>
          <w:tcPr>
            <w:tcW w:w="8866" w:type="dxa"/>
            <w:tcBorders/>
            <w:tcMar>
              <w:top w:w="0" w:type="dxa"/>
            </w:tcMar>
            <w:vAlign w:val="center"/>
          </w:tcPr>
          <w:p>
            <w:pPr>
              <w:pStyle w:val="TableContents"/>
              <w:bidi w:val="0"/>
              <w:spacing w:lineRule="auto" w:line="285" w:before="80" w:after="0"/>
              <w:ind w:left="0" w:right="0" w:hanging="0"/>
              <w:jc w:val="left"/>
              <w:rPr>
                <w:rFonts w:ascii="Arial;Helvetica;sans-serif" w:hAnsi="Arial;Helvetica;sans-serif"/>
                <w:sz w:val="20"/>
              </w:rPr>
            </w:pPr>
            <w:r>
              <w:rPr>
                <w:rFonts w:ascii="Arial;Helvetica;sans-serif" w:hAnsi="Arial;Helvetica;sans-serif"/>
                <w:sz w:val="20"/>
              </w:rPr>
              <w:t>Fee paid previously with preliminary materials.</w:t>
            </w:r>
          </w:p>
        </w:tc>
      </w:tr>
      <w:tr>
        <w:trPr/>
        <w:tc>
          <w:tcPr>
            <w:tcW w:w="331" w:type="dxa"/>
            <w:tcBorders/>
            <w:tcMar>
              <w:top w:w="0" w:type="dxa"/>
            </w:tcMar>
            <w:vAlign w:val="center"/>
          </w:tcPr>
          <w:p>
            <w:pPr>
              <w:pStyle w:val="TableContents"/>
              <w:pBdr/>
              <w:bidi w:val="0"/>
              <w:spacing w:lineRule="auto" w:line="285" w:before="0" w:after="0"/>
              <w:ind w:left="0" w:right="0" w:hanging="0"/>
              <w:jc w:val="left"/>
              <w:rPr/>
            </w:pPr>
            <w:r>
              <w:rPr/>
              <w:t>☐</w:t>
            </w:r>
          </w:p>
        </w:tc>
        <w:tc>
          <w:tcPr>
            <w:tcW w:w="8866" w:type="dxa"/>
            <w:tcBorders/>
            <w:tcMar>
              <w:top w:w="0" w:type="dxa"/>
            </w:tcMar>
            <w:vAlign w:val="center"/>
          </w:tcPr>
          <w:p>
            <w:pPr>
              <w:pStyle w:val="TableContents"/>
              <w:bidi w:val="0"/>
              <w:spacing w:lineRule="auto" w:line="285" w:before="80" w:after="0"/>
              <w:ind w:left="0" w:right="0" w:hanging="0"/>
              <w:jc w:val="left"/>
              <w:rPr>
                <w:rFonts w:ascii="Arial;Helvetica;sans-serif" w:hAnsi="Arial;Helvetica;sans-serif"/>
                <w:sz w:val="20"/>
              </w:rPr>
            </w:pPr>
            <w:r>
              <w:rPr>
                <w:rFonts w:ascii="Arial;Helvetica;sans-serif" w:hAnsi="Arial;Helvetica;sans-serif"/>
                <w:sz w:val="20"/>
              </w:rPr>
              <w:t>Fee computed on table in exhibit required by Item 25(b) per Exchange Act Rules 14a6(i)(1) and 0-11.</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right"/>
        <w:rPr/>
      </w:pPr>
      <w:bookmarkStart w:id="3" w:name="_a2f8f083_534b_4c48_bac3_572181cd0504"/>
      <w:bookmarkEnd w:id="3"/>
      <w:r>
        <w:rPr/>
        <w:drawing>
          <wp:inline distT="0" distB="0" distL="0" distR="0">
            <wp:extent cx="182880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09575"/>
                    </a:xfrm>
                    <a:prstGeom prst="rect">
                      <a:avLst/>
                    </a:prstGeom>
                  </pic:spPr>
                </pic:pic>
              </a:graphicData>
            </a:graphic>
          </wp:inline>
        </w:drawing>
      </w:r>
    </w:p>
    <w:p>
      <w:pPr>
        <w:pStyle w:val="TextBody"/>
        <w:bidi w:val="0"/>
        <w:spacing w:lineRule="auto" w:line="285" w:before="0" w:after="200"/>
        <w:ind w:left="0" w:right="0" w:hanging="0"/>
        <w:jc w:val="left"/>
        <w:rPr>
          <w:rFonts w:ascii="Arial;Helvetica;sans-serif" w:hAnsi="Arial;Helvetica;sans-serif"/>
          <w:b/>
          <w:color w:val="ECA44A"/>
          <w:sz w:val="40"/>
        </w:rPr>
      </w:pPr>
      <w:bookmarkStart w:id="4" w:name="SHLETTER"/>
      <w:bookmarkEnd w:id="4"/>
      <w:r>
        <w:rPr>
          <w:rFonts w:ascii="Arial;Helvetica;sans-serif" w:hAnsi="Arial;Helvetica;sans-serif"/>
          <w:b/>
          <w:color w:val="ECA44A"/>
          <w:sz w:val="40"/>
        </w:rPr>
        <w:t>TO THE OWNERS OF OUR COMPANY:</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Dear Fellow Shareholders,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2025 was a year of significant progress for Transocean. Our team delivered best-in-class safety performance and exceptional uptime while also reducing our cost structure, resulting in strong cash flow generation. We completed several important capital market transactions that reduced debt and interest expense and simplified our balance sheet, improving our financial flexibility. These accomplishments, the result of the exceptionally hard work and dedication of our employees, contributed to improvement in our share price which, in turn, helped enable us to announce a definitive agreement to acquire Valaris in an all-stock transaction on February 9, 2026.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i/>
          <w:sz w:val="20"/>
        </w:rPr>
      </w:pPr>
      <w:r>
        <w:rPr>
          <w:rFonts w:ascii="Arial;Helvetica;sans-serif" w:hAnsi="Arial;Helvetica;sans-serif"/>
          <w:i/>
          <w:sz w:val="20"/>
        </w:rPr>
        <w:t>Key accomplishments include:</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Achieved exceptional safety results with zero operational integrity events and zero lost-time incidents across our fleet </w:t>
            </w:r>
          </w:p>
        </w:tc>
      </w:tr>
    </w:tbl>
    <w:tbl>
      <w:tblPr>
        <w:tblW w:w="3681" w:type="dxa"/>
        <w:jc w:val="left"/>
        <w:tblInd w:w="0" w:type="dxa"/>
        <w:tblLayout w:type="fixed"/>
        <w:tblCellMar>
          <w:top w:w="28" w:type="dxa"/>
          <w:left w:w="28" w:type="dxa"/>
          <w:bottom w:w="28" w:type="dxa"/>
          <w:right w:w="28" w:type="dxa"/>
        </w:tblCellMar>
      </w:tblPr>
      <w:tblGrid>
        <w:gridCol w:w="124"/>
        <w:gridCol w:w="256"/>
        <w:gridCol w:w="3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33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Delivered fleet uptime of nearly 98%</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At $461,300, earned the highest average daily revenue per rig among our key competitors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Retired $1.3 billion in debt, materially exceeding $700 million in scheduled maturities, and reduced annual interest expense by $90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Streamlined our organizational structure, improved efficiency of rig expenditures and rationalized global shore bases, resulting in an aggregate reduction in operating and support costs of approximately $250 million through 2026</w:t>
            </w:r>
          </w:p>
        </w:tc>
      </w:tr>
    </w:tbl>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Increased cash flow margins throughout the year, achieving 31% in Q4-25</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Further rationalized our offshore fleet by recycling six rigs</w:t>
            </w:r>
          </w:p>
        </w:tc>
      </w:tr>
    </w:tbl>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Completed five major planned “out of service” projects on time and within budget.</w:t>
            </w:r>
          </w:p>
        </w:tc>
      </w:tr>
    </w:tbl>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Transocean offers the highest-specification ultra-deepwater and harsh-environment floating drilling fleet in the industry and our experienced people—from the office to the rig floor—strive to consistently implement our proven practices around the world. The result is outstanding operating and safety performance. Throughout 2025, our customers reaffirmed Transocean’s value proposition by selecting our assets and crews for their projects. As a result, we enter 2026 with a fleet that is more than 90% committed, and we have $6.1 billion in high-quality backlog that we intend to efficiently convert to free cash flow.</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While we have made meaningful strides to reduce debt, improving our capital structure is, and will remain, a top priority. The steps we have taken to sustainably lower our operating costs and interest expense will enhance our cash flow, allowing us to accelerate deleveraging.</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In 2026, we are celebrating Transocean’s 100th anniversary, a significant milestone in our Company’s history. This is an exciting time: we are optimistic regarding prospects for a sustained upcycle in offshore drilling and we remain encouraged by the outlook for improving future demand for our assets. Demand for hydrocarbons continues to increase, and offshore exploration is expected to grow in importance as customers prioritize reserve replacement and cost-competitive new developments around the world.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We believe that our recently announced acquisition of Valaris is transformative, serving to better position Transocean for this emerging upcycle. It reinforces our position as an industry leader with the highest specification fleet, a dedicated team, and strong customer-focused operations. Consistent with Transocean’s commitment to be the “partner of choice,” our customers will have global access to a highly capable, diverse </w:t>
      </w:r>
    </w:p>
    <w:p>
      <w:pPr>
        <w:pStyle w:val="TextBody"/>
        <w:bidi w:val="0"/>
        <w:spacing w:lineRule="auto" w:line="285" w:before="0" w:after="0"/>
        <w:ind w:left="0" w:right="0" w:hanging="0"/>
        <w:jc w:val="both"/>
        <w:rPr/>
      </w:pPr>
      <w:r>
        <w:rPr/>
        <w: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portfolio of offshore drilling rigs, enhancing our ability to provide them with best-in-class service in all environments, as well as efficient, safe and predictable operations.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Additionally, we expect to achieve more than $200 million in cost synergies – incremental to the approximately $250 million savings expected from Transocean on a standalone basis – with improved cash</w:t>
        <w:noBreakHyphen/>
        <w:t>flow generating potential supported by a combined pro forma backlog of close to $11 billion. Post-close, accelerated debt reduction and strengthening of our balance sheet will remain key objectives.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combination of Transocean and Valaris advances all our strategic priorities and positions us to create significant value for our shareholders and, through a sustainable reduction in costs, further aligns our objectives with those of our customers. We expect this transaction to close in the second half of 2026 and look forward to sharing more information with you in the coming quarters.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Your vote is very important to us. We encourage you to review the materials carefully and vote in favor of the Board’s recommendations for each proposal. These proposals reflect the Board’s ongoing efforts to execute Transocean’s strategy, demonstrate effective governance, and align management compensation drivers with shareholder value.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On behalf of the Board of Directors and management team, thank you for your support of our Company.</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Sincerely,</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tbl>
      <w:tblPr>
        <w:tblW w:w="8822" w:type="dxa"/>
        <w:jc w:val="left"/>
        <w:tblInd w:w="0" w:type="dxa"/>
        <w:tblLayout w:type="fixed"/>
        <w:tblCellMar>
          <w:top w:w="0" w:type="dxa"/>
          <w:left w:w="0" w:type="dxa"/>
          <w:bottom w:w="0" w:type="dxa"/>
          <w:right w:w="0" w:type="dxa"/>
        </w:tblCellMar>
      </w:tblPr>
      <w:tblGrid>
        <w:gridCol w:w="1368"/>
        <w:gridCol w:w="109"/>
        <w:gridCol w:w="3391"/>
        <w:gridCol w:w="1353"/>
        <w:gridCol w:w="346"/>
        <w:gridCol w:w="109"/>
        <w:gridCol w:w="2146"/>
      </w:tblGrid>
      <w:tr>
        <w:trPr/>
        <w:tc>
          <w:tcPr>
            <w:tcW w:w="1368"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3391" w:type="dxa"/>
            <w:tcBorders/>
            <w:vAlign w:val="center"/>
          </w:tcPr>
          <w:p>
            <w:pPr>
              <w:pStyle w:val="TableContents"/>
              <w:bidi w:val="0"/>
              <w:spacing w:lineRule="auto" w:line="285" w:before="0" w:after="0"/>
              <w:ind w:left="0" w:right="0" w:hanging="0"/>
              <w:jc w:val="both"/>
              <w:rPr/>
            </w:pPr>
            <w:r>
              <w:rPr/>
              <w:t>​</w:t>
            </w:r>
          </w:p>
        </w:tc>
        <w:tc>
          <w:tcPr>
            <w:tcW w:w="1353"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21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68" w:type="dxa"/>
            <w:vMerge w:val="restart"/>
            <w:tcBorders/>
            <w:vAlign w:val="center"/>
          </w:tcPr>
          <w:p>
            <w:pPr>
              <w:pStyle w:val="TableContents"/>
              <w:bidi w:val="0"/>
              <w:spacing w:lineRule="auto" w:line="285" w:before="0" w:after="0"/>
              <w:ind w:left="0" w:right="0" w:hanging="0"/>
              <w:jc w:val="center"/>
              <w:rPr>
                <w:caps w:val="false"/>
                <w:smallCaps w:val="false"/>
                <w:color w:val="000000"/>
              </w:rPr>
            </w:pPr>
            <w:r>
              <w:rPr>
                <w:caps w:val="false"/>
                <w:smallCaps w:val="false"/>
                <w:color w:val="000000"/>
              </w:rPr>
              <w:drawing>
                <wp:inline distT="0" distB="0" distL="0" distR="0">
                  <wp:extent cx="804545" cy="1069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4545" cy="1069975"/>
                          </a:xfrm>
                          <a:prstGeom prst="rect">
                            <a:avLst/>
                          </a:prstGeom>
                        </pic:spPr>
                      </pic:pic>
                    </a:graphicData>
                  </a:graphic>
                </wp:inline>
              </w:drawing>
            </w:r>
          </w:p>
        </w:tc>
        <w:tc>
          <w:tcPr>
            <w:tcW w:w="109" w:type="dxa"/>
            <w:tcBorders/>
            <w:vAlign w:val="center"/>
          </w:tcPr>
          <w:p>
            <w:pPr>
              <w:pStyle w:val="TableContents"/>
              <w:bidi w:val="0"/>
              <w:spacing w:lineRule="auto" w:line="285" w:before="0" w:after="0"/>
              <w:ind w:left="0" w:right="0" w:hanging="0"/>
              <w:jc w:val="both"/>
              <w:rPr/>
            </w:pPr>
            <w:r>
              <w:rPr/>
              <w:t>​</w:t>
            </w:r>
          </w:p>
        </w:tc>
        <w:tc>
          <w:tcPr>
            <w:tcW w:w="3391" w:type="dxa"/>
            <w:tcBorders/>
            <w:vAlign w:val="center"/>
          </w:tcPr>
          <w:p>
            <w:pPr>
              <w:pStyle w:val="TableContents"/>
              <w:pBdr/>
              <w:bidi w:val="0"/>
              <w:spacing w:lineRule="auto" w:line="285" w:before="0" w:after="200"/>
              <w:ind w:left="0" w:right="0" w:hanging="0"/>
              <w:jc w:val="left"/>
              <w:rPr/>
            </w:pPr>
            <w:r>
              <w:rPr/>
              <w:t>​</w:t>
            </w:r>
          </w:p>
        </w:tc>
        <w:tc>
          <w:tcPr>
            <w:tcW w:w="1353" w:type="dxa"/>
            <w:vMerge w:val="restart"/>
            <w:tcBorders/>
            <w:vAlign w:val="center"/>
          </w:tcPr>
          <w:p>
            <w:pPr>
              <w:pStyle w:val="TableContents"/>
              <w:pBdr/>
              <w:bidi w:val="0"/>
              <w:spacing w:lineRule="auto" w:line="285" w:before="0" w:after="0"/>
              <w:ind w:left="0" w:right="0" w:hanging="0"/>
              <w:jc w:val="center"/>
              <w:rPr>
                <w:caps w:val="false"/>
                <w:smallCaps w:val="false"/>
                <w:color w:val="000000"/>
              </w:rPr>
            </w:pPr>
            <w:r>
              <w:rPr>
                <w:caps w:val="false"/>
                <w:smallCaps w:val="false"/>
                <w:color w:val="000000"/>
              </w:rPr>
              <w:drawing>
                <wp:inline distT="0" distB="0" distL="0" distR="0">
                  <wp:extent cx="804545" cy="1066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4545" cy="1066800"/>
                          </a:xfrm>
                          <a:prstGeom prst="rect">
                            <a:avLst/>
                          </a:prstGeom>
                        </pic:spPr>
                      </pic:pic>
                    </a:graphicData>
                  </a:graphic>
                </wp:inline>
              </w:drawing>
            </w:r>
          </w:p>
        </w:tc>
        <w:tc>
          <w:tcPr>
            <w:tcW w:w="346" w:type="dxa"/>
            <w:tcBorders/>
            <w:vAlign w:val="center"/>
          </w:tcPr>
          <w:p>
            <w:pPr>
              <w:pStyle w:val="TableContents"/>
              <w:bidi w:val="0"/>
              <w:spacing w:lineRule="auto" w:line="285" w:before="0" w:after="0"/>
              <w:ind w:left="0" w:right="0" w:hanging="0"/>
              <w:jc w:val="both"/>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21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68" w:type="dxa"/>
            <w:vMerge w:val="continue"/>
            <w:tcBorders/>
            <w:vAlign w:val="center"/>
          </w:tcPr>
          <w:p>
            <w:pPr>
              <w:pStyle w:val="Normal"/>
              <w:bidi w:val="0"/>
              <w:jc w:val="left"/>
              <w:rPr/>
            </w:pPr>
            <w:r>
              <w:rPr/>
            </w:r>
          </w:p>
        </w:tc>
        <w:tc>
          <w:tcPr>
            <w:tcW w:w="109" w:type="dxa"/>
            <w:tcBorders/>
            <w:vAlign w:val="center"/>
          </w:tcPr>
          <w:p>
            <w:pPr>
              <w:pStyle w:val="TableContents"/>
              <w:pBdr/>
              <w:bidi w:val="0"/>
              <w:spacing w:lineRule="auto" w:line="285" w:before="0" w:after="200"/>
              <w:ind w:left="0" w:right="0" w:hanging="0"/>
              <w:jc w:val="left"/>
              <w:rPr>
                <w:color w:val="005670"/>
              </w:rPr>
            </w:pPr>
            <w:r>
              <w:rPr>
                <w:color w:val="005670"/>
              </w:rPr>
              <w:t>​</w:t>
            </w:r>
          </w:p>
        </w:tc>
        <w:tc>
          <w:tcPr>
            <w:tcW w:w="3391" w:type="dxa"/>
            <w:tcBorders/>
            <w:vAlign w:val="center"/>
          </w:tcPr>
          <w:p>
            <w:pPr>
              <w:pStyle w:val="TableContents"/>
              <w:bidi w:val="0"/>
              <w:spacing w:lineRule="auto" w:line="285" w:before="0" w:after="0"/>
              <w:ind w:left="0" w:right="0" w:hanging="0"/>
              <w:jc w:val="left"/>
              <w:rPr>
                <w:rFonts w:ascii="Arial;Helvetica;sans-serif" w:hAnsi="Arial;Helvetica;sans-serif"/>
                <w:b/>
                <w:caps/>
                <w:color w:val="005670"/>
                <w:sz w:val="20"/>
              </w:rPr>
            </w:pPr>
            <w:r>
              <w:rPr>
                <w:rFonts w:ascii="Arial;Helvetica;sans-serif" w:hAnsi="Arial;Helvetica;sans-serif"/>
                <w:b/>
                <w:caps/>
                <w:color w:val="005670"/>
                <w:sz w:val="20"/>
              </w:rPr>
              <w:t>KEELAN I. ADAMSON</w:t>
            </w:r>
          </w:p>
        </w:tc>
        <w:tc>
          <w:tcPr>
            <w:tcW w:w="1353" w:type="dxa"/>
            <w:vMerge w:val="continue"/>
            <w:tcBorders/>
            <w:vAlign w:val="center"/>
          </w:tcPr>
          <w:p>
            <w:pPr>
              <w:pStyle w:val="Normal"/>
              <w:bidi w:val="0"/>
              <w:jc w:val="left"/>
              <w:rPr/>
            </w:pPr>
            <w:r>
              <w:rPr/>
            </w:r>
          </w:p>
        </w:tc>
        <w:tc>
          <w:tcPr>
            <w:tcW w:w="346" w:type="dxa"/>
            <w:tcBorders/>
            <w:vAlign w:val="center"/>
          </w:tcPr>
          <w:p>
            <w:pPr>
              <w:pStyle w:val="TableContents"/>
              <w:pBdr/>
              <w:bidi w:val="0"/>
              <w:spacing w:lineRule="auto" w:line="285" w:before="0" w:after="0"/>
              <w:ind w:left="0" w:right="0" w:hanging="0"/>
              <w:jc w:val="left"/>
              <w:rPr>
                <w:color w:val="005670"/>
              </w:rPr>
            </w:pPr>
            <w:r>
              <w:rPr>
                <w:color w:val="005670"/>
              </w:rPr>
              <w:t>  ​ ​ ​</w:t>
            </w:r>
          </w:p>
        </w:tc>
        <w:tc>
          <w:tcPr>
            <w:tcW w:w="109" w:type="dxa"/>
            <w:tcBorders/>
            <w:vAlign w:val="center"/>
          </w:tcPr>
          <w:p>
            <w:pPr>
              <w:pStyle w:val="TableContents"/>
              <w:pBdr/>
              <w:bidi w:val="0"/>
              <w:spacing w:lineRule="auto" w:line="285" w:before="0" w:after="200"/>
              <w:ind w:left="0" w:right="0" w:hanging="0"/>
              <w:jc w:val="left"/>
              <w:rPr>
                <w:color w:val="005670"/>
              </w:rPr>
            </w:pPr>
            <w:r>
              <w:rPr>
                <w:color w:val="005670"/>
              </w:rPr>
              <w:t>​</w:t>
            </w:r>
          </w:p>
        </w:tc>
        <w:tc>
          <w:tcPr>
            <w:tcW w:w="2146" w:type="dxa"/>
            <w:tcBorders/>
            <w:vAlign w:val="center"/>
          </w:tcPr>
          <w:p>
            <w:pPr>
              <w:pStyle w:val="TableContents"/>
              <w:bidi w:val="0"/>
              <w:spacing w:lineRule="auto" w:line="285" w:before="0" w:after="0"/>
              <w:ind w:left="0" w:right="0" w:hanging="0"/>
              <w:jc w:val="left"/>
              <w:rPr>
                <w:rFonts w:ascii="Arial;Helvetica;sans-serif" w:hAnsi="Arial;Helvetica;sans-serif"/>
                <w:b/>
                <w:caps/>
                <w:color w:val="005670"/>
                <w:sz w:val="20"/>
              </w:rPr>
            </w:pPr>
            <w:r>
              <w:rPr>
                <w:rFonts w:ascii="Arial;Helvetica;sans-serif" w:hAnsi="Arial;Helvetica;sans-serif"/>
                <w:b/>
                <w:caps/>
                <w:color w:val="005670"/>
                <w:sz w:val="20"/>
              </w:rPr>
              <w:t>Jeremy D. Thigpen</w:t>
            </w:r>
          </w:p>
        </w:tc>
      </w:tr>
      <w:tr>
        <w:trPr/>
        <w:tc>
          <w:tcPr>
            <w:tcW w:w="1368" w:type="dxa"/>
            <w:vMerge w:val="continue"/>
            <w:tcBorders/>
            <w:vAlign w:val="center"/>
          </w:tcPr>
          <w:p>
            <w:pPr>
              <w:pStyle w:val="Normal"/>
              <w:bidi w:val="0"/>
              <w:jc w:val="left"/>
              <w:rPr/>
            </w:pPr>
            <w:r>
              <w:rPr/>
            </w:r>
          </w:p>
        </w:tc>
        <w:tc>
          <w:tcPr>
            <w:tcW w:w="109" w:type="dxa"/>
            <w:tcBorders/>
            <w:vAlign w:val="center"/>
          </w:tcPr>
          <w:p>
            <w:pPr>
              <w:pStyle w:val="TableContents"/>
              <w:pBdr/>
              <w:bidi w:val="0"/>
              <w:spacing w:lineRule="auto" w:line="285" w:before="0" w:after="200"/>
              <w:ind w:left="0" w:right="0" w:hanging="0"/>
              <w:jc w:val="left"/>
              <w:rPr/>
            </w:pPr>
            <w:r>
              <w:rPr/>
              <w:t>​</w:t>
            </w:r>
          </w:p>
        </w:tc>
        <w:tc>
          <w:tcPr>
            <w:tcW w:w="339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c>
          <w:tcPr>
            <w:tcW w:w="1353" w:type="dxa"/>
            <w:vMerge w:val="continue"/>
            <w:tcBorders/>
            <w:vAlign w:val="center"/>
          </w:tcPr>
          <w:p>
            <w:pPr>
              <w:pStyle w:val="Normal"/>
              <w:bidi w:val="0"/>
              <w:jc w:val="left"/>
              <w:rPr/>
            </w:pPr>
            <w:r>
              <w:rPr/>
            </w:r>
          </w:p>
        </w:tc>
        <w:tc>
          <w:tcPr>
            <w:tcW w:w="346" w:type="dxa"/>
            <w:tcBorders/>
            <w:vAlign w:val="center"/>
          </w:tcPr>
          <w:p>
            <w:pPr>
              <w:pStyle w:val="TableContents"/>
              <w:pBdr/>
              <w:bidi w:val="0"/>
              <w:spacing w:lineRule="auto" w:line="285" w:before="0" w:after="200"/>
              <w:ind w:left="0" w:right="0" w:hanging="0"/>
              <w:jc w:val="left"/>
              <w:rPr/>
            </w:pPr>
            <w:r>
              <w:rPr/>
              <w:t>​</w:t>
            </w:r>
          </w:p>
        </w:tc>
        <w:tc>
          <w:tcPr>
            <w:tcW w:w="109" w:type="dxa"/>
            <w:tcBorders/>
            <w:vAlign w:val="center"/>
          </w:tcPr>
          <w:p>
            <w:pPr>
              <w:pStyle w:val="TableContents"/>
              <w:pBdr/>
              <w:bidi w:val="0"/>
              <w:spacing w:lineRule="auto" w:line="285" w:before="0" w:after="200"/>
              <w:ind w:left="0" w:right="0" w:hanging="0"/>
              <w:jc w:val="left"/>
              <w:rPr/>
            </w:pPr>
            <w:r>
              <w:rPr/>
              <w:t>​</w:t>
            </w:r>
          </w:p>
        </w:tc>
        <w:tc>
          <w:tcPr>
            <w:tcW w:w="2146" w:type="dxa"/>
            <w:tcBorders/>
            <w:vAlign w:val="center"/>
          </w:tcPr>
          <w:p>
            <w:pPr>
              <w:pStyle w:val="TableContents"/>
              <w:bidi w:val="0"/>
              <w:spacing w:lineRule="auto" w:line="285" w:before="0" w:after="0"/>
              <w:ind w:left="360" w:right="0" w:hanging="0"/>
              <w:jc w:val="left"/>
              <w:rPr>
                <w:rFonts w:ascii="Arial;Helvetica;sans-serif" w:hAnsi="Arial;Helvetica;sans-serif"/>
                <w:sz w:val="20"/>
              </w:rPr>
            </w:pPr>
            <w:r>
              <w:rPr>
                <w:rFonts w:ascii="Arial;Helvetica;sans-serif" w:hAnsi="Arial;Helvetica;sans-serif"/>
                <w:sz w:val="20"/>
              </w:rPr>
              <w:t>Executive Chair</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240" w:after="0"/>
        <w:ind w:left="0" w:right="0" w:hanging="0"/>
        <w:jc w:val="both"/>
        <w:rPr>
          <w:rFonts w:ascii="Arial;Helvetica;sans-serif" w:hAnsi="Arial;Helvetica;sans-serif"/>
          <w:sz w:val="20"/>
        </w:rPr>
      </w:pPr>
      <w:r>
        <w:rPr>
          <w:rFonts w:ascii="Arial;Helvetica;sans-serif" w:hAnsi="Arial;Helvetica;sans-serif"/>
          <w:sz w:val="20"/>
        </w:rPr>
        <w:t>[ ], 2026</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rFonts w:ascii="Arial;Helvetica;sans-serif" w:hAnsi="Arial;Helvetica;sans-serif"/>
          <w:b/>
          <w:color w:val="ECA44A"/>
          <w:sz w:val="28"/>
        </w:rPr>
      </w:pPr>
      <w:bookmarkStart w:id="5" w:name="TOC"/>
      <w:bookmarkStart w:id="6" w:name="_171b6817_0284_4804_964a_454076773c4b"/>
      <w:bookmarkEnd w:id="5"/>
      <w:bookmarkEnd w:id="6"/>
      <w:r>
        <w:rPr>
          <w:rFonts w:ascii="Arial;Helvetica;sans-serif" w:hAnsi="Arial;Helvetica;sans-serif"/>
          <w:b/>
          <w:color w:val="ECA44A"/>
          <w:sz w:val="28"/>
        </w:rPr>
        <w:t>CONTENTS</w:t>
      </w:r>
    </w:p>
    <w:tbl>
      <w:tblPr>
        <w:tblW w:w="10205" w:type="dxa"/>
        <w:jc w:val="left"/>
        <w:tblInd w:w="0" w:type="dxa"/>
        <w:tblLayout w:type="fixed"/>
        <w:tblCellMar>
          <w:top w:w="0" w:type="dxa"/>
          <w:left w:w="0" w:type="dxa"/>
          <w:bottom w:w="0" w:type="dxa"/>
          <w:right w:w="0" w:type="dxa"/>
        </w:tblCellMar>
      </w:tblPr>
      <w:tblGrid>
        <w:gridCol w:w="604"/>
        <w:gridCol w:w="9601"/>
      </w:tblGrid>
      <w:tr>
        <w:trPr/>
        <w:tc>
          <w:tcPr>
            <w:tcW w:w="604" w:type="dxa"/>
            <w:tcBorders/>
            <w:vAlign w:val="center"/>
          </w:tcPr>
          <w:p>
            <w:pPr>
              <w:pStyle w:val="TableContents"/>
              <w:bidi w:val="0"/>
              <w:spacing w:lineRule="auto" w:line="285" w:before="0" w:after="0"/>
              <w:ind w:left="0" w:right="0" w:hanging="0"/>
              <w:jc w:val="both"/>
              <w:rPr/>
            </w:pPr>
            <w:r>
              <w:rPr/>
              <w:t>​</w:t>
            </w:r>
          </w:p>
        </w:tc>
        <w:tc>
          <w:tcPr>
            <w:tcW w:w="9601" w:type="dxa"/>
            <w:tcBorders/>
            <w:vAlign w:val="center"/>
          </w:tcPr>
          <w:p>
            <w:pPr>
              <w:pStyle w:val="TableContents"/>
              <w:bidi w:val="0"/>
              <w:spacing w:lineRule="auto" w:line="285" w:before="0" w:after="0"/>
              <w:ind w:left="0" w:right="0" w:hanging="0"/>
              <w:jc w:val="both"/>
              <w:rPr/>
            </w:pPr>
            <w:r>
              <w:rPr/>
              <w:t>​</w:t>
            </w:r>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P-1</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NOTICETOSHAREHOLDERS">
              <w:r>
                <w:rPr>
                  <w:rStyle w:val="InternetLink"/>
                  <w:rFonts w:ascii="Arial;Helvetica;sans-serif" w:hAnsi="Arial;Helvetica;sans-serif"/>
                  <w:b w:val="false"/>
                  <w:i w:val="false"/>
                  <w:caps w:val="false"/>
                  <w:smallCaps w:val="false"/>
                  <w:color w:val="4B4F54"/>
                  <w:sz w:val="18"/>
                </w:rPr>
                <w:t>NOTICE TO SHAREHOLDERS</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P-3</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ProxyStatementSummary">
              <w:r>
                <w:rPr>
                  <w:rStyle w:val="InternetLink"/>
                  <w:rFonts w:ascii="Arial;Helvetica;sans-serif" w:hAnsi="Arial;Helvetica;sans-serif"/>
                  <w:b w:val="false"/>
                  <w:i w:val="false"/>
                  <w:caps w:val="false"/>
                  <w:smallCaps w:val="false"/>
                  <w:color w:val="4B4F54"/>
                  <w:sz w:val="18"/>
                </w:rPr>
                <w:t>PROXY STATEMENT SUMMARY</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P-8</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GOVERN_501369">
              <w:r>
                <w:rPr>
                  <w:rStyle w:val="InternetLink"/>
                  <w:rFonts w:ascii="Arial;Helvetica;sans-serif" w:hAnsi="Arial;Helvetica;sans-serif"/>
                  <w:b w:val="false"/>
                  <w:i w:val="false"/>
                  <w:caps w:val="false"/>
                  <w:smallCaps w:val="false"/>
                  <w:color w:val="4B4F54"/>
                  <w:sz w:val="18"/>
                </w:rPr>
                <w:t>GOVERNANCE HIGHLIGHTS</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P-10</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INVITATIONTO2025AGM">
              <w:r>
                <w:rPr>
                  <w:rStyle w:val="InternetLink"/>
                  <w:rFonts w:ascii="Arial;Helvetica;sans-serif" w:hAnsi="Arial;Helvetica;sans-serif"/>
                  <w:b w:val="false"/>
                  <w:i w:val="false"/>
                  <w:caps w:val="false"/>
                  <w:smallCaps w:val="false"/>
                  <w:color w:val="4B4F54"/>
                  <w:sz w:val="18"/>
                </w:rPr>
                <w:t>INVITATION TO 2026 ANNUAL GENERAL MEETING OF TRANSOCEAN LTD.</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P-15</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IMPORTANTNOTICE">
              <w:r>
                <w:rPr>
                  <w:rStyle w:val="InternetLink"/>
                  <w:rFonts w:ascii="Arial;Helvetica;sans-serif" w:hAnsi="Arial;Helvetica;sans-serif"/>
                  <w:b w:val="false"/>
                  <w:i w:val="false"/>
                  <w:caps w:val="false"/>
                  <w:smallCaps w:val="false"/>
                  <w:color w:val="4B4F54"/>
                  <w:sz w:val="18"/>
                </w:rPr>
                <w:t>IMPORTANT NOTICE REGARDING THE AVAILABILITY OF PROXY MATERIALS</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P-16</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INFORMATIONABOUTTHEMEETINGANDVOTING">
              <w:r>
                <w:rPr>
                  <w:rStyle w:val="InternetLink"/>
                  <w:rFonts w:ascii="Arial;Helvetica;sans-serif" w:hAnsi="Arial;Helvetica;sans-serif"/>
                  <w:b w:val="false"/>
                  <w:i w:val="false"/>
                  <w:caps w:val="false"/>
                  <w:smallCaps w:val="false"/>
                  <w:color w:val="4B4F54"/>
                  <w:sz w:val="18"/>
                </w:rPr>
                <w:t>INFORMATION ABOUT THE MEETING AND VOTING</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P-21</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r>
              <w:rPr>
                <w:rFonts w:ascii="Arial;Helvetica;sans-serif" w:hAnsi="Arial;Helvetica;sans-serif"/>
                <w:color w:val="FFFFFF"/>
                <w:sz w:val="18"/>
                <w:shd w:fill="005670" w:val="clear"/>
              </w:rPr>
              <w:t>AGENDA ITEM 1</w:t>
            </w:r>
            <w:r>
              <w:rPr>
                <w:rFonts w:ascii="Arial;Helvetica;sans-serif" w:hAnsi="Arial;Helvetica;sans-serif"/>
                <w:color w:val="FFFFFF"/>
                <w:spacing w:val="-2"/>
                <w:sz w:val="18"/>
                <w:shd w:fill="005670" w:val="clear"/>
              </w:rPr>
              <w:t>     </w:t>
            </w:r>
            <w:hyperlink w:anchor="AGENDAITEM1">
              <w:r>
                <w:rPr>
                  <w:rStyle w:val="InternetLink"/>
                  <w:rFonts w:ascii="Arial;Helvetica;sans-serif" w:hAnsi="Arial;Helvetica;sans-serif"/>
                  <w:b w:val="false"/>
                  <w:i w:val="false"/>
                  <w:caps w:val="false"/>
                  <w:smallCaps w:val="false"/>
                  <w:color w:val="4B4F54"/>
                  <w:sz w:val="18"/>
                </w:rPr>
                <w:t>APPROVAL OF (A) THE 2025 ANNUAL REPORT, INCLUDING THE AUDITED CONSOLIDATED FINANCIAL STATEMENTS OF TRANSOCEAN LTD. FOR FISCAL YEAR 2025, AND THE AUDITED STATUTORY FINANCIAL STATEMENTS OF TRANSOCEAN LTD. FOR FISCAL YEAR 2025; AND ADVISORY VOTES TO APPROVE (B) THE SWISS STATUTORY COMPENSATION REPORT FOR FISCAL YEAR 2025 AND (C) THE SWISS STATUTORY REPORT ON NON-FINANCIAL MATTERS FOR FISCAL YEAR 2025</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P-24</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r>
              <w:rPr>
                <w:rFonts w:ascii="Arial;Helvetica;sans-serif" w:hAnsi="Arial;Helvetica;sans-serif"/>
                <w:color w:val="FFFFFF"/>
                <w:sz w:val="18"/>
                <w:shd w:fill="005670" w:val="clear"/>
              </w:rPr>
              <w:t>AGENDA ITEM 2</w:t>
            </w:r>
            <w:r>
              <w:rPr>
                <w:rFonts w:ascii="Arial;Helvetica;sans-serif" w:hAnsi="Arial;Helvetica;sans-serif"/>
                <w:color w:val="FFFFFF"/>
                <w:spacing w:val="-2"/>
                <w:sz w:val="18"/>
                <w:shd w:fill="005670" w:val="clear"/>
              </w:rPr>
              <w:t>     </w:t>
            </w:r>
            <w:hyperlink w:anchor="AGENDAITEM2">
              <w:r>
                <w:rPr>
                  <w:rStyle w:val="InternetLink"/>
                  <w:rFonts w:ascii="Arial;Helvetica;sans-serif" w:hAnsi="Arial;Helvetica;sans-serif"/>
                  <w:b w:val="false"/>
                  <w:i w:val="false"/>
                  <w:caps w:val="false"/>
                  <w:smallCaps w:val="false"/>
                  <w:color w:val="4B4F54"/>
                  <w:sz w:val="18"/>
                </w:rPr>
                <w:t>DISCHARGE OF THE MEMBERS OF THE BOARD OF DIRECTORS AND THE EXECUTIVE MANAGEMENT TEAM FROM LIABILITY FOR ACTIVITIES DURING FISCAL YEAR 2025</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P-25</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r>
              <w:rPr>
                <w:rFonts w:ascii="Arial;Helvetica;sans-serif" w:hAnsi="Arial;Helvetica;sans-serif"/>
                <w:color w:val="FFFFFF"/>
                <w:sz w:val="18"/>
                <w:shd w:fill="005670" w:val="clear"/>
              </w:rPr>
              <w:t>AGENDA ITEM 3</w:t>
            </w:r>
            <w:r>
              <w:rPr>
                <w:rFonts w:ascii="Arial;Helvetica;sans-serif" w:hAnsi="Arial;Helvetica;sans-serif"/>
                <w:color w:val="FFFFFF"/>
                <w:spacing w:val="-2"/>
                <w:sz w:val="18"/>
                <w:shd w:fill="005670" w:val="clear"/>
              </w:rPr>
              <w:t>     </w:t>
            </w:r>
            <w:hyperlink w:anchor="AGENDAITEM3">
              <w:r>
                <w:rPr>
                  <w:rStyle w:val="InternetLink"/>
                  <w:rFonts w:ascii="Arial;Helvetica;sans-serif" w:hAnsi="Arial;Helvetica;sans-serif"/>
                  <w:b w:val="false"/>
                  <w:i w:val="false"/>
                  <w:caps w:val="false"/>
                  <w:smallCaps w:val="false"/>
                  <w:color w:val="4B4F54"/>
                  <w:sz w:val="18"/>
                </w:rPr>
                <w:t>APPROPRIATION OF THE ACCUMULATED LOSSES FOR FISCAL YEAR 2025</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P-26</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r>
              <w:rPr>
                <w:rFonts w:ascii="Arial;Helvetica;sans-serif" w:hAnsi="Arial;Helvetica;sans-serif"/>
                <w:color w:val="FFFFFF"/>
                <w:sz w:val="18"/>
                <w:shd w:fill="005670" w:val="clear"/>
              </w:rPr>
              <w:t>AGENDA ITEM 4</w:t>
            </w:r>
            <w:r>
              <w:rPr>
                <w:rFonts w:ascii="Arial;Helvetica;sans-serif" w:hAnsi="Arial;Helvetica;sans-serif"/>
                <w:color w:val="FFFFFF"/>
                <w:spacing w:val="-2"/>
                <w:sz w:val="18"/>
                <w:shd w:fill="005670" w:val="clear"/>
              </w:rPr>
              <w:t>     </w:t>
            </w:r>
            <w:hyperlink w:anchor="AGENDAITEM4">
              <w:r>
                <w:rPr>
                  <w:rStyle w:val="InternetLink"/>
                  <w:rFonts w:ascii="Arial;Helvetica;sans-serif" w:hAnsi="Arial;Helvetica;sans-serif"/>
                  <w:b w:val="false"/>
                  <w:i w:val="false"/>
                  <w:caps w:val="false"/>
                  <w:smallCaps w:val="false"/>
                  <w:color w:val="4B4F54"/>
                  <w:sz w:val="18"/>
                </w:rPr>
                <w:t>APPROVAL OF SHARES AUTHORIZED FOR ISSUANCE</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P-28</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r>
              <w:rPr>
                <w:rFonts w:ascii="Arial;Helvetica;sans-serif" w:hAnsi="Arial;Helvetica;sans-serif"/>
                <w:color w:val="FFFFFF"/>
                <w:sz w:val="18"/>
                <w:shd w:fill="005670" w:val="clear"/>
              </w:rPr>
              <w:t>AGENDA ITEM 5</w:t>
            </w:r>
            <w:r>
              <w:rPr>
                <w:rFonts w:ascii="Arial;Helvetica;sans-serif" w:hAnsi="Arial;Helvetica;sans-serif"/>
                <w:color w:val="FFFFFF"/>
                <w:spacing w:val="-2"/>
                <w:sz w:val="18"/>
                <w:shd w:fill="005670" w:val="clear"/>
              </w:rPr>
              <w:t>     </w:t>
            </w:r>
            <w:hyperlink w:anchor="AGENDAITEM6">
              <w:r>
                <w:rPr>
                  <w:rStyle w:val="InternetLink"/>
                  <w:rFonts w:ascii="Arial;Helvetica;sans-serif" w:hAnsi="Arial;Helvetica;sans-serif"/>
                  <w:b w:val="false"/>
                  <w:i w:val="false"/>
                  <w:caps w:val="false"/>
                  <w:smallCaps w:val="false"/>
                  <w:color w:val="4B4F54"/>
                  <w:sz w:val="18"/>
                </w:rPr>
                <w:t>ELECTION OF 11 DIRECTORS, EACH FOR A TERM EXTENDING UNTIL COMPLETION OF THE NEXT ANNUAL GENERAL MEETING</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P-43</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SKILLSMATRIX">
              <w:r>
                <w:rPr>
                  <w:rStyle w:val="InternetLink"/>
                  <w:rFonts w:ascii="Arial;Helvetica;sans-serif" w:hAnsi="Arial;Helvetica;sans-serif"/>
                  <w:b w:val="false"/>
                  <w:i w:val="false"/>
                  <w:caps w:val="false"/>
                  <w:smallCaps w:val="false"/>
                  <w:color w:val="4B4F54"/>
                  <w:sz w:val="18"/>
                </w:rPr>
                <w:t>SKILLS &amp; EXPERIENCE MATRIX FOR DIRECTOR NOMINEES</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P-44</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r>
              <w:rPr>
                <w:rFonts w:ascii="Arial;Helvetica;sans-serif" w:hAnsi="Arial;Helvetica;sans-serif"/>
                <w:color w:val="FFFFFF"/>
                <w:sz w:val="18"/>
                <w:shd w:fill="005670" w:val="clear"/>
              </w:rPr>
              <w:t>AGENDA ITEM 6</w:t>
            </w:r>
            <w:r>
              <w:rPr>
                <w:rFonts w:ascii="Arial;Helvetica;sans-serif" w:hAnsi="Arial;Helvetica;sans-serif"/>
                <w:color w:val="FFFFFF"/>
                <w:spacing w:val="-2"/>
                <w:sz w:val="18"/>
                <w:shd w:fill="005670" w:val="clear"/>
              </w:rPr>
              <w:t>     </w:t>
            </w:r>
            <w:hyperlink w:anchor="AGENDAITEM7">
              <w:r>
                <w:rPr>
                  <w:rStyle w:val="InternetLink"/>
                  <w:rFonts w:ascii="Arial;Helvetica;sans-serif" w:hAnsi="Arial;Helvetica;sans-serif"/>
                  <w:b w:val="false"/>
                  <w:i w:val="false"/>
                  <w:caps w:val="false"/>
                  <w:smallCaps w:val="false"/>
                  <w:color w:val="4B4F54"/>
                  <w:sz w:val="18"/>
                </w:rPr>
                <w:t>ELECTION OF THE CHAIR OF THE BOARD OF DIRECTORS FOR A TERM EXTENDING UNTIL COMPLETION OF THE NEXT ANNUAL GENERAL MEETING</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P-45</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r>
              <w:rPr>
                <w:rFonts w:ascii="Arial;Helvetica;sans-serif" w:hAnsi="Arial;Helvetica;sans-serif"/>
                <w:color w:val="FFFFFF"/>
                <w:sz w:val="18"/>
                <w:shd w:fill="005670" w:val="clear"/>
              </w:rPr>
              <w:t>AGENDA ITEM 7     </w:t>
            </w:r>
            <w:hyperlink w:anchor="AGENDAITEM8">
              <w:r>
                <w:rPr>
                  <w:rStyle w:val="InternetLink"/>
                  <w:rFonts w:ascii="Arial;Helvetica;sans-serif" w:hAnsi="Arial;Helvetica;sans-serif"/>
                  <w:b w:val="false"/>
                  <w:i w:val="false"/>
                  <w:caps w:val="false"/>
                  <w:smallCaps w:val="false"/>
                  <w:color w:val="4B4F54"/>
                  <w:sz w:val="18"/>
                </w:rPr>
                <w:t>ELECTION OF THE MEMBERS OF THE COMPENSATION COMMITTEE, EACH FOR A TERM EXTENDING UNTIL COMPLETION OF THE NEXT ANNUAL GENERAL MEETING</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P-46</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r>
              <w:rPr>
                <w:rFonts w:ascii="Arial;Helvetica;sans-serif" w:hAnsi="Arial;Helvetica;sans-serif"/>
                <w:color w:val="FFFFFF"/>
                <w:sz w:val="18"/>
                <w:shd w:fill="005670" w:val="clear"/>
              </w:rPr>
              <w:t>AGENDA ITEM 8</w:t>
            </w:r>
            <w:r>
              <w:rPr>
                <w:rFonts w:ascii="Arial;Helvetica;sans-serif" w:hAnsi="Arial;Helvetica;sans-serif"/>
                <w:color w:val="FFFFFF"/>
                <w:spacing w:val="-2"/>
                <w:sz w:val="18"/>
                <w:shd w:fill="005670" w:val="clear"/>
              </w:rPr>
              <w:t>     </w:t>
            </w:r>
            <w:hyperlink w:anchor="AGENDAITEM9">
              <w:r>
                <w:rPr>
                  <w:rStyle w:val="InternetLink"/>
                  <w:rFonts w:ascii="Arial;Helvetica;sans-serif" w:hAnsi="Arial;Helvetica;sans-serif"/>
                  <w:b w:val="false"/>
                  <w:i w:val="false"/>
                  <w:caps w:val="false"/>
                  <w:smallCaps w:val="false"/>
                  <w:color w:val="4B4F54"/>
                  <w:sz w:val="18"/>
                </w:rPr>
                <w:t>REELECTION OF THE INDEPENDENT PROXY FOR A TERM EXTENDING UNTIL COMPLETION OF THE NEXT ANNUAL GENERAL MEETING</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P-47</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r>
              <w:rPr>
                <w:rFonts w:ascii="Arial;Helvetica;sans-serif" w:hAnsi="Arial;Helvetica;sans-serif"/>
                <w:color w:val="FFFFFF"/>
                <w:sz w:val="18"/>
                <w:shd w:fill="005670" w:val="clear"/>
              </w:rPr>
              <w:t>AGENDA ITEM 9     </w:t>
            </w:r>
            <w:hyperlink w:anchor="AGENDAITEM09">
              <w:r>
                <w:rPr>
                  <w:rStyle w:val="InternetLink"/>
                  <w:rFonts w:ascii="Arial;Helvetica;sans-serif" w:hAnsi="Arial;Helvetica;sans-serif"/>
                  <w:b w:val="false"/>
                  <w:i w:val="false"/>
                  <w:caps w:val="false"/>
                  <w:smallCaps w:val="false"/>
                  <w:color w:val="4B4F54"/>
                  <w:sz w:val="18"/>
                </w:rPr>
                <w:t>RATIFICATION OF ERNST &amp; YOUNG LLP AS THE COMPANY’S INDEPENDENT REGISTERED PUBLIC ACCOUNTING FIRM FOR FISCAL YEAR 2026 AND REELECTION OF ERNST &amp; YOUNG LTD, ZURICH, AS THE COMPANY’S AUDITOR FOR A FURTHER ONE-YEAR TERM</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P-49</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r>
              <w:rPr>
                <w:rFonts w:ascii="Arial;Helvetica;sans-serif" w:hAnsi="Arial;Helvetica;sans-serif"/>
                <w:color w:val="FFFFFF"/>
                <w:sz w:val="18"/>
                <w:shd w:fill="005670" w:val="clear"/>
              </w:rPr>
              <w:t>AGENDA ITEM 10   </w:t>
            </w:r>
            <w:hyperlink w:anchor="AGENDAITEM11">
              <w:r>
                <w:rPr>
                  <w:rStyle w:val="InternetLink"/>
                  <w:rFonts w:ascii="Arial;Helvetica;sans-serif" w:hAnsi="Arial;Helvetica;sans-serif"/>
                  <w:b w:val="false"/>
                  <w:i w:val="false"/>
                  <w:caps w:val="false"/>
                  <w:smallCaps w:val="false"/>
                  <w:color w:val="4B4F54"/>
                  <w:sz w:val="18"/>
                </w:rPr>
                <w:t>ADVISORY VOTE TO APPROVE NAMED EXECUTIVE OFFICER COMPENSATION FOR FISCAL YEAR 2026</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P-51</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r>
              <w:rPr>
                <w:rFonts w:ascii="Arial;Helvetica;sans-serif" w:hAnsi="Arial;Helvetica;sans-serif"/>
                <w:color w:val="FFFFFF"/>
                <w:sz w:val="18"/>
                <w:shd w:fill="005670" w:val="clear"/>
              </w:rPr>
              <w:t>AGENDA ITEM 11   </w:t>
            </w:r>
            <w:hyperlink w:anchor="AGENDAITEM12">
              <w:r>
                <w:rPr>
                  <w:rStyle w:val="InternetLink"/>
                  <w:rFonts w:ascii="Arial;Helvetica;sans-serif" w:hAnsi="Arial;Helvetica;sans-serif"/>
                  <w:b w:val="false"/>
                  <w:i w:val="false"/>
                  <w:caps w:val="false"/>
                  <w:smallCaps w:val="false"/>
                  <w:color w:val="4B4F54"/>
                  <w:sz w:val="18"/>
                </w:rPr>
                <w:t>PROSPECTIVE VOTE ON THE MAXIMUM COMPENSATION OF (A) THE BOARD OF DIRECTORS AND (B) THE EXECUTIVE MANAGEMENT TEAM</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P-55</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CORPORATEGOVERNANCE">
              <w:r>
                <w:rPr>
                  <w:rStyle w:val="InternetLink"/>
                  <w:rFonts w:ascii="Arial;Helvetica;sans-serif" w:hAnsi="Arial;Helvetica;sans-serif"/>
                  <w:b w:val="false"/>
                  <w:i w:val="false"/>
                  <w:caps w:val="false"/>
                  <w:smallCaps w:val="false"/>
                  <w:color w:val="4B4F54"/>
                  <w:sz w:val="18"/>
                </w:rPr>
                <w:t>CORPORATE GOVERNANCE</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P-63</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BOARDMEETINGSANDCOMMITTEES">
              <w:r>
                <w:rPr>
                  <w:rStyle w:val="InternetLink"/>
                  <w:rFonts w:ascii="Arial;Helvetica;sans-serif" w:hAnsi="Arial;Helvetica;sans-serif"/>
                  <w:b w:val="false"/>
                  <w:i w:val="false"/>
                  <w:caps w:val="false"/>
                  <w:smallCaps w:val="false"/>
                  <w:color w:val="4B4F54"/>
                  <w:sz w:val="18"/>
                </w:rPr>
                <w:t>BOARD MEETINGS AND COMMITTEES</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P-71</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DIRECTORCOMP">
              <w:r>
                <w:rPr>
                  <w:rStyle w:val="InternetLink"/>
                  <w:rFonts w:ascii="Arial;Helvetica;sans-serif" w:hAnsi="Arial;Helvetica;sans-serif"/>
                  <w:b w:val="false"/>
                  <w:i w:val="false"/>
                  <w:caps w:val="false"/>
                  <w:smallCaps w:val="false"/>
                  <w:color w:val="4B4F54"/>
                  <w:sz w:val="18"/>
                </w:rPr>
                <w:t>2025 DIRECTOR COMPENSATION</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P-72</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AUDITCOMMITTEEREPORT">
              <w:r>
                <w:rPr>
                  <w:rStyle w:val="InternetLink"/>
                  <w:rFonts w:ascii="Arial;Helvetica;sans-serif" w:hAnsi="Arial;Helvetica;sans-serif"/>
                  <w:b w:val="false"/>
                  <w:i w:val="false"/>
                  <w:caps w:val="false"/>
                  <w:smallCaps w:val="false"/>
                  <w:color w:val="4B4F54"/>
                  <w:sz w:val="18"/>
                </w:rPr>
                <w:t>AUDIT COMMITTEE REPORT</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P-74</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SECURITYOWNERSHIPOFCERTAINBENEFICIALOWNE">
              <w:r>
                <w:rPr>
                  <w:rStyle w:val="InternetLink"/>
                  <w:rFonts w:ascii="Arial;Helvetica;sans-serif" w:hAnsi="Arial;Helvetica;sans-serif"/>
                  <w:b w:val="false"/>
                  <w:i w:val="false"/>
                  <w:caps w:val="false"/>
                  <w:smallCaps w:val="false"/>
                  <w:color w:val="4B4F54"/>
                  <w:sz w:val="18"/>
                </w:rPr>
                <w:t>SECURITY OWNERSHIP OF CERTAIN BENEFICIAL OWNERS</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P-75</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SECURITYOWNERSHIPOFDIRECTORSANDEXECUTIVE">
              <w:r>
                <w:rPr>
                  <w:rStyle w:val="InternetLink"/>
                  <w:rFonts w:ascii="Arial;Helvetica;sans-serif" w:hAnsi="Arial;Helvetica;sans-serif"/>
                  <w:b w:val="false"/>
                  <w:i w:val="false"/>
                  <w:caps w:val="false"/>
                  <w:smallCaps w:val="false"/>
                  <w:color w:val="4B4F54"/>
                  <w:sz w:val="18"/>
                </w:rPr>
                <w:t>SECURITY OWNERSHIP OF DIRECTORS AND EXECUTIVE OFFICERS</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P-76</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COMPENSATIONDISCUSSIONANALYSIS">
              <w:r>
                <w:rPr>
                  <w:rStyle w:val="InternetLink"/>
                  <w:rFonts w:ascii="Arial;Helvetica;sans-serif" w:hAnsi="Arial;Helvetica;sans-serif"/>
                  <w:b w:val="false"/>
                  <w:i w:val="false"/>
                  <w:caps w:val="false"/>
                  <w:smallCaps w:val="false"/>
                  <w:color w:val="4B4F54"/>
                  <w:sz w:val="18"/>
                </w:rPr>
                <w:t>COMPENSATION DISCUSSION AND ANALYSIS</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P-99</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COMPENSATIONCOMMITTEEREPORT">
              <w:r>
                <w:rPr>
                  <w:rStyle w:val="InternetLink"/>
                  <w:rFonts w:ascii="Arial;Helvetica;sans-serif" w:hAnsi="Arial;Helvetica;sans-serif"/>
                  <w:b w:val="false"/>
                  <w:i w:val="false"/>
                  <w:caps w:val="false"/>
                  <w:smallCaps w:val="false"/>
                  <w:color w:val="4B4F54"/>
                  <w:sz w:val="18"/>
                </w:rPr>
                <w:t>COMPENSATION COMMITTEE REPORT</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P-100</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EXECUTIVECOMPENSATION">
              <w:r>
                <w:rPr>
                  <w:rStyle w:val="InternetLink"/>
                  <w:rFonts w:ascii="Arial;Helvetica;sans-serif" w:hAnsi="Arial;Helvetica;sans-serif"/>
                  <w:b w:val="false"/>
                  <w:i w:val="false"/>
                  <w:caps w:val="false"/>
                  <w:smallCaps w:val="false"/>
                  <w:color w:val="4B4F54"/>
                  <w:sz w:val="18"/>
                </w:rPr>
                <w:t>EXECUTIVE COMPENSATION</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P-114</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EQUITYCOMPENSATIONPLANINFORMATION">
              <w:r>
                <w:rPr>
                  <w:rStyle w:val="InternetLink"/>
                  <w:rFonts w:ascii="Arial;Helvetica;sans-serif" w:hAnsi="Arial;Helvetica;sans-serif"/>
                  <w:b w:val="false"/>
                  <w:i w:val="false"/>
                  <w:caps w:val="false"/>
                  <w:smallCaps w:val="false"/>
                  <w:color w:val="4B4F54"/>
                  <w:sz w:val="18"/>
                </w:rPr>
                <w:t>EQUITY COMPENSATION PLAN INFORMATION</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P-115</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OTHERMATTERS">
              <w:r>
                <w:rPr>
                  <w:rStyle w:val="InternetLink"/>
                  <w:rFonts w:ascii="Arial;Helvetica;sans-serif" w:hAnsi="Arial;Helvetica;sans-serif"/>
                  <w:b w:val="false"/>
                  <w:i w:val="false"/>
                  <w:caps w:val="false"/>
                  <w:smallCaps w:val="false"/>
                  <w:color w:val="4B4F54"/>
                  <w:sz w:val="18"/>
                </w:rPr>
                <w:t>OTHER MATTERS</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APA-1</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APPENDIXA">
              <w:r>
                <w:rPr>
                  <w:rStyle w:val="InternetLink"/>
                  <w:rFonts w:ascii="Arial;Helvetica;sans-serif" w:hAnsi="Arial;Helvetica;sans-serif"/>
                  <w:b w:val="false"/>
                  <w:i w:val="false"/>
                  <w:caps w:val="false"/>
                  <w:smallCaps w:val="false"/>
                  <w:color w:val="4B4F54"/>
                  <w:sz w:val="18"/>
                </w:rPr>
                <w:t>APPENDIX A</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APB-1</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0"/>
              <w:jc w:val="left"/>
              <w:rPr/>
            </w:pPr>
            <w:hyperlink w:anchor="APPENDIXB">
              <w:r>
                <w:rPr>
                  <w:rStyle w:val="InternetLink"/>
                  <w:rFonts w:ascii="Arial;Helvetica;sans-serif" w:hAnsi="Arial;Helvetica;sans-serif"/>
                  <w:b w:val="false"/>
                  <w:i w:val="false"/>
                  <w:caps w:val="false"/>
                  <w:smallCaps w:val="false"/>
                  <w:color w:val="4B4F54"/>
                  <w:sz w:val="18"/>
                </w:rPr>
                <w:t>APPENDIX B</w:t>
              </w:r>
            </w:hyperlink>
          </w:p>
        </w:tc>
      </w:tr>
      <w:tr>
        <w:trPr/>
        <w:tc>
          <w:tcPr>
            <w:tcW w:w="60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ANA-1</w:t>
            </w:r>
          </w:p>
        </w:tc>
        <w:tc>
          <w:tcPr>
            <w:tcW w:w="9601"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0" w:after="0"/>
              <w:ind w:left="0" w:right="0" w:hanging="200"/>
              <w:jc w:val="left"/>
              <w:rPr/>
            </w:pPr>
            <w:hyperlink w:anchor="ANNEXA">
              <w:r>
                <w:rPr>
                  <w:rStyle w:val="InternetLink"/>
                  <w:rFonts w:ascii="Arial;Helvetica;sans-serif" w:hAnsi="Arial;Helvetica;sans-serif"/>
                  <w:b w:val="false"/>
                  <w:i w:val="false"/>
                  <w:caps w:val="false"/>
                  <w:smallCaps w:val="false"/>
                  <w:color w:val="4B4F54"/>
                  <w:sz w:val="18"/>
                </w:rPr>
                <w:t>ANNEX A</w:t>
              </w:r>
            </w:hyperlink>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P-i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160"/>
        <w:ind w:left="0" w:right="0" w:hanging="0"/>
        <w:jc w:val="both"/>
        <w:rPr>
          <w:rFonts w:ascii="Arial;Helvetica;sans-serif" w:hAnsi="Arial;Helvetica;sans-serif"/>
          <w:b/>
          <w:color w:val="ECA44A"/>
          <w:sz w:val="40"/>
        </w:rPr>
      </w:pPr>
      <w:bookmarkStart w:id="7" w:name="NOTICETOSHAREHOLDERS"/>
      <w:bookmarkStart w:id="8" w:name="_712989"/>
      <w:bookmarkStart w:id="9" w:name="_9c7e2638_de14_4e92_9d78_51beaf9e9e87"/>
      <w:bookmarkEnd w:id="7"/>
      <w:bookmarkEnd w:id="8"/>
      <w:bookmarkEnd w:id="9"/>
      <w:r>
        <w:rPr>
          <w:rFonts w:ascii="Arial;Helvetica;sans-serif" w:hAnsi="Arial;Helvetica;sans-serif"/>
          <w:b/>
          <w:color w:val="ECA44A"/>
          <w:sz w:val="40"/>
        </w:rPr>
        <w:t>NOTICE TO SHAREHOLDERS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2026 Annual General Meeting of the shareholders (the “2026 Annual General Meeting”) of Transocean Ltd. (the “Company”) will be held:</w:t>
      </w:r>
    </w:p>
    <w:tbl>
      <w:tblPr>
        <w:tblW w:w="4052" w:type="dxa"/>
        <w:jc w:val="left"/>
        <w:tblInd w:w="0" w:type="dxa"/>
        <w:tblLayout w:type="fixed"/>
        <w:tblCellMar>
          <w:top w:w="0" w:type="dxa"/>
          <w:left w:w="0" w:type="dxa"/>
          <w:bottom w:w="0" w:type="dxa"/>
          <w:right w:w="0" w:type="dxa"/>
        </w:tblCellMar>
      </w:tblPr>
      <w:tblGrid>
        <w:gridCol w:w="1966"/>
        <w:gridCol w:w="2086"/>
      </w:tblGrid>
      <w:tr>
        <w:trPr/>
        <w:tc>
          <w:tcPr>
            <w:tcW w:w="1966" w:type="dxa"/>
            <w:tcBorders/>
            <w:vAlign w:val="center"/>
          </w:tcPr>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tc>
        <w:tc>
          <w:tcPr>
            <w:tcW w:w="2086" w:type="dxa"/>
            <w:tcBorders/>
            <w:vAlign w:val="center"/>
          </w:tcPr>
          <w:p>
            <w:pPr>
              <w:pStyle w:val="TableContents"/>
              <w:bidi w:val="0"/>
              <w:spacing w:before="0" w:after="283"/>
              <w:ind w:left="0" w:right="0" w:hanging="0"/>
              <w:jc w:val="left"/>
              <w:rPr>
                <w:sz w:val="4"/>
                <w:szCs w:val="4"/>
              </w:rPr>
            </w:pPr>
            <w:r>
              <w:rPr>
                <w:sz w:val="4"/>
                <w:szCs w:val="4"/>
              </w:rPr>
            </w:r>
          </w:p>
        </w:tc>
      </w:tr>
      <w:tr>
        <w:trPr/>
        <w:tc>
          <w:tcPr>
            <w:tcW w:w="1966" w:type="dxa"/>
            <w:tcBorders/>
            <w:vAlign w:val="center"/>
          </w:tcPr>
          <w:p>
            <w:pPr>
              <w:pStyle w:val="TableContents"/>
              <w:bidi w:val="0"/>
              <w:spacing w:lineRule="auto" w:line="285" w:before="0" w:after="0"/>
              <w:ind w:left="0" w:right="0" w:hanging="0"/>
              <w:jc w:val="both"/>
              <w:rPr/>
            </w:pPr>
            <w:r>
              <w:rPr/>
              <w:t>​</w:t>
            </w:r>
          </w:p>
        </w:tc>
        <w:tc>
          <w:tcPr>
            <w:tcW w:w="2086" w:type="dxa"/>
            <w:tcBorders/>
            <w:vAlign w:val="center"/>
          </w:tcPr>
          <w:p>
            <w:pPr>
              <w:pStyle w:val="TableContents"/>
              <w:bidi w:val="0"/>
              <w:spacing w:before="0" w:after="283"/>
              <w:ind w:left="0" w:right="0" w:hanging="0"/>
              <w:jc w:val="left"/>
              <w:rPr>
                <w:sz w:val="4"/>
                <w:szCs w:val="4"/>
              </w:rPr>
            </w:pPr>
            <w:r>
              <w:rPr>
                <w:sz w:val="4"/>
                <w:szCs w:val="4"/>
              </w:rPr>
            </w:r>
          </w:p>
        </w:tc>
      </w:tr>
      <w:tr>
        <w:trPr/>
        <w:tc>
          <w:tcPr>
            <w:tcW w:w="1966" w:type="dxa"/>
            <w:tcBorders/>
            <w:vAlign w:val="center"/>
          </w:tcPr>
          <w:p>
            <w:pPr>
              <w:pStyle w:val="TableContents"/>
              <w:bidi w:val="0"/>
              <w:spacing w:lineRule="auto" w:line="302" w:before="0" w:after="0"/>
              <w:ind w:left="0" w:right="0" w:hanging="0"/>
              <w:jc w:val="center"/>
              <w:rPr/>
            </w:pPr>
            <w:r>
              <w:rPr/>
              <w:drawing>
                <wp:inline distT="0" distB="0" distL="0" distR="0">
                  <wp:extent cx="374650" cy="3606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74650" cy="360680"/>
                          </a:xfrm>
                          <a:prstGeom prst="rect">
                            <a:avLst/>
                          </a:prstGeom>
                        </pic:spPr>
                      </pic:pic>
                    </a:graphicData>
                  </a:graphic>
                </wp:inline>
              </w:drawing>
            </w:r>
          </w:p>
        </w:tc>
        <w:tc>
          <w:tcPr>
            <w:tcW w:w="2086" w:type="dxa"/>
            <w:tcBorders/>
            <w:vAlign w:val="center"/>
          </w:tcPr>
          <w:p>
            <w:pPr>
              <w:pStyle w:val="TableContents"/>
              <w:bidi w:val="0"/>
              <w:spacing w:lineRule="auto" w:line="302" w:before="0" w:after="0"/>
              <w:ind w:left="0" w:right="0" w:hanging="0"/>
              <w:jc w:val="center"/>
              <w:rPr/>
            </w:pPr>
            <w:r>
              <w:rPr/>
              <w:drawing>
                <wp:inline distT="0" distB="0" distL="0" distR="0">
                  <wp:extent cx="274320" cy="37084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74320" cy="370840"/>
                          </a:xfrm>
                          <a:prstGeom prst="rect">
                            <a:avLst/>
                          </a:prstGeom>
                        </pic:spPr>
                      </pic:pic>
                    </a:graphicData>
                  </a:graphic>
                </wp:inline>
              </w:drawing>
            </w:r>
          </w:p>
        </w:tc>
      </w:tr>
      <w:tr>
        <w:trPr/>
        <w:tc>
          <w:tcPr>
            <w:tcW w:w="1966" w:type="dxa"/>
            <w:tcBorders/>
            <w:vAlign w:val="center"/>
          </w:tcPr>
          <w:p>
            <w:pPr>
              <w:pStyle w:val="TableContents"/>
              <w:bidi w:val="0"/>
              <w:spacing w:lineRule="auto" w:line="302" w:before="0" w:after="0"/>
              <w:ind w:left="0" w:right="0" w:hanging="0"/>
              <w:jc w:val="center"/>
              <w:rPr>
                <w:rFonts w:ascii="Arial;Helvetica;sans-serif" w:hAnsi="Arial;Helvetica;sans-serif"/>
                <w:b/>
                <w:color w:val="00556F"/>
                <w:sz w:val="20"/>
              </w:rPr>
            </w:pPr>
            <w:r>
              <w:rPr>
                <w:rFonts w:ascii="Arial;Helvetica;sans-serif" w:hAnsi="Arial;Helvetica;sans-serif"/>
                <w:b/>
                <w:color w:val="00556F"/>
                <w:sz w:val="20"/>
              </w:rPr>
              <w:t>WHEN</w:t>
            </w:r>
          </w:p>
        </w:tc>
        <w:tc>
          <w:tcPr>
            <w:tcW w:w="2086" w:type="dxa"/>
            <w:tcBorders/>
            <w:vAlign w:val="center"/>
          </w:tcPr>
          <w:p>
            <w:pPr>
              <w:pStyle w:val="TableContents"/>
              <w:bidi w:val="0"/>
              <w:spacing w:lineRule="auto" w:line="302" w:before="0" w:after="0"/>
              <w:ind w:left="0" w:right="0" w:hanging="0"/>
              <w:jc w:val="center"/>
              <w:rPr>
                <w:rFonts w:ascii="Arial;Helvetica;sans-serif" w:hAnsi="Arial;Helvetica;sans-serif"/>
                <w:b/>
                <w:color w:val="00556F"/>
                <w:sz w:val="20"/>
              </w:rPr>
            </w:pPr>
            <w:r>
              <w:rPr>
                <w:rFonts w:ascii="Arial;Helvetica;sans-serif" w:hAnsi="Arial;Helvetica;sans-serif"/>
                <w:b/>
                <w:color w:val="00556F"/>
                <w:sz w:val="20"/>
              </w:rPr>
              <w:t>WHERE</w:t>
            </w:r>
          </w:p>
        </w:tc>
      </w:tr>
      <w:tr>
        <w:trPr/>
        <w:tc>
          <w:tcPr>
            <w:tcW w:w="1966" w:type="dxa"/>
            <w:tcBorders/>
            <w:vAlign w:val="center"/>
          </w:tcPr>
          <w:p>
            <w:pPr>
              <w:pStyle w:val="TableContents"/>
              <w:bidi w:val="0"/>
              <w:spacing w:lineRule="auto" w:line="302" w:before="0" w:after="0"/>
              <w:ind w:left="0" w:right="0" w:hanging="0"/>
              <w:jc w:val="center"/>
              <w:rPr>
                <w:rFonts w:ascii="Arial;Helvetica;sans-serif" w:hAnsi="Arial;Helvetica;sans-serif"/>
                <w:sz w:val="20"/>
              </w:rPr>
            </w:pPr>
            <w:r>
              <w:rPr>
                <w:rFonts w:ascii="Arial;Helvetica;sans-serif" w:hAnsi="Arial;Helvetica;sans-serif"/>
                <w:sz w:val="20"/>
              </w:rPr>
              <w:t>Friday, May 22, 2026</w:t>
            </w:r>
          </w:p>
        </w:tc>
        <w:tc>
          <w:tcPr>
            <w:tcW w:w="2086" w:type="dxa"/>
            <w:tcBorders/>
            <w:vAlign w:val="center"/>
          </w:tcPr>
          <w:p>
            <w:pPr>
              <w:pStyle w:val="TableContents"/>
              <w:bidi w:val="0"/>
              <w:spacing w:lineRule="auto" w:line="302" w:before="0" w:after="0"/>
              <w:ind w:left="0" w:right="0" w:hanging="0"/>
              <w:jc w:val="center"/>
              <w:rPr>
                <w:rFonts w:ascii="Arial;Helvetica;sans-serif" w:hAnsi="Arial;Helvetica;sans-serif"/>
                <w:sz w:val="20"/>
              </w:rPr>
            </w:pPr>
            <w:r>
              <w:rPr>
                <w:rFonts w:ascii="Arial;Helvetica;sans-serif" w:hAnsi="Arial;Helvetica;sans-serif"/>
                <w:sz w:val="20"/>
              </w:rPr>
              <w:t xml:space="preserve">Parkhotel Zug </w:t>
            </w:r>
          </w:p>
        </w:tc>
      </w:tr>
      <w:tr>
        <w:trPr/>
        <w:tc>
          <w:tcPr>
            <w:tcW w:w="1966" w:type="dxa"/>
            <w:tcBorders/>
            <w:vAlign w:val="center"/>
          </w:tcPr>
          <w:p>
            <w:pPr>
              <w:pStyle w:val="TableContents"/>
              <w:bidi w:val="0"/>
              <w:spacing w:lineRule="auto" w:line="302" w:before="0" w:after="0"/>
              <w:ind w:left="0" w:right="0" w:hanging="0"/>
              <w:jc w:val="center"/>
              <w:rPr>
                <w:rFonts w:ascii="Arial;Helvetica;sans-serif" w:hAnsi="Arial;Helvetica;sans-serif"/>
                <w:sz w:val="20"/>
              </w:rPr>
            </w:pPr>
            <w:r>
              <w:rPr>
                <w:rFonts w:ascii="Arial;Helvetica;sans-serif" w:hAnsi="Arial;Helvetica;sans-serif"/>
                <w:sz w:val="20"/>
              </w:rPr>
              <w:t>8:00 a.m. Swiss time</w:t>
            </w:r>
          </w:p>
        </w:tc>
        <w:tc>
          <w:tcPr>
            <w:tcW w:w="2086" w:type="dxa"/>
            <w:tcBorders/>
            <w:vAlign w:val="center"/>
          </w:tcPr>
          <w:p>
            <w:pPr>
              <w:pStyle w:val="TableContents"/>
              <w:bidi w:val="0"/>
              <w:spacing w:lineRule="auto" w:line="302" w:before="0" w:after="0"/>
              <w:ind w:left="0" w:right="0" w:hanging="0"/>
              <w:jc w:val="center"/>
              <w:rPr>
                <w:rFonts w:ascii="Arial;Helvetica;sans-serif" w:hAnsi="Arial;Helvetica;sans-serif"/>
                <w:sz w:val="20"/>
              </w:rPr>
            </w:pPr>
            <w:r>
              <w:rPr>
                <w:rFonts w:ascii="Arial;Helvetica;sans-serif" w:hAnsi="Arial;Helvetica;sans-serif"/>
                <w:sz w:val="20"/>
              </w:rPr>
              <w:t>Industriestrasse 14</w:t>
            </w:r>
          </w:p>
        </w:tc>
      </w:tr>
      <w:tr>
        <w:trPr/>
        <w:tc>
          <w:tcPr>
            <w:tcW w:w="1966" w:type="dxa"/>
            <w:tcBorders/>
            <w:vAlign w:val="center"/>
          </w:tcPr>
          <w:p>
            <w:pPr>
              <w:pStyle w:val="TableContents"/>
              <w:bidi w:val="0"/>
              <w:spacing w:lineRule="auto" w:line="285" w:before="0" w:after="0"/>
              <w:ind w:left="0" w:right="0" w:hanging="0"/>
              <w:jc w:val="center"/>
              <w:rPr/>
            </w:pPr>
            <w:r>
              <w:rPr/>
              <w:t>​</w:t>
            </w:r>
          </w:p>
        </w:tc>
        <w:tc>
          <w:tcPr>
            <w:tcW w:w="2086" w:type="dxa"/>
            <w:tcBorders/>
            <w:vAlign w:val="center"/>
          </w:tcPr>
          <w:p>
            <w:pPr>
              <w:pStyle w:val="TableContents"/>
              <w:bidi w:val="0"/>
              <w:spacing w:lineRule="auto" w:line="302" w:before="0" w:after="0"/>
              <w:ind w:left="0" w:right="0" w:hanging="0"/>
              <w:jc w:val="center"/>
              <w:rPr>
                <w:rFonts w:ascii="Arial;Helvetica;sans-serif" w:hAnsi="Arial;Helvetica;sans-serif"/>
                <w:sz w:val="20"/>
              </w:rPr>
            </w:pPr>
            <w:r>
              <w:rPr>
                <w:rFonts w:ascii="Arial;Helvetica;sans-serif" w:hAnsi="Arial;Helvetica;sans-serif"/>
                <w:sz w:val="20"/>
              </w:rPr>
              <w:t>6302 Zug, Switzerland</w:t>
            </w:r>
          </w:p>
        </w:tc>
      </w:tr>
    </w:tbl>
    <w:p>
      <w:pPr>
        <w:pStyle w:val="TextBody"/>
        <w:bidi w:val="0"/>
        <w:spacing w:lineRule="auto" w:line="285" w:before="0" w:after="20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Information regarding the matters to be acted upon at the meeting is set forth in the attached invitation to the 2026 Annual General Meeting and the proxy statement, which is available at </w:t>
      </w:r>
      <w:r>
        <w:rPr>
          <w:rFonts w:ascii="Arial;Helvetica;sans-serif" w:hAnsi="Arial;Helvetica;sans-serif"/>
          <w:color w:val="005670"/>
          <w:sz w:val="20"/>
        </w:rPr>
        <w:t>www.deepwater.com</w:t>
      </w:r>
      <w:r>
        <w:rPr>
          <w:rFonts w:ascii="Arial;Helvetica;sans-serif" w:hAnsi="Arial;Helvetica;sans-serif"/>
          <w:sz w:val="20"/>
        </w:rPr>
        <w:t xml:space="preserve"> by selecting Financial Reports, then Annual and Quarterly Reports in the dropdown menu of the Investors section.</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At the 2026 Annual General Meeting, we will ask you to vote on the following items:</w:t>
      </w:r>
    </w:p>
    <w:tbl>
      <w:tblPr>
        <w:tblW w:w="10205" w:type="dxa"/>
        <w:jc w:val="left"/>
        <w:tblInd w:w="0" w:type="dxa"/>
        <w:tblLayout w:type="fixed"/>
        <w:tblCellMar>
          <w:top w:w="0" w:type="dxa"/>
          <w:left w:w="0" w:type="dxa"/>
          <w:bottom w:w="0" w:type="dxa"/>
          <w:right w:w="0" w:type="dxa"/>
        </w:tblCellMar>
      </w:tblPr>
      <w:tblGrid>
        <w:gridCol w:w="841"/>
        <w:gridCol w:w="226"/>
        <w:gridCol w:w="5385"/>
        <w:gridCol w:w="226"/>
        <w:gridCol w:w="659"/>
        <w:gridCol w:w="1067"/>
        <w:gridCol w:w="226"/>
        <w:gridCol w:w="1575"/>
      </w:tblGrid>
      <w:tr>
        <w:trPr/>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34035" cy="14605"/>
                      <wp:effectExtent l="0" t="0" r="0" b="0"/>
                      <wp:wrapNone/>
                      <wp:docPr id="6" name="Frame1"/>
                      <a:graphic xmlns:a="http://schemas.openxmlformats.org/drawingml/2006/main">
                        <a:graphicData uri="http://schemas.microsoft.com/office/word/2010/wordprocessingShape">
                          <wps:wsp>
                            <wps:cNvSpPr txBox="1"/>
                            <wps:spPr>
                              <a:xfrm>
                                <a:off x="0" y="0"/>
                                <a:ext cx="534035" cy="14605"/>
                              </a:xfrm>
                              <a:prstGeom prst="rect"/>
                              <a:solidFill>
                                <a:srgbClr val="FFFFFF"/>
                              </a:solidFill>
                            </wps:spPr>
                            <wps:txbx>
                              <w:txbxContent>
                                <w:p>
                                  <w:pPr>
                                    <w:pStyle w:val="TableContents"/>
                                    <w:bidi w:val="0"/>
                                    <w:spacing w:lineRule="auto" w:line="285" w:before="0" w:after="0"/>
                                    <w:ind w:left="0" w:right="0" w:hanging="0"/>
                                    <w:jc w:val="both"/>
                                    <w:rPr>
                                      <w:rFonts w:ascii="Arial;Helvetica;sans-serif" w:hAnsi="Arial;Helvetica;sans-serif"/>
                                      <w:sz w:val="2"/>
                                    </w:rPr>
                                  </w:pPr>
                                  <w:r>
                                    <w:rPr>
                                      <w:rFonts w:ascii="Arial;Helvetica;sans-serif" w:hAnsi="Arial;Helvetica;sans-serif"/>
                                      <w:sz w:val="2"/>
                                    </w:rPr>
                                    <w:t>u</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rFonts w:ascii="Arial;Helvetica;sans-serif" w:hAnsi="Arial;Helvetica;sans-serif"/>
                                <w:sz w:val="2"/>
                              </w:rPr>
                            </w:pPr>
                            <w:r>
                              <w:rPr>
                                <w:rFonts w:ascii="Arial;Helvetica;sans-serif" w:hAnsi="Arial;Helvetica;sans-serif"/>
                                <w:sz w:val="2"/>
                              </w:rPr>
                              <w:t>u</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43510" cy="175260"/>
                      <wp:effectExtent l="0" t="0" r="0" b="0"/>
                      <wp:wrapNone/>
                      <wp:docPr id="7" name="Frame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5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419475" cy="29210"/>
                      <wp:effectExtent l="0" t="0" r="0" b="0"/>
                      <wp:wrapNone/>
                      <wp:docPr id="8" name="Frame3"/>
                      <a:graphic xmlns:a="http://schemas.openxmlformats.org/drawingml/2006/main">
                        <a:graphicData uri="http://schemas.microsoft.com/office/word/2010/wordprocessingShape">
                          <wps:wsp>
                            <wps:cNvSpPr txBox="1"/>
                            <wps:spPr>
                              <a:xfrm>
                                <a:off x="0" y="0"/>
                                <a:ext cx="34194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43510" cy="175260"/>
                      <wp:effectExtent l="0" t="0" r="0" b="0"/>
                      <wp:wrapNone/>
                      <wp:docPr id="9" name="Frame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72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096010" cy="29210"/>
                      <wp:effectExtent l="0" t="0" r="0" b="0"/>
                      <wp:wrapNone/>
                      <wp:docPr id="10" name="Frame5"/>
                      <a:graphic xmlns:a="http://schemas.openxmlformats.org/drawingml/2006/main">
                        <a:graphicData uri="http://schemas.microsoft.com/office/word/2010/wordprocessingShape">
                          <wps:wsp>
                            <wps:cNvSpPr txBox="1"/>
                            <wps:spPr>
                              <a:xfrm>
                                <a:off x="0" y="0"/>
                                <a:ext cx="1096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43510" cy="175260"/>
                      <wp:effectExtent l="0" t="0" r="0" b="0"/>
                      <wp:wrapNone/>
                      <wp:docPr id="11" name="Frame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000125" cy="29210"/>
                      <wp:effectExtent l="0" t="0" r="0" b="0"/>
                      <wp:wrapNone/>
                      <wp:docPr id="12" name="Frame7"/>
                      <a:graphic xmlns:a="http://schemas.openxmlformats.org/drawingml/2006/main">
                        <a:graphicData uri="http://schemas.microsoft.com/office/word/2010/wordprocessingShape">
                          <wps:wsp>
                            <wps:cNvSpPr txBox="1"/>
                            <wps:spPr>
                              <a:xfrm>
                                <a:off x="0" y="0"/>
                                <a:ext cx="10001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41" w:type="dxa"/>
            <w:tcBorders>
              <w:bottom w:val="single" w:sz="12" w:space="0" w:color="ECA44A"/>
            </w:tcBorders>
            <w:tcMar>
              <w:bottom w:w="28" w:type="dxa"/>
            </w:tcMar>
            <w:vAlign w:val="center"/>
          </w:tcPr>
          <w:p>
            <w:pPr>
              <w:pStyle w:val="TableContents"/>
              <w:bidi w:val="0"/>
              <w:spacing w:lineRule="auto" w:line="285" w:before="0" w:after="20"/>
              <w:ind w:left="0" w:right="0" w:hanging="0"/>
              <w:jc w:val="center"/>
              <w:rPr>
                <w:rFonts w:ascii="Arial;Helvetica;sans-serif" w:hAnsi="Arial;Helvetica;sans-serif"/>
                <w:b/>
                <w:color w:val="4B4F54"/>
                <w:sz w:val="16"/>
              </w:rPr>
            </w:pPr>
            <w:r>
              <w:rPr>
                <w:rFonts w:ascii="Arial;Helvetica;sans-serif" w:hAnsi="Arial;Helvetica;sans-serif"/>
                <w:b/>
                <w:color w:val="4B4F54"/>
                <w:sz w:val="16"/>
              </w:rPr>
              <w:t>AGENDA</w:t>
              <w:br/>
              <w:t>ITEM</w:t>
            </w:r>
          </w:p>
        </w:tc>
        <w:tc>
          <w:tcPr>
            <w:tcW w:w="226" w:type="dxa"/>
            <w:tcBorders>
              <w:bottom w:val="single" w:sz="12" w:space="0" w:color="000000"/>
            </w:tcBorders>
            <w:tcMar>
              <w:bottom w:w="28" w:type="dxa"/>
            </w:tcMar>
            <w:vAlign w:val="center"/>
          </w:tcPr>
          <w:p>
            <w:pPr>
              <w:pStyle w:val="TableContents"/>
              <w:bidi w:val="0"/>
              <w:spacing w:lineRule="auto" w:line="285" w:before="0" w:after="20"/>
              <w:ind w:left="0" w:right="0" w:hanging="0"/>
              <w:jc w:val="both"/>
              <w:rPr>
                <w:color w:val="4B4F54"/>
              </w:rPr>
            </w:pPr>
            <w:r>
              <w:rPr>
                <w:color w:val="4B4F54"/>
              </w:rPr>
              <w:t>  ​</w:t>
            </w:r>
          </w:p>
        </w:tc>
        <w:tc>
          <w:tcPr>
            <w:tcW w:w="5385" w:type="dxa"/>
            <w:tcBorders>
              <w:bottom w:val="single" w:sz="12" w:space="0" w:color="ECA44A"/>
            </w:tcBorders>
            <w:tcMar>
              <w:bottom w:w="28" w:type="dxa"/>
            </w:tcMar>
            <w:vAlign w:val="center"/>
          </w:tcPr>
          <w:p>
            <w:pPr>
              <w:pStyle w:val="TableContents"/>
              <w:bidi w:val="0"/>
              <w:spacing w:lineRule="auto" w:line="285" w:before="0" w:after="20"/>
              <w:ind w:left="0" w:right="0" w:hanging="0"/>
              <w:jc w:val="both"/>
              <w:rPr>
                <w:rFonts w:ascii="Arial;Helvetica;sans-serif" w:hAnsi="Arial;Helvetica;sans-serif"/>
                <w:b/>
                <w:color w:val="4B4F54"/>
                <w:sz w:val="16"/>
              </w:rPr>
            </w:pPr>
            <w:r>
              <w:rPr>
                <w:rFonts w:ascii="Arial;Helvetica;sans-serif" w:hAnsi="Arial;Helvetica;sans-serif"/>
                <w:b/>
                <w:color w:val="4B4F54"/>
                <w:sz w:val="16"/>
              </w:rPr>
              <w:t>DESCRIPTION</w:t>
            </w:r>
          </w:p>
        </w:tc>
        <w:tc>
          <w:tcPr>
            <w:tcW w:w="226" w:type="dxa"/>
            <w:tcBorders>
              <w:bottom w:val="single" w:sz="12" w:space="0" w:color="000000"/>
            </w:tcBorders>
            <w:tcMar>
              <w:bottom w:w="28" w:type="dxa"/>
            </w:tcMar>
            <w:vAlign w:val="center"/>
          </w:tcPr>
          <w:p>
            <w:pPr>
              <w:pStyle w:val="TableContents"/>
              <w:bidi w:val="0"/>
              <w:spacing w:lineRule="auto" w:line="285" w:before="0" w:after="20"/>
              <w:ind w:left="0" w:right="0" w:hanging="0"/>
              <w:jc w:val="both"/>
              <w:rPr/>
            </w:pPr>
            <w:r>
              <w:rPr/>
              <w:t>  ​</w:t>
            </w:r>
          </w:p>
        </w:tc>
        <w:tc>
          <w:tcPr>
            <w:tcW w:w="1726" w:type="dxa"/>
            <w:gridSpan w:val="2"/>
            <w:tcBorders>
              <w:bottom w:val="single" w:sz="12" w:space="0" w:color="ECA44A"/>
            </w:tcBorders>
            <w:tcMar>
              <w:bottom w:w="28" w:type="dxa"/>
            </w:tcMar>
            <w:vAlign w:val="center"/>
          </w:tcPr>
          <w:p>
            <w:pPr>
              <w:pStyle w:val="TableContents"/>
              <w:bidi w:val="0"/>
              <w:spacing w:lineRule="auto" w:line="285" w:before="0" w:after="20"/>
              <w:ind w:left="0" w:right="0" w:hanging="0"/>
              <w:jc w:val="center"/>
              <w:rPr>
                <w:rFonts w:ascii="Arial;Helvetica;sans-serif" w:hAnsi="Arial;Helvetica;sans-serif"/>
                <w:b/>
                <w:color w:val="4B4F54"/>
                <w:sz w:val="16"/>
              </w:rPr>
            </w:pPr>
            <w:r>
              <w:rPr>
                <w:rFonts w:ascii="Arial;Helvetica;sans-serif" w:hAnsi="Arial;Helvetica;sans-serif"/>
                <w:b/>
                <w:color w:val="4B4F54"/>
                <w:sz w:val="16"/>
              </w:rPr>
              <w:t xml:space="preserve">BOARD </w:t>
              <w:br/>
              <w:t>RECOMMENDATION</w:t>
            </w:r>
          </w:p>
        </w:tc>
        <w:tc>
          <w:tcPr>
            <w:tcW w:w="226" w:type="dxa"/>
            <w:tcBorders>
              <w:bottom w:val="single" w:sz="12" w:space="0" w:color="000000"/>
            </w:tcBorders>
            <w:tcMar>
              <w:bottom w:w="28" w:type="dxa"/>
            </w:tcMar>
            <w:vAlign w:val="center"/>
          </w:tcPr>
          <w:p>
            <w:pPr>
              <w:pStyle w:val="TableContents"/>
              <w:bidi w:val="0"/>
              <w:spacing w:lineRule="auto" w:line="285" w:before="0" w:after="20"/>
              <w:ind w:left="0" w:right="0" w:hanging="0"/>
              <w:jc w:val="both"/>
              <w:rPr>
                <w:color w:val="4B4F54"/>
              </w:rPr>
            </w:pPr>
            <w:r>
              <w:rPr>
                <w:color w:val="4B4F54"/>
              </w:rPr>
              <w:t>  ​</w:t>
            </w:r>
          </w:p>
        </w:tc>
        <w:tc>
          <w:tcPr>
            <w:tcW w:w="1575" w:type="dxa"/>
            <w:tcBorders>
              <w:bottom w:val="single" w:sz="12" w:space="0" w:color="ECA44A"/>
            </w:tcBorders>
            <w:tcMar>
              <w:bottom w:w="28" w:type="dxa"/>
            </w:tcMar>
            <w:vAlign w:val="center"/>
          </w:tcPr>
          <w:p>
            <w:pPr>
              <w:pStyle w:val="TableContents"/>
              <w:bidi w:val="0"/>
              <w:spacing w:lineRule="auto" w:line="285" w:before="0" w:after="20"/>
              <w:ind w:left="0" w:right="0" w:hanging="0"/>
              <w:jc w:val="center"/>
              <w:rPr>
                <w:rFonts w:ascii="Arial;Helvetica;sans-serif" w:hAnsi="Arial;Helvetica;sans-serif"/>
                <w:b/>
                <w:color w:val="4B4F54"/>
                <w:sz w:val="16"/>
              </w:rPr>
            </w:pPr>
            <w:r>
              <w:rPr>
                <w:rFonts w:ascii="Arial;Helvetica;sans-serif" w:hAnsi="Arial;Helvetica;sans-serif"/>
                <w:b/>
                <w:color w:val="4B4F54"/>
                <w:sz w:val="16"/>
              </w:rPr>
              <w:t>FOR MORE INFORMATION, SEE PAGE</w:t>
            </w:r>
          </w:p>
        </w:tc>
      </w:tr>
      <w:tr>
        <w:trPr/>
        <w:tc>
          <w:tcPr>
            <w:tcW w:w="841" w:type="dxa"/>
            <w:tcBorders>
              <w:top w:val="single" w:sz="12" w:space="0" w:color="ECA44A"/>
              <w:bottom w:val="single" w:sz="2" w:space="0" w:color="D9D9D9"/>
            </w:tcBorders>
            <w:tcMar>
              <w:top w:w="28" w:type="dxa"/>
              <w:bottom w:w="28" w:type="dxa"/>
            </w:tcMar>
            <w:vAlign w:val="center"/>
          </w:tcPr>
          <w:p>
            <w:pPr>
              <w:pStyle w:val="TableContents"/>
              <w:bidi w:val="0"/>
              <w:spacing w:lineRule="auto" w:line="285" w:before="40" w:after="100"/>
              <w:ind w:left="0" w:right="0" w:hanging="0"/>
              <w:jc w:val="center"/>
              <w:rPr>
                <w:rFonts w:ascii="Arial;Helvetica;sans-serif" w:hAnsi="Arial;Helvetica;sans-serif"/>
                <w:b/>
                <w:color w:val="005670"/>
                <w:sz w:val="28"/>
              </w:rPr>
            </w:pPr>
            <w:r>
              <w:rPr>
                <w:rFonts w:ascii="Arial;Helvetica;sans-serif" w:hAnsi="Arial;Helvetica;sans-serif"/>
                <w:b/>
                <w:color w:val="005670"/>
                <w:sz w:val="28"/>
              </w:rPr>
              <w:t>1</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5385" w:type="dxa"/>
            <w:tcBorders>
              <w:top w:val="single" w:sz="12" w:space="0" w:color="ECA44A"/>
              <w:bottom w:val="single" w:sz="2" w:space="0" w:color="D9D9D9"/>
            </w:tcBorders>
            <w:tcMar>
              <w:top w:w="28" w:type="dxa"/>
              <w:bottom w:w="28" w:type="dxa"/>
            </w:tcMar>
            <w:vAlign w:val="center"/>
          </w:tcPr>
          <w:p>
            <w:pPr>
              <w:pStyle w:val="TableContents"/>
              <w:bidi w:val="0"/>
              <w:spacing w:lineRule="auto" w:line="285" w:before="40" w:after="100"/>
              <w:ind w:left="0" w:right="0" w:hanging="0"/>
              <w:jc w:val="left"/>
              <w:rPr>
                <w:rFonts w:ascii="Arial;Helvetica;sans-serif" w:hAnsi="Arial;Helvetica;sans-serif"/>
                <w:sz w:val="20"/>
              </w:rPr>
            </w:pPr>
            <w:r>
              <w:rPr>
                <w:rFonts w:ascii="Arial;Helvetica;sans-serif" w:hAnsi="Arial;Helvetica;sans-serif"/>
                <w:sz w:val="20"/>
              </w:rPr>
              <w:t>Approval of (A) the 2025 Annual Report, Including the Audited Consolidated Financial Statements of Transocean Ltd. for Fiscal Year 2025, and the Audited Statutory Financial Statements of Transocean Ltd. for Fiscal Year 2025; and Advisory Votes to Approve (B) the Swiss Statutory Compensation Report for Fiscal Year 2025 and (C) the Swiss Statutory Report on Non-Financial Matters for Fiscal Year 2025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659" w:type="dxa"/>
            <w:tcBorders>
              <w:top w:val="single" w:sz="12" w:space="0" w:color="ECA44A"/>
              <w:bottom w:val="single" w:sz="2" w:space="0" w:color="D9D9D9"/>
            </w:tcBorders>
            <w:tcMar>
              <w:top w:w="28" w:type="dxa"/>
              <w:bottom w:w="28" w:type="dxa"/>
            </w:tcMar>
            <w:vAlign w:val="center"/>
          </w:tcPr>
          <w:p>
            <w:pPr>
              <w:pStyle w:val="TableContents"/>
              <w:bidi w:val="0"/>
              <w:spacing w:lineRule="auto" w:line="285" w:before="280" w:after="0"/>
              <w:ind w:left="0" w:right="0" w:hanging="0"/>
              <w:jc w:val="right"/>
              <w:rPr>
                <w:color w:val="005670"/>
              </w:rPr>
            </w:pPr>
            <w:r>
              <w:rPr>
                <w:color w:val="005670"/>
              </w:rPr>
              <w:t xml:space="preserve">✓ </w:t>
            </w:r>
          </w:p>
        </w:tc>
        <w:tc>
          <w:tcPr>
            <w:tcW w:w="1067" w:type="dxa"/>
            <w:tcBorders>
              <w:top w:val="single" w:sz="12" w:space="0" w:color="ECA44A"/>
              <w:bottom w:val="single" w:sz="2" w:space="0" w:color="D9D9D9"/>
            </w:tcBorders>
            <w:tcMar>
              <w:top w:w="28" w:type="dxa"/>
              <w:bottom w:w="28" w:type="dxa"/>
            </w:tcMar>
            <w:vAlign w:val="center"/>
          </w:tcPr>
          <w:p>
            <w:pPr>
              <w:pStyle w:val="TableContents"/>
              <w:bidi w:val="0"/>
              <w:spacing w:lineRule="auto" w:line="285" w:before="52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color w:val="00556F"/>
              </w:rPr>
            </w:pPr>
            <w:r>
              <w:rPr>
                <w:color w:val="00556F"/>
              </w:rPr>
              <w:t>​</w:t>
            </w:r>
          </w:p>
        </w:tc>
        <w:tc>
          <w:tcPr>
            <w:tcW w:w="1575" w:type="dxa"/>
            <w:tcBorders>
              <w:top w:val="single" w:sz="12" w:space="0" w:color="ECA44A"/>
              <w:bottom w:val="single" w:sz="2" w:space="0" w:color="D9D9D9"/>
            </w:tcBorders>
            <w:tcMar>
              <w:top w:w="28" w:type="dxa"/>
              <w:bottom w:w="28" w:type="dxa"/>
            </w:tcMar>
            <w:vAlign w:val="center"/>
          </w:tcPr>
          <w:p>
            <w:pPr>
              <w:pStyle w:val="TableContents"/>
              <w:bidi w:val="0"/>
              <w:spacing w:lineRule="auto" w:line="285" w:before="160" w:after="100"/>
              <w:ind w:left="0" w:right="0" w:hanging="0"/>
              <w:jc w:val="center"/>
              <w:rPr>
                <w:rFonts w:ascii="Arial;Helvetica;sans-serif" w:hAnsi="Arial;Helvetica;sans-serif"/>
                <w:sz w:val="18"/>
              </w:rPr>
            </w:pPr>
            <w:r>
              <w:rPr>
                <w:rFonts w:ascii="Arial;Helvetica;sans-serif" w:hAnsi="Arial;Helvetica;sans-serif"/>
                <w:sz w:val="18"/>
              </w:rPr>
              <w:t>P-21</w:t>
            </w:r>
          </w:p>
        </w:tc>
      </w:tr>
      <w:tr>
        <w:trPr/>
        <w:tc>
          <w:tcPr>
            <w:tcW w:w="84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center"/>
              <w:rPr>
                <w:rFonts w:ascii="Arial;Helvetica;sans-serif" w:hAnsi="Arial;Helvetica;sans-serif"/>
                <w:b/>
                <w:color w:val="005670"/>
                <w:sz w:val="28"/>
              </w:rPr>
            </w:pPr>
            <w:r>
              <w:rPr>
                <w:rFonts w:ascii="Arial;Helvetica;sans-serif" w:hAnsi="Arial;Helvetica;sans-serif"/>
                <w:b/>
                <w:color w:val="005670"/>
                <w:sz w:val="28"/>
              </w:rPr>
              <w:t>2</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38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left"/>
              <w:rPr>
                <w:rFonts w:ascii="Arial;Helvetica;sans-serif" w:hAnsi="Arial;Helvetica;sans-serif"/>
                <w:sz w:val="20"/>
              </w:rPr>
            </w:pPr>
            <w:r>
              <w:rPr>
                <w:rFonts w:ascii="Arial;Helvetica;sans-serif" w:hAnsi="Arial;Helvetica;sans-serif"/>
                <w:sz w:val="20"/>
              </w:rPr>
              <w:t>Discharge of the Members of the Board of Directors and the Executive Management Team from Liability for Activities During Fiscal Year 2025</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5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right"/>
              <w:rPr>
                <w:color w:val="005670"/>
              </w:rPr>
            </w:pPr>
            <w:r>
              <w:rPr>
                <w:color w:val="005670"/>
              </w:rPr>
              <w:t xml:space="preserve">✓ </w:t>
            </w:r>
          </w:p>
        </w:tc>
        <w:tc>
          <w:tcPr>
            <w:tcW w:w="1067"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color w:val="005670"/>
              </w:rPr>
            </w:pPr>
            <w:r>
              <w:rPr>
                <w:color w:val="005670"/>
              </w:rPr>
              <w:t>​</w:t>
            </w:r>
          </w:p>
          <w:p>
            <w:pPr>
              <w:pStyle w:val="TableContents"/>
              <w:bidi w:val="0"/>
              <w:spacing w:lineRule="auto" w:line="285" w:before="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56F"/>
              </w:rPr>
            </w:pPr>
            <w:r>
              <w:rPr>
                <w:color w:val="00556F"/>
              </w:rPr>
              <w:t>​</w:t>
            </w:r>
          </w:p>
        </w:tc>
        <w:tc>
          <w:tcPr>
            <w:tcW w:w="157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100"/>
              <w:ind w:left="0" w:right="0" w:hanging="0"/>
              <w:jc w:val="center"/>
              <w:rPr>
                <w:rFonts w:ascii="Arial;Helvetica;sans-serif" w:hAnsi="Arial;Helvetica;sans-serif"/>
                <w:sz w:val="18"/>
              </w:rPr>
            </w:pPr>
            <w:r>
              <w:rPr>
                <w:rFonts w:ascii="Arial;Helvetica;sans-serif" w:hAnsi="Arial;Helvetica;sans-serif"/>
                <w:sz w:val="18"/>
              </w:rPr>
              <w:t>P-24</w:t>
            </w:r>
          </w:p>
        </w:tc>
      </w:tr>
      <w:tr>
        <w:trPr/>
        <w:tc>
          <w:tcPr>
            <w:tcW w:w="84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center"/>
              <w:rPr>
                <w:rFonts w:ascii="Arial;Helvetica;sans-serif" w:hAnsi="Arial;Helvetica;sans-serif"/>
                <w:b/>
                <w:color w:val="005670"/>
                <w:sz w:val="28"/>
              </w:rPr>
            </w:pPr>
            <w:r>
              <w:rPr>
                <w:rFonts w:ascii="Arial;Helvetica;sans-serif" w:hAnsi="Arial;Helvetica;sans-serif"/>
                <w:b/>
                <w:color w:val="005670"/>
                <w:sz w:val="28"/>
              </w:rPr>
              <w:t>3</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38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left"/>
              <w:rPr>
                <w:rFonts w:ascii="Arial;Helvetica;sans-serif" w:hAnsi="Arial;Helvetica;sans-serif"/>
                <w:sz w:val="20"/>
              </w:rPr>
            </w:pPr>
            <w:r>
              <w:rPr>
                <w:rFonts w:ascii="Arial;Helvetica;sans-serif" w:hAnsi="Arial;Helvetica;sans-serif"/>
                <w:sz w:val="20"/>
              </w:rPr>
              <w:t>Appropriation of the Accumulated Losses for Fiscal Year 2025</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5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right"/>
              <w:rPr>
                <w:color w:val="005670"/>
              </w:rPr>
            </w:pPr>
            <w:r>
              <w:rPr>
                <w:color w:val="005670"/>
              </w:rPr>
              <w:t xml:space="preserve">✓ </w:t>
            </w:r>
          </w:p>
        </w:tc>
        <w:tc>
          <w:tcPr>
            <w:tcW w:w="1067"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color w:val="005670"/>
              </w:rPr>
            </w:pPr>
            <w:r>
              <w:rPr>
                <w:color w:val="005670"/>
              </w:rPr>
              <w:t>​</w:t>
            </w:r>
          </w:p>
          <w:p>
            <w:pPr>
              <w:pStyle w:val="TableContents"/>
              <w:bidi w:val="0"/>
              <w:spacing w:lineRule="auto" w:line="285" w:before="4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56F"/>
              </w:rPr>
            </w:pPr>
            <w:r>
              <w:rPr>
                <w:color w:val="00556F"/>
              </w:rPr>
              <w:t>​</w:t>
            </w:r>
          </w:p>
        </w:tc>
        <w:tc>
          <w:tcPr>
            <w:tcW w:w="157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center"/>
              <w:rPr>
                <w:rFonts w:ascii="Arial;Helvetica;sans-serif" w:hAnsi="Arial;Helvetica;sans-serif"/>
                <w:sz w:val="18"/>
              </w:rPr>
            </w:pPr>
            <w:r>
              <w:rPr>
                <w:rFonts w:ascii="Arial;Helvetica;sans-serif" w:hAnsi="Arial;Helvetica;sans-serif"/>
                <w:sz w:val="18"/>
              </w:rPr>
              <w:t>P-25</w:t>
            </w:r>
          </w:p>
        </w:tc>
      </w:tr>
      <w:tr>
        <w:trPr/>
        <w:tc>
          <w:tcPr>
            <w:tcW w:w="84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center"/>
              <w:rPr>
                <w:rFonts w:ascii="Arial;Helvetica;sans-serif" w:hAnsi="Arial;Helvetica;sans-serif"/>
                <w:b/>
                <w:color w:val="005670"/>
                <w:sz w:val="28"/>
              </w:rPr>
            </w:pPr>
            <w:r>
              <w:rPr>
                <w:rFonts w:ascii="Arial;Helvetica;sans-serif" w:hAnsi="Arial;Helvetica;sans-serif"/>
                <w:b/>
                <w:color w:val="005670"/>
                <w:sz w:val="28"/>
              </w:rPr>
              <w:t>4</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38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left"/>
              <w:rPr>
                <w:rFonts w:ascii="Arial;Helvetica;sans-serif" w:hAnsi="Arial;Helvetica;sans-serif"/>
                <w:sz w:val="20"/>
              </w:rPr>
            </w:pPr>
            <w:r>
              <w:rPr>
                <w:rFonts w:ascii="Arial;Helvetica;sans-serif" w:hAnsi="Arial;Helvetica;sans-serif"/>
                <w:sz w:val="20"/>
              </w:rPr>
              <w:t>Approval of Shares Authorized for Issuance</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5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right"/>
              <w:rPr>
                <w:color w:val="005670"/>
              </w:rPr>
            </w:pPr>
            <w:r>
              <w:rPr>
                <w:color w:val="005670"/>
              </w:rPr>
              <w:t xml:space="preserve">✓ </w:t>
            </w:r>
          </w:p>
        </w:tc>
        <w:tc>
          <w:tcPr>
            <w:tcW w:w="1067"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color w:val="005670"/>
              </w:rPr>
            </w:pPr>
            <w:r>
              <w:rPr>
                <w:color w:val="005670"/>
              </w:rPr>
              <w:t>​</w:t>
            </w:r>
          </w:p>
          <w:p>
            <w:pPr>
              <w:pStyle w:val="TableContents"/>
              <w:bidi w:val="0"/>
              <w:spacing w:lineRule="auto" w:line="285" w:before="4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56F"/>
              </w:rPr>
            </w:pPr>
            <w:r>
              <w:rPr>
                <w:color w:val="00556F"/>
              </w:rPr>
              <w:t>​</w:t>
            </w:r>
          </w:p>
        </w:tc>
        <w:tc>
          <w:tcPr>
            <w:tcW w:w="157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center"/>
              <w:rPr>
                <w:rFonts w:ascii="Arial;Helvetica;sans-serif" w:hAnsi="Arial;Helvetica;sans-serif"/>
                <w:sz w:val="18"/>
              </w:rPr>
            </w:pPr>
            <w:r>
              <w:rPr>
                <w:rFonts w:ascii="Arial;Helvetica;sans-serif" w:hAnsi="Arial;Helvetica;sans-serif"/>
                <w:sz w:val="18"/>
              </w:rPr>
              <w:t>P-26</w:t>
            </w:r>
          </w:p>
        </w:tc>
      </w:tr>
      <w:tr>
        <w:trPr/>
        <w:tc>
          <w:tcPr>
            <w:tcW w:w="84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center"/>
              <w:rPr>
                <w:rFonts w:ascii="Arial;Helvetica;sans-serif" w:hAnsi="Arial;Helvetica;sans-serif"/>
                <w:b/>
                <w:color w:val="005670"/>
                <w:sz w:val="28"/>
              </w:rPr>
            </w:pPr>
            <w:r>
              <w:rPr>
                <w:rFonts w:ascii="Arial;Helvetica;sans-serif" w:hAnsi="Arial;Helvetica;sans-serif"/>
                <w:b/>
                <w:color w:val="005670"/>
                <w:sz w:val="28"/>
              </w:rPr>
              <w:t>5</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38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left"/>
              <w:rPr>
                <w:rFonts w:ascii="Arial;Helvetica;sans-serif" w:hAnsi="Arial;Helvetica;sans-serif"/>
                <w:sz w:val="20"/>
              </w:rPr>
            </w:pPr>
            <w:r>
              <w:rPr>
                <w:rFonts w:ascii="Arial;Helvetica;sans-serif" w:hAnsi="Arial;Helvetica;sans-serif"/>
                <w:sz w:val="20"/>
              </w:rPr>
              <w:t>Election of 11 Directors, Each for a Term Extending Until Completion of the Next Annual General Meeting</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5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right"/>
              <w:rPr>
                <w:color w:val="005670"/>
              </w:rPr>
            </w:pPr>
            <w:r>
              <w:rPr>
                <w:color w:val="005670"/>
              </w:rPr>
              <w:t xml:space="preserve">✓ </w:t>
            </w:r>
          </w:p>
        </w:tc>
        <w:tc>
          <w:tcPr>
            <w:tcW w:w="1067"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color w:val="005670"/>
              </w:rPr>
            </w:pPr>
            <w:r>
              <w:rPr>
                <w:color w:val="005670"/>
              </w:rPr>
              <w:t>​</w:t>
            </w:r>
          </w:p>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b/>
                <w:color w:val="005670"/>
                <w:sz w:val="20"/>
              </w:rPr>
              <w:t>FOR</w:t>
              <w:br/>
            </w:r>
            <w:r>
              <w:rPr>
                <w:rFonts w:ascii="Arial;Helvetica;sans-serif" w:hAnsi="Arial;Helvetica;sans-serif"/>
                <w:color w:val="005670"/>
                <w:sz w:val="2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56F"/>
              </w:rPr>
            </w:pPr>
            <w:r>
              <w:rPr>
                <w:color w:val="00556F"/>
              </w:rPr>
              <w:t>​</w:t>
            </w:r>
          </w:p>
        </w:tc>
        <w:tc>
          <w:tcPr>
            <w:tcW w:w="157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center"/>
              <w:rPr>
                <w:rFonts w:ascii="Arial;Helvetica;sans-serif" w:hAnsi="Arial;Helvetica;sans-serif"/>
                <w:sz w:val="18"/>
              </w:rPr>
            </w:pPr>
            <w:r>
              <w:rPr>
                <w:rFonts w:ascii="Arial;Helvetica;sans-serif" w:hAnsi="Arial;Helvetica;sans-serif"/>
                <w:sz w:val="18"/>
              </w:rPr>
              <w:t>P-28</w:t>
            </w:r>
          </w:p>
        </w:tc>
      </w:tr>
      <w:tr>
        <w:trPr/>
        <w:tc>
          <w:tcPr>
            <w:tcW w:w="84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center"/>
              <w:rPr>
                <w:rFonts w:ascii="Arial;Helvetica;sans-serif" w:hAnsi="Arial;Helvetica;sans-serif"/>
                <w:b/>
                <w:color w:val="005670"/>
                <w:sz w:val="28"/>
              </w:rPr>
            </w:pPr>
            <w:r>
              <w:rPr>
                <w:rFonts w:ascii="Arial;Helvetica;sans-serif" w:hAnsi="Arial;Helvetica;sans-serif"/>
                <w:b/>
                <w:color w:val="005670"/>
                <w:sz w:val="28"/>
              </w:rPr>
              <w:t>6</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38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left"/>
              <w:rPr>
                <w:rFonts w:ascii="Arial;Helvetica;sans-serif" w:hAnsi="Arial;Helvetica;sans-serif"/>
                <w:sz w:val="20"/>
              </w:rPr>
            </w:pPr>
            <w:r>
              <w:rPr>
                <w:rFonts w:ascii="Arial;Helvetica;sans-serif" w:hAnsi="Arial;Helvetica;sans-serif"/>
                <w:sz w:val="20"/>
              </w:rPr>
              <w:t>Election of the Chair of the Board of Directors for a Term Extending Until Completion of the Next Annual General Meeting</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5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right"/>
              <w:rPr>
                <w:color w:val="005670"/>
              </w:rPr>
            </w:pPr>
            <w:r>
              <w:rPr>
                <w:color w:val="005670"/>
              </w:rPr>
              <w:t xml:space="preserve">✓ </w:t>
            </w:r>
          </w:p>
        </w:tc>
        <w:tc>
          <w:tcPr>
            <w:tcW w:w="1067"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color w:val="005670"/>
              </w:rPr>
            </w:pPr>
            <w:r>
              <w:rPr>
                <w:color w:val="005670"/>
              </w:rPr>
              <w:t>​</w:t>
            </w:r>
          </w:p>
          <w:p>
            <w:pPr>
              <w:pStyle w:val="TableContents"/>
              <w:bidi w:val="0"/>
              <w:spacing w:lineRule="auto" w:line="285" w:before="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56F"/>
              </w:rPr>
            </w:pPr>
            <w:r>
              <w:rPr>
                <w:color w:val="00556F"/>
              </w:rPr>
              <w:t>​</w:t>
            </w:r>
          </w:p>
        </w:tc>
        <w:tc>
          <w:tcPr>
            <w:tcW w:w="157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center"/>
              <w:rPr>
                <w:rFonts w:ascii="Arial;Helvetica;sans-serif" w:hAnsi="Arial;Helvetica;sans-serif"/>
                <w:sz w:val="18"/>
              </w:rPr>
            </w:pPr>
            <w:r>
              <w:rPr>
                <w:rFonts w:ascii="Arial;Helvetica;sans-serif" w:hAnsi="Arial;Helvetica;sans-serif"/>
                <w:sz w:val="18"/>
              </w:rPr>
              <w:t>P-44</w:t>
            </w:r>
          </w:p>
        </w:tc>
      </w:tr>
      <w:tr>
        <w:trPr/>
        <w:tc>
          <w:tcPr>
            <w:tcW w:w="84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center"/>
              <w:rPr>
                <w:rFonts w:ascii="Arial;Helvetica;sans-serif" w:hAnsi="Arial;Helvetica;sans-serif"/>
                <w:b/>
                <w:color w:val="005670"/>
                <w:sz w:val="28"/>
              </w:rPr>
            </w:pPr>
            <w:r>
              <w:rPr>
                <w:rFonts w:ascii="Arial;Helvetica;sans-serif" w:hAnsi="Arial;Helvetica;sans-serif"/>
                <w:b/>
                <w:color w:val="005670"/>
                <w:sz w:val="28"/>
              </w:rPr>
              <w:t>7</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38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left"/>
              <w:rPr>
                <w:rFonts w:ascii="Arial;Helvetica;sans-serif" w:hAnsi="Arial;Helvetica;sans-serif"/>
                <w:sz w:val="20"/>
              </w:rPr>
            </w:pPr>
            <w:r>
              <w:rPr>
                <w:rFonts w:ascii="Arial;Helvetica;sans-serif" w:hAnsi="Arial;Helvetica;sans-serif"/>
                <w:sz w:val="20"/>
              </w:rPr>
              <w:t>Election of the Members of the Compensation Committee, Each for a Term Extending Until Completion of the Next Annual General Meeting</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5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right"/>
              <w:rPr>
                <w:color w:val="005670"/>
              </w:rPr>
            </w:pPr>
            <w:r>
              <w:rPr>
                <w:color w:val="005670"/>
              </w:rPr>
              <w:t xml:space="preserve">✓ </w:t>
            </w:r>
          </w:p>
        </w:tc>
        <w:tc>
          <w:tcPr>
            <w:tcW w:w="1067"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color w:val="005670"/>
              </w:rPr>
            </w:pPr>
            <w:r>
              <w:rPr>
                <w:color w:val="005670"/>
              </w:rPr>
              <w:t>​</w:t>
            </w:r>
          </w:p>
          <w:p>
            <w:pPr>
              <w:pStyle w:val="TableContents"/>
              <w:bidi w:val="0"/>
              <w:spacing w:lineRule="auto" w:line="285" w:before="40" w:after="100"/>
              <w:ind w:left="0" w:right="0" w:hanging="0"/>
              <w:jc w:val="left"/>
              <w:rPr>
                <w:rFonts w:ascii="Arial;Helvetica;sans-serif" w:hAnsi="Arial;Helvetica;sans-serif"/>
                <w:sz w:val="20"/>
              </w:rPr>
            </w:pPr>
            <w:r>
              <w:rPr>
                <w:rFonts w:ascii="Arial;Helvetica;sans-serif" w:hAnsi="Arial;Helvetica;sans-serif"/>
                <w:b/>
                <w:color w:val="005670"/>
                <w:sz w:val="20"/>
              </w:rPr>
              <w:t>FOR</w:t>
              <w:br/>
            </w:r>
            <w:r>
              <w:rPr>
                <w:rFonts w:ascii="Arial;Helvetica;sans-serif" w:hAnsi="Arial;Helvetica;sans-serif"/>
                <w:color w:val="005670"/>
                <w:sz w:val="2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56F"/>
              </w:rPr>
            </w:pPr>
            <w:r>
              <w:rPr>
                <w:color w:val="00556F"/>
              </w:rPr>
              <w:t>​</w:t>
            </w:r>
          </w:p>
        </w:tc>
        <w:tc>
          <w:tcPr>
            <w:tcW w:w="157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center"/>
              <w:rPr>
                <w:rFonts w:ascii="Arial;Helvetica;sans-serif" w:hAnsi="Arial;Helvetica;sans-serif"/>
                <w:sz w:val="18"/>
              </w:rPr>
            </w:pPr>
            <w:r>
              <w:rPr>
                <w:rFonts w:ascii="Arial;Helvetica;sans-serif" w:hAnsi="Arial;Helvetica;sans-serif"/>
                <w:sz w:val="18"/>
              </w:rPr>
              <w:t>P-45</w:t>
            </w:r>
          </w:p>
        </w:tc>
      </w:tr>
      <w:tr>
        <w:trPr/>
        <w:tc>
          <w:tcPr>
            <w:tcW w:w="84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center"/>
              <w:rPr>
                <w:rFonts w:ascii="Arial;Helvetica;sans-serif" w:hAnsi="Arial;Helvetica;sans-serif"/>
                <w:b/>
                <w:color w:val="005670"/>
                <w:sz w:val="28"/>
              </w:rPr>
            </w:pPr>
            <w:r>
              <w:rPr>
                <w:rFonts w:ascii="Arial;Helvetica;sans-serif" w:hAnsi="Arial;Helvetica;sans-serif"/>
                <w:b/>
                <w:color w:val="005670"/>
                <w:sz w:val="28"/>
              </w:rPr>
              <w:t>8</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38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left"/>
              <w:rPr>
                <w:rFonts w:ascii="Arial;Helvetica;sans-serif" w:hAnsi="Arial;Helvetica;sans-serif"/>
                <w:sz w:val="20"/>
              </w:rPr>
            </w:pPr>
            <w:r>
              <w:rPr>
                <w:rFonts w:ascii="Arial;Helvetica;sans-serif" w:hAnsi="Arial;Helvetica;sans-serif"/>
                <w:sz w:val="20"/>
              </w:rPr>
              <w:t>Reelection of the Independent Proxy for a Term Extending Until Completion of the Next Annual General Meeting</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5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right"/>
              <w:rPr>
                <w:color w:val="005670"/>
              </w:rPr>
            </w:pPr>
            <w:r>
              <w:rPr>
                <w:color w:val="005670"/>
              </w:rPr>
              <w:t xml:space="preserve">✓ </w:t>
            </w:r>
          </w:p>
        </w:tc>
        <w:tc>
          <w:tcPr>
            <w:tcW w:w="1067"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color w:val="005670"/>
              </w:rPr>
            </w:pPr>
            <w:r>
              <w:rPr>
                <w:color w:val="005670"/>
              </w:rPr>
              <w:t>​</w:t>
            </w:r>
          </w:p>
          <w:p>
            <w:pPr>
              <w:pStyle w:val="TableContents"/>
              <w:bidi w:val="0"/>
              <w:spacing w:lineRule="auto" w:line="285" w:before="40" w:after="10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56F"/>
              </w:rPr>
            </w:pPr>
            <w:r>
              <w:rPr>
                <w:color w:val="00556F"/>
              </w:rPr>
              <w:t>​</w:t>
            </w:r>
          </w:p>
        </w:tc>
        <w:tc>
          <w:tcPr>
            <w:tcW w:w="157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center"/>
              <w:rPr>
                <w:rFonts w:ascii="Arial;Helvetica;sans-serif" w:hAnsi="Arial;Helvetica;sans-serif"/>
                <w:sz w:val="18"/>
              </w:rPr>
            </w:pPr>
            <w:r>
              <w:rPr>
                <w:rFonts w:ascii="Arial;Helvetica;sans-serif" w:hAnsi="Arial;Helvetica;sans-serif"/>
                <w:sz w:val="18"/>
              </w:rPr>
              <w:t>P-46</w:t>
            </w:r>
          </w:p>
        </w:tc>
      </w:tr>
      <w:tr>
        <w:trPr/>
        <w:tc>
          <w:tcPr>
            <w:tcW w:w="84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center"/>
              <w:rPr>
                <w:rFonts w:ascii="Arial;Helvetica;sans-serif" w:hAnsi="Arial;Helvetica;sans-serif"/>
                <w:b/>
                <w:color w:val="005670"/>
                <w:sz w:val="28"/>
              </w:rPr>
            </w:pPr>
            <w:r>
              <w:rPr>
                <w:rFonts w:ascii="Arial;Helvetica;sans-serif" w:hAnsi="Arial;Helvetica;sans-serif"/>
                <w:b/>
                <w:color w:val="005670"/>
                <w:sz w:val="28"/>
              </w:rPr>
              <w:t>9</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38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100"/>
              <w:ind w:left="0" w:right="0" w:hanging="0"/>
              <w:jc w:val="left"/>
              <w:rPr>
                <w:rFonts w:ascii="Arial;Helvetica;sans-serif" w:hAnsi="Arial;Helvetica;sans-serif"/>
                <w:sz w:val="20"/>
              </w:rPr>
            </w:pPr>
            <w:r>
              <w:rPr>
                <w:rFonts w:ascii="Arial;Helvetica;sans-serif" w:hAnsi="Arial;Helvetica;sans-serif"/>
                <w:sz w:val="20"/>
              </w:rPr>
              <w:t xml:space="preserve">Ratification of Ernst &amp; Young LLP as the Company’s Independent Registered Public Accounting Firm for Fiscal Year 2026 and Reelection of Ernst &amp; Young Ltd, </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5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80" w:after="100"/>
              <w:ind w:left="0" w:right="0" w:hanging="0"/>
              <w:jc w:val="right"/>
              <w:rPr>
                <w:color w:val="005670"/>
              </w:rPr>
            </w:pPr>
            <w:r>
              <w:rPr>
                <w:color w:val="005670"/>
              </w:rPr>
              <w:t xml:space="preserve">✓ </w:t>
            </w:r>
          </w:p>
        </w:tc>
        <w:tc>
          <w:tcPr>
            <w:tcW w:w="1067"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color w:val="005670"/>
              </w:rPr>
            </w:pPr>
            <w:r>
              <w:rPr>
                <w:color w:val="005670"/>
              </w:rPr>
              <w:t>​</w:t>
            </w:r>
          </w:p>
          <w:p>
            <w:pPr>
              <w:pStyle w:val="TableContents"/>
              <w:bidi w:val="0"/>
              <w:spacing w:lineRule="auto" w:line="285" w:before="280" w:after="10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56F"/>
              </w:rPr>
            </w:pPr>
            <w:r>
              <w:rPr>
                <w:color w:val="00556F"/>
              </w:rPr>
              <w:t>​</w:t>
            </w:r>
          </w:p>
        </w:tc>
        <w:tc>
          <w:tcPr>
            <w:tcW w:w="157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80" w:after="100"/>
              <w:ind w:left="0" w:right="0" w:hanging="0"/>
              <w:jc w:val="center"/>
              <w:rPr>
                <w:rFonts w:ascii="Arial;Helvetica;sans-serif" w:hAnsi="Arial;Helvetica;sans-serif"/>
                <w:sz w:val="18"/>
              </w:rPr>
            </w:pPr>
            <w:r>
              <w:rPr>
                <w:rFonts w:ascii="Arial;Helvetica;sans-serif" w:hAnsi="Arial;Helvetica;sans-serif"/>
                <w:sz w:val="18"/>
              </w:rPr>
              <w:t>P-47</w:t>
            </w:r>
          </w:p>
        </w:tc>
      </w:tr>
    </w:tbl>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0" w:name="_03d3971d_2ade_4a2b_940f_315f9158b2d2"/>
      <w:bookmarkStart w:id="11" w:name="_03d3971d_2ade_4a2b_940f_315f9158b2d2"/>
      <w:bookmarkEnd w:id="11"/>
    </w:p>
    <w:tbl>
      <w:tblPr>
        <w:tblW w:w="3005" w:type="dxa"/>
        <w:jc w:val="left"/>
        <w:tblInd w:w="0" w:type="dxa"/>
        <w:tblLayout w:type="fixed"/>
        <w:tblCellMar>
          <w:top w:w="0" w:type="dxa"/>
          <w:left w:w="0" w:type="dxa"/>
          <w:bottom w:w="0" w:type="dxa"/>
          <w:right w:w="0" w:type="dxa"/>
        </w:tblCellMar>
      </w:tblPr>
      <w:tblGrid>
        <w:gridCol w:w="2851"/>
        <w:gridCol w:w="154"/>
      </w:tblGrid>
      <w:tr>
        <w:trPr/>
        <w:tc>
          <w:tcPr>
            <w:tcW w:w="2851"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2851" w:type="dxa"/>
            <w:tcBorders>
              <w:top w:val="single" w:sz="2" w:space="0" w:color="000000"/>
              <w:left w:val="single" w:sz="2" w:space="0" w:color="000000"/>
              <w:bottom w:val="single" w:sz="12" w:space="0" w:color="D9D9D9"/>
            </w:tcBorders>
            <w:shd w:fill="005670" w:val="clear"/>
            <w:tcMar>
              <w:top w:w="28" w:type="dxa"/>
              <w:left w:w="103" w:type="dxa"/>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NOTICE TO SHAREHOLDERS</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28" w:type="dxa"/>
          <w:left w:w="0" w:type="dxa"/>
          <w:bottom w:w="28" w:type="dxa"/>
          <w:right w:w="0" w:type="dxa"/>
        </w:tblCellMar>
      </w:tblPr>
      <w:tblGrid>
        <w:gridCol w:w="451"/>
        <w:gridCol w:w="109"/>
        <w:gridCol w:w="8033"/>
        <w:gridCol w:w="109"/>
        <w:gridCol w:w="359"/>
        <w:gridCol w:w="511"/>
        <w:gridCol w:w="109"/>
        <w:gridCol w:w="524"/>
      </w:tblGrid>
      <w:tr>
        <w:trPr/>
        <w:tc>
          <w:tcPr>
            <w:tcW w:w="451" w:type="dxa"/>
            <w:tcBorders>
              <w:top w:val="single" w:sz="2" w:space="0" w:color="D9D9D9"/>
              <w:bottom w:val="single" w:sz="2" w:space="0" w:color="D9D9D9"/>
            </w:tcBorders>
            <w:vAlign w:val="center"/>
          </w:tcPr>
          <w:p>
            <w:pPr>
              <w:pStyle w:val="TableContents"/>
              <w:bidi w:val="0"/>
              <w:spacing w:before="0" w:after="283"/>
              <w:ind w:left="0" w:right="0" w:hanging="0"/>
              <w:jc w:val="left"/>
              <w:rPr>
                <w:sz w:val="4"/>
                <w:szCs w:val="4"/>
              </w:rPr>
            </w:pPr>
            <w:r>
              <w:rPr>
                <w:sz w:val="4"/>
                <w:szCs w:val="4"/>
              </w:rPr>
            </w:r>
          </w:p>
        </w:tc>
        <w:tc>
          <w:tcPr>
            <w:tcW w:w="109" w:type="dxa"/>
            <w:tcBorders>
              <w:top w:val="single" w:sz="2" w:space="0" w:color="D9D9D9"/>
              <w:bottom w:val="single" w:sz="2" w:space="0" w:color="D9D9D9"/>
            </w:tcBorders>
            <w:vAlign w:val="center"/>
          </w:tcPr>
          <w:p>
            <w:pPr>
              <w:pStyle w:val="TableContents"/>
              <w:bidi w:val="0"/>
              <w:spacing w:before="0" w:after="283"/>
              <w:ind w:left="0" w:right="0" w:hanging="0"/>
              <w:jc w:val="left"/>
              <w:rPr>
                <w:sz w:val="4"/>
                <w:szCs w:val="4"/>
              </w:rPr>
            </w:pPr>
            <w:r>
              <w:rPr>
                <w:sz w:val="4"/>
                <w:szCs w:val="4"/>
              </w:rPr>
            </w:r>
          </w:p>
        </w:tc>
        <w:tc>
          <w:tcPr>
            <w:tcW w:w="8033" w:type="dxa"/>
            <w:tcBorders>
              <w:top w:val="single" w:sz="2" w:space="0" w:color="D9D9D9"/>
              <w:bottom w:val="single" w:sz="2" w:space="0" w:color="D9D9D9"/>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Zurich, as the Company’s Auditor for a Further One-Year Term</w:t>
            </w:r>
          </w:p>
        </w:tc>
        <w:tc>
          <w:tcPr>
            <w:tcW w:w="109" w:type="dxa"/>
            <w:tcBorders>
              <w:top w:val="single" w:sz="2" w:space="0" w:color="D9D9D9"/>
              <w:bottom w:val="single" w:sz="2" w:space="0" w:color="D9D9D9"/>
            </w:tcBorders>
            <w:vAlign w:val="center"/>
          </w:tcPr>
          <w:p>
            <w:pPr>
              <w:pStyle w:val="TableContents"/>
              <w:bidi w:val="0"/>
              <w:spacing w:before="0" w:after="283"/>
              <w:ind w:left="0" w:right="0" w:hanging="0"/>
              <w:jc w:val="left"/>
              <w:rPr>
                <w:sz w:val="4"/>
                <w:szCs w:val="4"/>
              </w:rPr>
            </w:pPr>
            <w:r>
              <w:rPr>
                <w:sz w:val="4"/>
                <w:szCs w:val="4"/>
              </w:rPr>
            </w:r>
          </w:p>
        </w:tc>
        <w:tc>
          <w:tcPr>
            <w:tcW w:w="359" w:type="dxa"/>
            <w:tcBorders>
              <w:top w:val="single" w:sz="2" w:space="0" w:color="D9D9D9"/>
              <w:bottom w:val="single" w:sz="2" w:space="0" w:color="D9D9D9"/>
            </w:tcBorders>
            <w:vAlign w:val="center"/>
          </w:tcPr>
          <w:p>
            <w:pPr>
              <w:pStyle w:val="TableContents"/>
              <w:bidi w:val="0"/>
              <w:spacing w:before="0" w:after="283"/>
              <w:ind w:left="0" w:right="0" w:hanging="0"/>
              <w:jc w:val="left"/>
              <w:rPr>
                <w:sz w:val="4"/>
                <w:szCs w:val="4"/>
              </w:rPr>
            </w:pPr>
            <w:r>
              <w:rPr>
                <w:sz w:val="4"/>
                <w:szCs w:val="4"/>
              </w:rPr>
            </w:r>
          </w:p>
        </w:tc>
        <w:tc>
          <w:tcPr>
            <w:tcW w:w="511" w:type="dxa"/>
            <w:tcBorders>
              <w:top w:val="single" w:sz="2" w:space="0" w:color="D9D9D9"/>
              <w:bottom w:val="single" w:sz="2" w:space="0" w:color="D9D9D9"/>
            </w:tcBorders>
            <w:vAlign w:val="center"/>
          </w:tcPr>
          <w:p>
            <w:pPr>
              <w:pStyle w:val="TableContents"/>
              <w:bidi w:val="0"/>
              <w:spacing w:before="0" w:after="283"/>
              <w:ind w:left="0" w:right="0" w:hanging="0"/>
              <w:jc w:val="left"/>
              <w:rPr>
                <w:sz w:val="4"/>
                <w:szCs w:val="4"/>
              </w:rPr>
            </w:pPr>
            <w:r>
              <w:rPr>
                <w:sz w:val="4"/>
                <w:szCs w:val="4"/>
              </w:rPr>
            </w:r>
          </w:p>
        </w:tc>
        <w:tc>
          <w:tcPr>
            <w:tcW w:w="109" w:type="dxa"/>
            <w:tcBorders>
              <w:top w:val="single" w:sz="2" w:space="0" w:color="D9D9D9"/>
              <w:bottom w:val="single" w:sz="2" w:space="0" w:color="D9D9D9"/>
            </w:tcBorders>
            <w:vAlign w:val="center"/>
          </w:tcPr>
          <w:p>
            <w:pPr>
              <w:pStyle w:val="TableContents"/>
              <w:bidi w:val="0"/>
              <w:spacing w:before="0" w:after="283"/>
              <w:ind w:left="0" w:right="0" w:hanging="0"/>
              <w:jc w:val="left"/>
              <w:rPr>
                <w:sz w:val="4"/>
                <w:szCs w:val="4"/>
              </w:rPr>
            </w:pPr>
            <w:r>
              <w:rPr>
                <w:sz w:val="4"/>
                <w:szCs w:val="4"/>
              </w:rPr>
            </w:r>
          </w:p>
        </w:tc>
        <w:tc>
          <w:tcPr>
            <w:tcW w:w="524" w:type="dxa"/>
            <w:tcBorders>
              <w:top w:val="single" w:sz="2" w:space="0" w:color="D9D9D9"/>
              <w:bottom w:val="single" w:sz="2" w:space="0" w:color="D9D9D9"/>
            </w:tcBorders>
            <w:vAlign w:val="center"/>
          </w:tcPr>
          <w:p>
            <w:pPr>
              <w:pStyle w:val="TableContents"/>
              <w:bidi w:val="0"/>
              <w:spacing w:before="0" w:after="283"/>
              <w:ind w:left="0" w:right="0" w:hanging="0"/>
              <w:jc w:val="left"/>
              <w:rPr>
                <w:sz w:val="4"/>
                <w:szCs w:val="4"/>
              </w:rPr>
            </w:pPr>
            <w:r>
              <w:rPr>
                <w:sz w:val="4"/>
                <w:szCs w:val="4"/>
              </w:rPr>
            </w:r>
          </w:p>
        </w:tc>
      </w:tr>
      <w:tr>
        <w:trPr/>
        <w:tc>
          <w:tcPr>
            <w:tcW w:w="451" w:type="dxa"/>
            <w:tcBorders>
              <w:top w:val="single" w:sz="2" w:space="0" w:color="D9D9D9"/>
              <w:bottom w:val="single" w:sz="2" w:space="0" w:color="D9D9D9"/>
            </w:tcBorders>
            <w:vAlign w:val="center"/>
          </w:tcPr>
          <w:p>
            <w:pPr>
              <w:pStyle w:val="TableContents"/>
              <w:bidi w:val="0"/>
              <w:spacing w:lineRule="auto" w:line="285" w:before="40" w:after="100"/>
              <w:ind w:left="0" w:right="0" w:hanging="0"/>
              <w:jc w:val="center"/>
              <w:rPr>
                <w:rFonts w:ascii="Arial;Helvetica;sans-serif" w:hAnsi="Arial;Helvetica;sans-serif"/>
                <w:b/>
                <w:color w:val="005670"/>
                <w:sz w:val="28"/>
              </w:rPr>
            </w:pPr>
            <w:r>
              <w:rPr>
                <w:rFonts w:ascii="Arial;Helvetica;sans-serif" w:hAnsi="Arial;Helvetica;sans-serif"/>
                <w:b/>
                <w:color w:val="005670"/>
                <w:sz w:val="28"/>
              </w:rPr>
              <w:t>10</w:t>
            </w:r>
          </w:p>
        </w:tc>
        <w:tc>
          <w:tcPr>
            <w:tcW w:w="109" w:type="dxa"/>
            <w:tcBorders>
              <w:top w:val="single" w:sz="2" w:space="0" w:color="D9D9D9"/>
              <w:bottom w:val="single" w:sz="2" w:space="0" w:color="D9D9D9"/>
            </w:tcBorders>
            <w:vAlign w:val="center"/>
          </w:tcPr>
          <w:p>
            <w:pPr>
              <w:pStyle w:val="TableContents"/>
              <w:bidi w:val="0"/>
              <w:spacing w:lineRule="auto" w:line="285" w:before="0" w:after="0"/>
              <w:ind w:left="0" w:right="0" w:hanging="0"/>
              <w:jc w:val="both"/>
              <w:rPr/>
            </w:pPr>
            <w:r>
              <w:rPr/>
              <w:t>​</w:t>
            </w:r>
          </w:p>
        </w:tc>
        <w:tc>
          <w:tcPr>
            <w:tcW w:w="8033" w:type="dxa"/>
            <w:tcBorders>
              <w:top w:val="single" w:sz="2" w:space="0" w:color="D9D9D9"/>
              <w:bottom w:val="single" w:sz="2" w:space="0" w:color="D9D9D9"/>
            </w:tcBorders>
            <w:vAlign w:val="center"/>
          </w:tcPr>
          <w:p>
            <w:pPr>
              <w:pStyle w:val="TableContents"/>
              <w:bidi w:val="0"/>
              <w:spacing w:lineRule="auto" w:line="285" w:before="40" w:after="100"/>
              <w:ind w:left="0" w:right="0" w:hanging="0"/>
              <w:jc w:val="left"/>
              <w:rPr>
                <w:rFonts w:ascii="Arial;Helvetica;sans-serif" w:hAnsi="Arial;Helvetica;sans-serif"/>
                <w:sz w:val="20"/>
              </w:rPr>
            </w:pPr>
            <w:r>
              <w:rPr>
                <w:rFonts w:ascii="Arial;Helvetica;sans-serif" w:hAnsi="Arial;Helvetica;sans-serif"/>
                <w:sz w:val="20"/>
              </w:rPr>
              <w:t>Advisory Vote to Approve Named Executive Officer Compensation for Fiscal Year 2026</w:t>
            </w:r>
          </w:p>
        </w:tc>
        <w:tc>
          <w:tcPr>
            <w:tcW w:w="109" w:type="dxa"/>
            <w:tcBorders>
              <w:top w:val="single" w:sz="2" w:space="0" w:color="D9D9D9"/>
              <w:bottom w:val="single" w:sz="2" w:space="0" w:color="D9D9D9"/>
            </w:tcBorders>
            <w:vAlign w:val="center"/>
          </w:tcPr>
          <w:p>
            <w:pPr>
              <w:pStyle w:val="TableContents"/>
              <w:bidi w:val="0"/>
              <w:spacing w:lineRule="auto" w:line="285" w:before="0" w:after="0"/>
              <w:ind w:left="0" w:right="0" w:hanging="0"/>
              <w:jc w:val="both"/>
              <w:rPr/>
            </w:pPr>
            <w:r>
              <w:rPr/>
              <w:t>​</w:t>
            </w:r>
          </w:p>
        </w:tc>
        <w:tc>
          <w:tcPr>
            <w:tcW w:w="359" w:type="dxa"/>
            <w:tcBorders>
              <w:top w:val="single" w:sz="2" w:space="0" w:color="D9D9D9"/>
              <w:bottom w:val="single" w:sz="2" w:space="0" w:color="D9D9D9"/>
            </w:tcBorders>
            <w:vAlign w:val="center"/>
          </w:tcPr>
          <w:p>
            <w:pPr>
              <w:pStyle w:val="TableContents"/>
              <w:bidi w:val="0"/>
              <w:spacing w:lineRule="auto" w:line="285" w:before="40" w:after="100"/>
              <w:ind w:left="0" w:right="0" w:hanging="0"/>
              <w:jc w:val="right"/>
              <w:rPr>
                <w:color w:val="005670"/>
              </w:rPr>
            </w:pPr>
            <w:r>
              <w:rPr>
                <w:color w:val="005670"/>
              </w:rPr>
              <w:t xml:space="preserve">✓ </w:t>
            </w:r>
          </w:p>
        </w:tc>
        <w:tc>
          <w:tcPr>
            <w:tcW w:w="511" w:type="dxa"/>
            <w:tcBorders>
              <w:top w:val="single" w:sz="2" w:space="0" w:color="D9D9D9"/>
              <w:bottom w:val="single" w:sz="2" w:space="0" w:color="D9D9D9"/>
            </w:tcBorders>
            <w:vAlign w:val="center"/>
          </w:tcPr>
          <w:p>
            <w:pPr>
              <w:pStyle w:val="TableContents"/>
              <w:bidi w:val="0"/>
              <w:spacing w:lineRule="auto" w:line="285" w:before="0" w:after="0"/>
              <w:ind w:left="0" w:right="0" w:hanging="0"/>
              <w:jc w:val="left"/>
              <w:rPr>
                <w:color w:val="005670"/>
              </w:rPr>
            </w:pPr>
            <w:r>
              <w:rPr>
                <w:color w:val="005670"/>
              </w:rPr>
              <w:t>​</w:t>
            </w:r>
          </w:p>
          <w:p>
            <w:pPr>
              <w:pStyle w:val="TableContents"/>
              <w:bidi w:val="0"/>
              <w:spacing w:lineRule="auto" w:line="285" w:before="40" w:after="10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c>
          <w:tcPr>
            <w:tcW w:w="109" w:type="dxa"/>
            <w:tcBorders>
              <w:top w:val="single" w:sz="2" w:space="0" w:color="D9D9D9"/>
              <w:bottom w:val="single" w:sz="2" w:space="0" w:color="D9D9D9"/>
            </w:tcBorders>
            <w:vAlign w:val="center"/>
          </w:tcPr>
          <w:p>
            <w:pPr>
              <w:pStyle w:val="TableContents"/>
              <w:bidi w:val="0"/>
              <w:spacing w:lineRule="auto" w:line="285" w:before="0" w:after="0"/>
              <w:ind w:left="0" w:right="0" w:hanging="0"/>
              <w:jc w:val="center"/>
              <w:rPr>
                <w:color w:val="00556F"/>
              </w:rPr>
            </w:pPr>
            <w:r>
              <w:rPr>
                <w:color w:val="00556F"/>
              </w:rPr>
              <w:t>​</w:t>
            </w:r>
          </w:p>
        </w:tc>
        <w:tc>
          <w:tcPr>
            <w:tcW w:w="524" w:type="dxa"/>
            <w:tcBorders>
              <w:top w:val="single" w:sz="2" w:space="0" w:color="D9D9D9"/>
              <w:bottom w:val="single" w:sz="2" w:space="0" w:color="D9D9D9"/>
            </w:tcBorders>
            <w:vAlign w:val="center"/>
          </w:tcPr>
          <w:p>
            <w:pPr>
              <w:pStyle w:val="TableContents"/>
              <w:bidi w:val="0"/>
              <w:spacing w:lineRule="auto" w:line="285" w:before="40" w:after="100"/>
              <w:ind w:left="0" w:right="0" w:hanging="0"/>
              <w:jc w:val="center"/>
              <w:rPr>
                <w:rFonts w:ascii="Arial;Helvetica;sans-serif" w:hAnsi="Arial;Helvetica;sans-serif"/>
                <w:sz w:val="18"/>
              </w:rPr>
            </w:pPr>
            <w:r>
              <w:rPr>
                <w:rFonts w:ascii="Arial;Helvetica;sans-serif" w:hAnsi="Arial;Helvetica;sans-serif"/>
                <w:sz w:val="18"/>
              </w:rPr>
              <w:t>P-49</w:t>
            </w:r>
          </w:p>
        </w:tc>
      </w:tr>
      <w:tr>
        <w:trPr/>
        <w:tc>
          <w:tcPr>
            <w:tcW w:w="451" w:type="dxa"/>
            <w:tcBorders>
              <w:top w:val="single" w:sz="2" w:space="0" w:color="D9D9D9"/>
              <w:bottom w:val="single" w:sz="12" w:space="0" w:color="ECA44A"/>
            </w:tcBorders>
            <w:vAlign w:val="center"/>
          </w:tcPr>
          <w:p>
            <w:pPr>
              <w:pStyle w:val="TableContents"/>
              <w:bidi w:val="0"/>
              <w:spacing w:lineRule="auto" w:line="285" w:before="40" w:after="20"/>
              <w:ind w:left="0" w:right="0" w:hanging="0"/>
              <w:jc w:val="center"/>
              <w:rPr>
                <w:rFonts w:ascii="Arial;Helvetica;sans-serif" w:hAnsi="Arial;Helvetica;sans-serif"/>
                <w:b/>
                <w:color w:val="005670"/>
                <w:sz w:val="28"/>
              </w:rPr>
            </w:pPr>
            <w:r>
              <w:rPr>
                <w:rFonts w:ascii="Arial;Helvetica;sans-serif" w:hAnsi="Arial;Helvetica;sans-serif"/>
                <w:b/>
                <w:color w:val="005670"/>
                <w:sz w:val="28"/>
              </w:rPr>
              <w:t>11</w:t>
            </w:r>
          </w:p>
        </w:tc>
        <w:tc>
          <w:tcPr>
            <w:tcW w:w="109" w:type="dxa"/>
            <w:tcBorders>
              <w:top w:val="single" w:sz="2" w:space="0" w:color="D9D9D9"/>
              <w:bottom w:val="single" w:sz="12" w:space="0" w:color="ECA44A"/>
            </w:tcBorders>
            <w:vAlign w:val="center"/>
          </w:tcPr>
          <w:p>
            <w:pPr>
              <w:pStyle w:val="TableContents"/>
              <w:bidi w:val="0"/>
              <w:spacing w:lineRule="auto" w:line="285" w:before="0" w:after="0"/>
              <w:ind w:left="0" w:right="0" w:hanging="0"/>
              <w:jc w:val="both"/>
              <w:rPr/>
            </w:pPr>
            <w:r>
              <w:rPr/>
              <w:t>​</w:t>
            </w:r>
          </w:p>
        </w:tc>
        <w:tc>
          <w:tcPr>
            <w:tcW w:w="8033" w:type="dxa"/>
            <w:tcBorders>
              <w:top w:val="single" w:sz="2" w:space="0" w:color="D9D9D9"/>
              <w:bottom w:val="single" w:sz="12" w:space="0" w:color="ECA44A"/>
            </w:tcBorders>
            <w:vAlign w:val="center"/>
          </w:tcPr>
          <w:p>
            <w:pPr>
              <w:pStyle w:val="TableContents"/>
              <w:bidi w:val="0"/>
              <w:spacing w:lineRule="auto" w:line="285" w:before="40" w:after="100"/>
              <w:ind w:left="0" w:right="0" w:hanging="0"/>
              <w:jc w:val="left"/>
              <w:rPr>
                <w:rFonts w:ascii="Arial;Helvetica;sans-serif" w:hAnsi="Arial;Helvetica;sans-serif"/>
                <w:sz w:val="20"/>
              </w:rPr>
            </w:pPr>
            <w:r>
              <w:rPr>
                <w:rFonts w:ascii="Arial;Helvetica;sans-serif" w:hAnsi="Arial;Helvetica;sans-serif"/>
                <w:sz w:val="20"/>
              </w:rPr>
              <w:t>Prospective Vote on the Maximum Compensation of (A) the Board of Directors and (B) the Executive Management Team</w:t>
            </w:r>
          </w:p>
        </w:tc>
        <w:tc>
          <w:tcPr>
            <w:tcW w:w="109" w:type="dxa"/>
            <w:tcBorders>
              <w:top w:val="single" w:sz="2" w:space="0" w:color="D9D9D9"/>
              <w:bottom w:val="single" w:sz="12" w:space="0" w:color="ECA44A"/>
            </w:tcBorders>
            <w:vAlign w:val="center"/>
          </w:tcPr>
          <w:p>
            <w:pPr>
              <w:pStyle w:val="TableContents"/>
              <w:bidi w:val="0"/>
              <w:spacing w:lineRule="auto" w:line="285" w:before="0" w:after="0"/>
              <w:ind w:left="0" w:right="0" w:hanging="0"/>
              <w:jc w:val="both"/>
              <w:rPr/>
            </w:pPr>
            <w:r>
              <w:rPr/>
              <w:t>​</w:t>
            </w:r>
          </w:p>
        </w:tc>
        <w:tc>
          <w:tcPr>
            <w:tcW w:w="359" w:type="dxa"/>
            <w:tcBorders>
              <w:top w:val="single" w:sz="2" w:space="0" w:color="D9D9D9"/>
              <w:bottom w:val="single" w:sz="12" w:space="0" w:color="ECA44A"/>
            </w:tcBorders>
            <w:vAlign w:val="center"/>
          </w:tcPr>
          <w:p>
            <w:pPr>
              <w:pStyle w:val="TableContents"/>
              <w:bidi w:val="0"/>
              <w:spacing w:lineRule="auto" w:line="285" w:before="40" w:after="20"/>
              <w:ind w:left="0" w:right="0" w:hanging="0"/>
              <w:jc w:val="right"/>
              <w:rPr>
                <w:color w:val="005670"/>
              </w:rPr>
            </w:pPr>
            <w:r>
              <w:rPr>
                <w:color w:val="005670"/>
              </w:rPr>
              <w:t xml:space="preserve">✓ </w:t>
            </w:r>
          </w:p>
        </w:tc>
        <w:tc>
          <w:tcPr>
            <w:tcW w:w="511" w:type="dxa"/>
            <w:tcBorders>
              <w:top w:val="single" w:sz="2" w:space="0" w:color="D9D9D9"/>
              <w:bottom w:val="single" w:sz="12" w:space="0" w:color="ECA44A"/>
            </w:tcBorders>
            <w:vAlign w:val="center"/>
          </w:tcPr>
          <w:p>
            <w:pPr>
              <w:pStyle w:val="TableContents"/>
              <w:bidi w:val="0"/>
              <w:spacing w:lineRule="auto" w:line="285" w:before="0" w:after="0"/>
              <w:ind w:left="0" w:right="0" w:hanging="0"/>
              <w:jc w:val="left"/>
              <w:rPr>
                <w:color w:val="005670"/>
              </w:rPr>
            </w:pPr>
            <w:r>
              <w:rPr>
                <w:color w:val="005670"/>
              </w:rPr>
              <w:t>​</w:t>
            </w:r>
          </w:p>
          <w:p>
            <w:pPr>
              <w:pStyle w:val="TableContents"/>
              <w:bidi w:val="0"/>
              <w:spacing w:lineRule="auto" w:line="285" w:before="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c>
          <w:tcPr>
            <w:tcW w:w="109" w:type="dxa"/>
            <w:tcBorders>
              <w:top w:val="single" w:sz="2" w:space="0" w:color="D9D9D9"/>
              <w:bottom w:val="single" w:sz="12" w:space="0" w:color="ECA44A"/>
            </w:tcBorders>
            <w:vAlign w:val="center"/>
          </w:tcPr>
          <w:p>
            <w:pPr>
              <w:pStyle w:val="TableContents"/>
              <w:bidi w:val="0"/>
              <w:spacing w:lineRule="auto" w:line="285" w:before="0" w:after="0"/>
              <w:ind w:left="0" w:right="0" w:hanging="0"/>
              <w:jc w:val="center"/>
              <w:rPr>
                <w:color w:val="00556F"/>
              </w:rPr>
            </w:pPr>
            <w:r>
              <w:rPr>
                <w:color w:val="00556F"/>
              </w:rPr>
              <w:t>​</w:t>
            </w:r>
          </w:p>
        </w:tc>
        <w:tc>
          <w:tcPr>
            <w:tcW w:w="524" w:type="dxa"/>
            <w:tcBorders>
              <w:top w:val="single" w:sz="2" w:space="0" w:color="D9D9D9"/>
              <w:bottom w:val="single" w:sz="12" w:space="0" w:color="ECA44A"/>
            </w:tcBorders>
            <w:vAlign w:val="center"/>
          </w:tcPr>
          <w:p>
            <w:pPr>
              <w:pStyle w:val="TableContents"/>
              <w:bidi w:val="0"/>
              <w:spacing w:lineRule="auto" w:line="285" w:before="40" w:after="20"/>
              <w:ind w:left="0" w:right="0" w:hanging="0"/>
              <w:jc w:val="center"/>
              <w:rPr>
                <w:rFonts w:ascii="Arial;Helvetica;sans-serif" w:hAnsi="Arial;Helvetica;sans-serif"/>
                <w:sz w:val="18"/>
              </w:rPr>
            </w:pPr>
            <w:r>
              <w:rPr>
                <w:rFonts w:ascii="Arial;Helvetica;sans-serif" w:hAnsi="Arial;Helvetica;sans-serif"/>
                <w:sz w:val="18"/>
              </w:rPr>
              <w:t xml:space="preserve">P-51 </w:t>
            </w:r>
          </w:p>
        </w:tc>
      </w:tr>
    </w:tbl>
    <w:p>
      <w:pPr>
        <w:pStyle w:val="TextBody"/>
        <w:bidi w:val="0"/>
        <w:spacing w:lineRule="auto" w:line="285" w:before="100" w:after="140"/>
        <w:ind w:left="0" w:right="0" w:hanging="0"/>
        <w:jc w:val="both"/>
        <w:rPr>
          <w:rFonts w:ascii="Arial;Helvetica;sans-serif" w:hAnsi="Arial;Helvetica;sans-serif"/>
          <w:sz w:val="20"/>
        </w:rPr>
      </w:pPr>
      <w:r>
        <w:rPr>
          <w:rFonts w:ascii="Arial;Helvetica;sans-serif" w:hAnsi="Arial;Helvetica;sans-serif"/>
          <w:sz w:val="20"/>
        </w:rPr>
        <w:t>It is important that your shares be represented and voted at the meeting. If you are a shareholder registered in our share register, you may submit voting instructions electronically over the internet, by telephone or, if you request that the proxy materials be mailed to you, by completing, signing and returning the proxy card enclosed with those materials. If you hold your shares in the name of a bank, broker or other nominee, please follow the instructions provided by your bank, broker or nominee for submitting voting instructions, including whether you may submit voting instructions by mail, telephone or over the internet.</w:t>
      </w:r>
    </w:p>
    <w:p>
      <w:pPr>
        <w:pStyle w:val="TextBody"/>
        <w:bidi w:val="0"/>
        <w:spacing w:lineRule="auto" w:line="285" w:before="100" w:after="140"/>
        <w:ind w:left="0" w:right="0" w:hanging="0"/>
        <w:jc w:val="both"/>
        <w:rPr>
          <w:rFonts w:ascii="Arial;Helvetica;sans-serif" w:hAnsi="Arial;Helvetica;sans-serif"/>
          <w:sz w:val="20"/>
        </w:rPr>
      </w:pPr>
      <w:r>
        <w:rPr>
          <w:rFonts w:ascii="Arial;Helvetica;sans-serif" w:hAnsi="Arial;Helvetica;sans-serif"/>
          <w:sz w:val="20"/>
        </w:rPr>
        <w:t>Under rules of the U.S. Securities and Exchange Commission (“SEC”), we have elected to provide access to our proxy materials over the internet. Accordingly, we are sending a Notice of Internet Availability of Proxy Materials (the “Notice”) to our shareholders as of the close of business on [ ], 2026. All shareholders will have the ability to access the proxy materials on the website referred to in the Notice or to request to receive a printed set of the proxy materials. Instructions on how to access the proxy materials over the internet or to request a printed copy may be found in the Notice. The Notice also provides instructions on how to submit your proxy over the internet, by telephone or via mail. If you receive the Notice, you will not receive a printed copy of the proxy materials unless you request one in the manner set forth in the Notice or as otherwise described in the proxy statement.</w:t>
      </w:r>
    </w:p>
    <w:p>
      <w:pPr>
        <w:pStyle w:val="TextBody"/>
        <w:bidi w:val="0"/>
        <w:spacing w:lineRule="auto" w:line="285" w:before="100" w:after="140"/>
        <w:ind w:left="0" w:right="0" w:hanging="0"/>
        <w:jc w:val="both"/>
        <w:rPr>
          <w:rFonts w:ascii="Arial;Helvetica;sans-serif" w:hAnsi="Arial;Helvetica;sans-serif"/>
          <w:sz w:val="20"/>
        </w:rPr>
      </w:pPr>
      <w:r>
        <w:rPr>
          <w:rFonts w:ascii="Arial;Helvetica;sans-serif" w:hAnsi="Arial;Helvetica;sans-serif"/>
          <w:sz w:val="20"/>
        </w:rPr>
        <w:t>A copy of the proxy materials, including a proxy card or voting instruction form, will also be sent to any additional shareholders who are registered in our share register as shareholders with voting rights, or who become beneficial owners through a nominee registered in our share register as a shareholder with voting rights, as of the close of business on May 4, 2026, but who were not registered as of March 25, 2026. The Notice or proxy statement and form of proxy, as appropriate, are first being mailed or sent, as appropriate, to shareholders on or about [ ], 2026.</w:t>
      </w:r>
    </w:p>
    <w:p>
      <w:pPr>
        <w:pStyle w:val="TextBody"/>
        <w:bidi w:val="0"/>
        <w:spacing w:lineRule="auto" w:line="285" w:before="100" w:after="140"/>
        <w:ind w:left="0" w:right="0" w:hanging="0"/>
        <w:jc w:val="both"/>
        <w:rPr>
          <w:rFonts w:ascii="Arial;Helvetica;sans-serif" w:hAnsi="Arial;Helvetica;sans-serif"/>
          <w:sz w:val="20"/>
        </w:rPr>
      </w:pPr>
      <w:r>
        <w:rPr>
          <w:rFonts w:ascii="Arial;Helvetica;sans-serif" w:hAnsi="Arial;Helvetica;sans-serif"/>
          <w:sz w:val="20"/>
        </w:rPr>
        <w:t xml:space="preserve">A note to Swiss and other European investors: Transocean Ltd. is incorporated in Switzerland, has issued registered shares and trades on the New York Stock Exchange (“NYSE”); however, unlike some Swiss incorporated companies, </w:t>
      </w:r>
      <w:r>
        <w:rPr>
          <w:rFonts w:ascii="Arial;Helvetica;sans-serif" w:hAnsi="Arial;Helvetica;sans-serif"/>
          <w:b/>
          <w:i/>
          <w:sz w:val="20"/>
        </w:rPr>
        <w:t>share blocking and re-registration are not requirements for any shares of Transocean Ltd. to be voted at the meeting, and all shares may be traded after the record date</w:t>
      </w:r>
      <w:r>
        <w:rPr>
          <w:rFonts w:ascii="Arial;Helvetica;sans-serif" w:hAnsi="Arial;Helvetica;sans-serif"/>
          <w:sz w:val="20"/>
        </w:rPr>
        <w:t>.</w:t>
      </w:r>
    </w:p>
    <w:p>
      <w:pPr>
        <w:pStyle w:val="TextBody"/>
        <w:bidi w:val="0"/>
        <w:spacing w:lineRule="auto" w:line="285" w:before="0" w:after="140"/>
        <w:ind w:left="0" w:right="0" w:hanging="0"/>
        <w:jc w:val="both"/>
        <w:rPr>
          <w:rFonts w:ascii="Arial;Helvetica;sans-serif" w:hAnsi="Arial;Helvetica;sans-serif"/>
          <w:sz w:val="20"/>
        </w:rPr>
      </w:pPr>
      <w:r>
        <w:rPr>
          <w:rFonts w:ascii="Arial;Helvetica;sans-serif" w:hAnsi="Arial;Helvetica;sans-serif"/>
          <w:sz w:val="20"/>
        </w:rPr>
        <w:t>Thank you in advance for your vote.</w:t>
      </w:r>
    </w:p>
    <w:p>
      <w:pPr>
        <w:pStyle w:val="TextBody"/>
        <w:bidi w:val="0"/>
        <w:spacing w:lineRule="auto" w:line="285" w:before="0" w:after="140"/>
        <w:ind w:left="0" w:right="0" w:hanging="0"/>
        <w:jc w:val="both"/>
        <w:rPr>
          <w:rFonts w:ascii="Arial;Helvetica;sans-serif" w:hAnsi="Arial;Helvetica;sans-serif"/>
          <w:i/>
          <w:sz w:val="20"/>
        </w:rPr>
      </w:pPr>
      <w:r>
        <w:rPr>
          <w:rFonts w:ascii="Arial;Helvetica;sans-serif" w:hAnsi="Arial;Helvetica;sans-serif"/>
          <w:i/>
          <w:sz w:val="20"/>
        </w:rPr>
        <w:t>Sincerely,</w:t>
      </w:r>
    </w:p>
    <w:p>
      <w:pPr>
        <w:pStyle w:val="TextBody"/>
        <w:bidi w:val="0"/>
        <w:spacing w:lineRule="auto" w:line="285" w:before="0" w:after="200"/>
        <w:ind w:left="0" w:right="0" w:hanging="0"/>
        <w:jc w:val="both"/>
        <w:rPr/>
      </w:pPr>
      <w:r>
        <w:rPr/>
        <w:t>​</w:t>
      </w:r>
    </w:p>
    <w:tbl>
      <w:tblPr>
        <w:tblW w:w="8822" w:type="dxa"/>
        <w:jc w:val="left"/>
        <w:tblInd w:w="0" w:type="dxa"/>
        <w:tblLayout w:type="fixed"/>
        <w:tblCellMar>
          <w:top w:w="0" w:type="dxa"/>
          <w:left w:w="0" w:type="dxa"/>
          <w:bottom w:w="0" w:type="dxa"/>
          <w:right w:w="0" w:type="dxa"/>
        </w:tblCellMar>
      </w:tblPr>
      <w:tblGrid>
        <w:gridCol w:w="1368"/>
        <w:gridCol w:w="109"/>
        <w:gridCol w:w="3391"/>
        <w:gridCol w:w="1353"/>
        <w:gridCol w:w="346"/>
        <w:gridCol w:w="109"/>
        <w:gridCol w:w="2146"/>
      </w:tblGrid>
      <w:tr>
        <w:trPr/>
        <w:tc>
          <w:tcPr>
            <w:tcW w:w="1368"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3391" w:type="dxa"/>
            <w:tcBorders/>
            <w:vAlign w:val="center"/>
          </w:tcPr>
          <w:p>
            <w:pPr>
              <w:pStyle w:val="TableContents"/>
              <w:bidi w:val="0"/>
              <w:spacing w:lineRule="auto" w:line="285" w:before="0" w:after="0"/>
              <w:ind w:left="0" w:right="0" w:hanging="0"/>
              <w:jc w:val="both"/>
              <w:rPr/>
            </w:pPr>
            <w:r>
              <w:rPr/>
              <w:t>​</w:t>
            </w:r>
          </w:p>
        </w:tc>
        <w:tc>
          <w:tcPr>
            <w:tcW w:w="1353"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21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68" w:type="dxa"/>
            <w:vMerge w:val="restart"/>
            <w:tcBorders/>
            <w:vAlign w:val="center"/>
          </w:tcPr>
          <w:p>
            <w:pPr>
              <w:pStyle w:val="TableContents"/>
              <w:bidi w:val="0"/>
              <w:spacing w:lineRule="auto" w:line="285" w:before="0" w:after="0"/>
              <w:ind w:left="0" w:right="0" w:hanging="0"/>
              <w:jc w:val="center"/>
              <w:rPr>
                <w:caps w:val="false"/>
                <w:smallCaps w:val="false"/>
                <w:color w:val="000000"/>
              </w:rPr>
            </w:pPr>
            <w:r>
              <w:rPr>
                <w:caps w:val="false"/>
                <w:smallCaps w:val="false"/>
                <w:color w:val="000000"/>
              </w:rPr>
              <w:drawing>
                <wp:inline distT="0" distB="0" distL="0" distR="0">
                  <wp:extent cx="804545" cy="106997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804545" cy="1069975"/>
                          </a:xfrm>
                          <a:prstGeom prst="rect">
                            <a:avLst/>
                          </a:prstGeom>
                        </pic:spPr>
                      </pic:pic>
                    </a:graphicData>
                  </a:graphic>
                </wp:inline>
              </w:drawing>
            </w:r>
          </w:p>
        </w:tc>
        <w:tc>
          <w:tcPr>
            <w:tcW w:w="109" w:type="dxa"/>
            <w:tcBorders/>
            <w:vAlign w:val="center"/>
          </w:tcPr>
          <w:p>
            <w:pPr>
              <w:pStyle w:val="TableContents"/>
              <w:pBdr/>
              <w:bidi w:val="0"/>
              <w:spacing w:lineRule="auto" w:line="285" w:before="0" w:after="200"/>
              <w:ind w:left="0" w:right="0" w:hanging="0"/>
              <w:jc w:val="left"/>
              <w:rPr/>
            </w:pPr>
            <w:r>
              <w:rPr/>
              <w:t>​</w:t>
            </w:r>
          </w:p>
        </w:tc>
        <w:tc>
          <w:tcPr>
            <w:tcW w:w="3391" w:type="dxa"/>
            <w:tcBorders/>
            <w:vAlign w:val="center"/>
          </w:tcPr>
          <w:p>
            <w:pPr>
              <w:pStyle w:val="TableContents"/>
              <w:pBdr/>
              <w:bidi w:val="0"/>
              <w:spacing w:lineRule="auto" w:line="285" w:before="0" w:after="200"/>
              <w:ind w:left="0" w:right="0" w:hanging="0"/>
              <w:jc w:val="left"/>
              <w:rPr/>
            </w:pPr>
            <w:r>
              <w:rPr/>
              <w:t>​</w:t>
            </w:r>
          </w:p>
        </w:tc>
        <w:tc>
          <w:tcPr>
            <w:tcW w:w="1353" w:type="dxa"/>
            <w:vMerge w:val="restart"/>
            <w:tcBorders/>
            <w:vAlign w:val="center"/>
          </w:tcPr>
          <w:p>
            <w:pPr>
              <w:pStyle w:val="TableContents"/>
              <w:pBdr/>
              <w:bidi w:val="0"/>
              <w:spacing w:lineRule="auto" w:line="285" w:before="0" w:after="0"/>
              <w:ind w:left="0" w:right="0" w:hanging="0"/>
              <w:jc w:val="center"/>
              <w:rPr>
                <w:caps w:val="false"/>
                <w:smallCaps w:val="false"/>
                <w:color w:val="000000"/>
              </w:rPr>
            </w:pPr>
            <w:r>
              <w:rPr>
                <w:caps w:val="false"/>
                <w:smallCaps w:val="false"/>
                <w:color w:val="000000"/>
              </w:rPr>
              <w:drawing>
                <wp:inline distT="0" distB="0" distL="0" distR="0">
                  <wp:extent cx="804545" cy="1066800"/>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804545" cy="1066800"/>
                          </a:xfrm>
                          <a:prstGeom prst="rect">
                            <a:avLst/>
                          </a:prstGeom>
                        </pic:spPr>
                      </pic:pic>
                    </a:graphicData>
                  </a:graphic>
                </wp:inline>
              </w:drawing>
            </w:r>
          </w:p>
        </w:tc>
        <w:tc>
          <w:tcPr>
            <w:tcW w:w="346" w:type="dxa"/>
            <w:tcBorders/>
            <w:vAlign w:val="center"/>
          </w:tcPr>
          <w:p>
            <w:pPr>
              <w:pStyle w:val="TableContents"/>
              <w:bidi w:val="0"/>
              <w:spacing w:lineRule="auto" w:line="285" w:before="0" w:after="20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21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68" w:type="dxa"/>
            <w:vMerge w:val="continue"/>
            <w:tcBorders/>
            <w:vAlign w:val="center"/>
          </w:tcPr>
          <w:p>
            <w:pPr>
              <w:pStyle w:val="Normal"/>
              <w:bidi w:val="0"/>
              <w:jc w:val="left"/>
              <w:rPr/>
            </w:pPr>
            <w:r>
              <w:rPr/>
            </w:r>
          </w:p>
        </w:tc>
        <w:tc>
          <w:tcPr>
            <w:tcW w:w="109" w:type="dxa"/>
            <w:tcBorders/>
            <w:vAlign w:val="center"/>
          </w:tcPr>
          <w:p>
            <w:pPr>
              <w:pStyle w:val="TableContents"/>
              <w:pBdr/>
              <w:bidi w:val="0"/>
              <w:spacing w:lineRule="auto" w:line="285" w:before="0" w:after="200"/>
              <w:ind w:left="0" w:right="0" w:hanging="0"/>
              <w:jc w:val="left"/>
              <w:rPr>
                <w:color w:val="005670"/>
              </w:rPr>
            </w:pPr>
            <w:r>
              <w:rPr>
                <w:color w:val="005670"/>
              </w:rPr>
              <w:t>​</w:t>
            </w:r>
          </w:p>
        </w:tc>
        <w:tc>
          <w:tcPr>
            <w:tcW w:w="3391" w:type="dxa"/>
            <w:tcBorders/>
            <w:vAlign w:val="center"/>
          </w:tcPr>
          <w:p>
            <w:pPr>
              <w:pStyle w:val="TableContents"/>
              <w:bidi w:val="0"/>
              <w:spacing w:lineRule="auto" w:line="285" w:before="0" w:after="0"/>
              <w:ind w:left="0" w:right="0" w:hanging="0"/>
              <w:jc w:val="left"/>
              <w:rPr>
                <w:rFonts w:ascii="Arial;Helvetica;sans-serif" w:hAnsi="Arial;Helvetica;sans-serif"/>
                <w:b/>
                <w:caps/>
                <w:color w:val="005670"/>
                <w:sz w:val="20"/>
              </w:rPr>
            </w:pPr>
            <w:r>
              <w:rPr>
                <w:rFonts w:ascii="Arial;Helvetica;sans-serif" w:hAnsi="Arial;Helvetica;sans-serif"/>
                <w:b/>
                <w:caps/>
                <w:color w:val="005670"/>
                <w:sz w:val="20"/>
              </w:rPr>
              <w:t>KEELAN I. ADAMSON</w:t>
            </w:r>
          </w:p>
        </w:tc>
        <w:tc>
          <w:tcPr>
            <w:tcW w:w="1353" w:type="dxa"/>
            <w:vMerge w:val="continue"/>
            <w:tcBorders/>
            <w:vAlign w:val="center"/>
          </w:tcPr>
          <w:p>
            <w:pPr>
              <w:pStyle w:val="Normal"/>
              <w:bidi w:val="0"/>
              <w:jc w:val="left"/>
              <w:rPr/>
            </w:pPr>
            <w:r>
              <w:rPr/>
            </w:r>
          </w:p>
        </w:tc>
        <w:tc>
          <w:tcPr>
            <w:tcW w:w="346" w:type="dxa"/>
            <w:tcBorders/>
            <w:vAlign w:val="center"/>
          </w:tcPr>
          <w:p>
            <w:pPr>
              <w:pStyle w:val="TableContents"/>
              <w:pBdr/>
              <w:bidi w:val="0"/>
              <w:spacing w:lineRule="auto" w:line="285" w:before="0" w:after="0"/>
              <w:ind w:left="0" w:right="0" w:hanging="0"/>
              <w:jc w:val="left"/>
              <w:rPr>
                <w:color w:val="005670"/>
              </w:rPr>
            </w:pPr>
            <w:r>
              <w:rPr>
                <w:color w:val="005670"/>
              </w:rPr>
              <w:t>  ​ ​ ​</w:t>
            </w:r>
          </w:p>
        </w:tc>
        <w:tc>
          <w:tcPr>
            <w:tcW w:w="109" w:type="dxa"/>
            <w:tcBorders/>
            <w:vAlign w:val="center"/>
          </w:tcPr>
          <w:p>
            <w:pPr>
              <w:pStyle w:val="TableContents"/>
              <w:pBdr/>
              <w:bidi w:val="0"/>
              <w:spacing w:lineRule="auto" w:line="285" w:before="0" w:after="200"/>
              <w:ind w:left="0" w:right="0" w:hanging="0"/>
              <w:jc w:val="left"/>
              <w:rPr>
                <w:color w:val="005670"/>
              </w:rPr>
            </w:pPr>
            <w:r>
              <w:rPr>
                <w:color w:val="005670"/>
              </w:rPr>
              <w:t>​</w:t>
            </w:r>
          </w:p>
        </w:tc>
        <w:tc>
          <w:tcPr>
            <w:tcW w:w="2146" w:type="dxa"/>
            <w:tcBorders/>
            <w:vAlign w:val="center"/>
          </w:tcPr>
          <w:p>
            <w:pPr>
              <w:pStyle w:val="TableContents"/>
              <w:bidi w:val="0"/>
              <w:spacing w:lineRule="auto" w:line="285" w:before="0" w:after="0"/>
              <w:ind w:left="0" w:right="0" w:hanging="0"/>
              <w:jc w:val="left"/>
              <w:rPr>
                <w:rFonts w:ascii="Arial;Helvetica;sans-serif" w:hAnsi="Arial;Helvetica;sans-serif"/>
                <w:b/>
                <w:caps/>
                <w:color w:val="005670"/>
                <w:sz w:val="20"/>
              </w:rPr>
            </w:pPr>
            <w:r>
              <w:rPr>
                <w:rFonts w:ascii="Arial;Helvetica;sans-serif" w:hAnsi="Arial;Helvetica;sans-serif"/>
                <w:b/>
                <w:caps/>
                <w:color w:val="005670"/>
                <w:sz w:val="20"/>
              </w:rPr>
              <w:t>Jeremy D. Thigpen</w:t>
            </w:r>
          </w:p>
        </w:tc>
      </w:tr>
      <w:tr>
        <w:trPr/>
        <w:tc>
          <w:tcPr>
            <w:tcW w:w="1368" w:type="dxa"/>
            <w:vMerge w:val="continue"/>
            <w:tcBorders/>
            <w:vAlign w:val="center"/>
          </w:tcPr>
          <w:p>
            <w:pPr>
              <w:pStyle w:val="Normal"/>
              <w:bidi w:val="0"/>
              <w:jc w:val="left"/>
              <w:rPr/>
            </w:pPr>
            <w:r>
              <w:rPr/>
            </w:r>
          </w:p>
        </w:tc>
        <w:tc>
          <w:tcPr>
            <w:tcW w:w="109" w:type="dxa"/>
            <w:tcBorders/>
            <w:vAlign w:val="center"/>
          </w:tcPr>
          <w:p>
            <w:pPr>
              <w:pStyle w:val="TableContents"/>
              <w:pBdr/>
              <w:bidi w:val="0"/>
              <w:spacing w:lineRule="auto" w:line="285" w:before="0" w:after="200"/>
              <w:ind w:left="0" w:right="0" w:hanging="0"/>
              <w:jc w:val="left"/>
              <w:rPr/>
            </w:pPr>
            <w:r>
              <w:rPr/>
              <w:t>​</w:t>
            </w:r>
          </w:p>
        </w:tc>
        <w:tc>
          <w:tcPr>
            <w:tcW w:w="339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c>
          <w:tcPr>
            <w:tcW w:w="1353" w:type="dxa"/>
            <w:vMerge w:val="continue"/>
            <w:tcBorders/>
            <w:vAlign w:val="center"/>
          </w:tcPr>
          <w:p>
            <w:pPr>
              <w:pStyle w:val="Normal"/>
              <w:bidi w:val="0"/>
              <w:jc w:val="left"/>
              <w:rPr/>
            </w:pPr>
            <w:r>
              <w:rPr/>
            </w:r>
          </w:p>
        </w:tc>
        <w:tc>
          <w:tcPr>
            <w:tcW w:w="346" w:type="dxa"/>
            <w:tcBorders/>
            <w:vAlign w:val="center"/>
          </w:tcPr>
          <w:p>
            <w:pPr>
              <w:pStyle w:val="TableContents"/>
              <w:pBdr/>
              <w:bidi w:val="0"/>
              <w:spacing w:lineRule="auto" w:line="285" w:before="0" w:after="200"/>
              <w:ind w:left="0" w:right="0" w:hanging="0"/>
              <w:jc w:val="left"/>
              <w:rPr/>
            </w:pPr>
            <w:r>
              <w:rPr/>
              <w:t>​</w:t>
            </w:r>
          </w:p>
        </w:tc>
        <w:tc>
          <w:tcPr>
            <w:tcW w:w="109" w:type="dxa"/>
            <w:tcBorders/>
            <w:vAlign w:val="center"/>
          </w:tcPr>
          <w:p>
            <w:pPr>
              <w:pStyle w:val="TableContents"/>
              <w:pBdr/>
              <w:bidi w:val="0"/>
              <w:spacing w:lineRule="auto" w:line="285" w:before="0" w:after="200"/>
              <w:ind w:left="0" w:right="0" w:hanging="0"/>
              <w:jc w:val="left"/>
              <w:rPr/>
            </w:pPr>
            <w:r>
              <w:rPr/>
              <w:t>​</w:t>
            </w:r>
          </w:p>
        </w:tc>
        <w:tc>
          <w:tcPr>
            <w:tcW w:w="2146" w:type="dxa"/>
            <w:tcBorders/>
            <w:vAlign w:val="center"/>
          </w:tcPr>
          <w:p>
            <w:pPr>
              <w:pStyle w:val="TableContents"/>
              <w:bidi w:val="0"/>
              <w:spacing w:lineRule="auto" w:line="285" w:before="0" w:after="0"/>
              <w:ind w:left="360" w:right="0" w:hanging="0"/>
              <w:jc w:val="left"/>
              <w:rPr>
                <w:rFonts w:ascii="Arial;Helvetica;sans-serif" w:hAnsi="Arial;Helvetica;sans-serif"/>
                <w:sz w:val="20"/>
              </w:rPr>
            </w:pPr>
            <w:r>
              <w:rPr>
                <w:rFonts w:ascii="Arial;Helvetica;sans-serif" w:hAnsi="Arial;Helvetica;sans-serif"/>
                <w:sz w:val="20"/>
              </w:rPr>
              <w:t>Executive Chair</w:t>
            </w:r>
          </w:p>
        </w:tc>
      </w:tr>
    </w:tbl>
    <w:p>
      <w:pPr>
        <w:pStyle w:val="TextBody"/>
        <w:bidi w:val="0"/>
        <w:spacing w:lineRule="auto" w:line="285" w:before="0" w:after="200"/>
        <w:ind w:left="0" w:right="0" w:hanging="0"/>
        <w:jc w:val="left"/>
        <w:rPr/>
      </w:pPr>
      <w:r>
        <w:rPr/>
        <w:t>​</w:t>
      </w:r>
    </w:p>
    <w:p>
      <w:pPr>
        <w:pStyle w:val="TextBody"/>
        <w:bidi w:val="0"/>
        <w:spacing w:lineRule="auto" w:line="285" w:before="0" w:after="20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 ], 2026</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P-2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Arial;Helvetica;sans-serif" w:hAnsi="Arial;Helvetica;sans-serif"/>
          <w:b/>
          <w:color w:val="ECA44A"/>
          <w:sz w:val="40"/>
        </w:rPr>
      </w:pPr>
      <w:bookmarkStart w:id="12" w:name="ProxyStatementSummary"/>
      <w:bookmarkStart w:id="13" w:name="_b41ed515_22a7_44fa_ad54_bd3bb971eb68"/>
      <w:bookmarkEnd w:id="12"/>
      <w:bookmarkEnd w:id="13"/>
      <w:r>
        <w:rPr>
          <w:rFonts w:ascii="Arial;Helvetica;sans-serif" w:hAnsi="Arial;Helvetica;sans-serif"/>
          <w:b/>
          <w:color w:val="ECA44A"/>
          <w:sz w:val="40"/>
        </w:rPr>
        <w:t>PROXY STATEMENT SUMMARY</w:t>
      </w:r>
    </w:p>
    <w:p>
      <w:pPr>
        <w:pStyle w:val="TextBody"/>
        <w:bidi w:val="0"/>
        <w:spacing w:lineRule="auto" w:line="285" w:before="0" w:after="200"/>
        <w:ind w:left="0" w:right="0" w:hanging="0"/>
        <w:jc w:val="both"/>
        <w:rPr>
          <w:rFonts w:ascii="Arial;Helvetica;sans-serif" w:hAnsi="Arial;Helvetica;sans-serif"/>
          <w:b/>
          <w:i w:val="false"/>
          <w:caps w:val="false"/>
          <w:smallCaps w:val="false"/>
          <w:color w:val="ECA44A"/>
          <w:sz w:val="28"/>
        </w:rPr>
      </w:pPr>
      <w:r>
        <w:rPr>
          <w:rFonts w:ascii="Arial;Helvetica;sans-serif" w:hAnsi="Arial;Helvetica;sans-serif"/>
          <w:b/>
          <w:i w:val="false"/>
          <w:caps w:val="false"/>
          <w:smallCaps w:val="false"/>
          <w:color w:val="ECA44A"/>
          <w:sz w:val="28"/>
        </w:rPr>
        <w:t>2026 ANNUAL GENERAL MEETING DETAILS</w:t>
      </w:r>
    </w:p>
    <w:tbl>
      <w:tblPr>
        <w:tblW w:w="5568" w:type="dxa"/>
        <w:jc w:val="left"/>
        <w:tblInd w:w="0" w:type="dxa"/>
        <w:tblLayout w:type="fixed"/>
        <w:tblCellMar>
          <w:top w:w="0" w:type="dxa"/>
          <w:left w:w="0" w:type="dxa"/>
          <w:bottom w:w="0" w:type="dxa"/>
          <w:right w:w="0" w:type="dxa"/>
        </w:tblCellMar>
      </w:tblPr>
      <w:tblGrid>
        <w:gridCol w:w="1966"/>
        <w:gridCol w:w="2041"/>
        <w:gridCol w:w="1561"/>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r>
      <w:tr>
        <w:trPr/>
        <w:tc>
          <w:tcPr>
            <w:tcW w:w="1966" w:type="dxa"/>
            <w:tcBorders/>
            <w:vAlign w:val="center"/>
          </w:tcPr>
          <w:p>
            <w:pPr>
              <w:pStyle w:val="TableContents"/>
              <w:bidi w:val="0"/>
              <w:spacing w:lineRule="auto" w:line="285" w:before="0" w:after="0"/>
              <w:ind w:left="0" w:right="0" w:hanging="0"/>
              <w:jc w:val="both"/>
              <w:rPr/>
            </w:pPr>
            <w:r>
              <w:rPr/>
              <w:t>​</w:t>
            </w:r>
          </w:p>
        </w:tc>
        <w:tc>
          <w:tcPr>
            <w:tcW w:w="3602" w:type="dxa"/>
            <w:gridSpan w:val="2"/>
            <w:tcBorders/>
            <w:vAlign w:val="center"/>
          </w:tcPr>
          <w:p>
            <w:pPr>
              <w:pStyle w:val="TableContents"/>
              <w:bidi w:val="0"/>
              <w:spacing w:lineRule="auto" w:line="285" w:before="0" w:after="0"/>
              <w:ind w:left="0" w:right="0" w:hanging="0"/>
              <w:jc w:val="both"/>
              <w:rPr/>
            </w:pPr>
            <w:r>
              <w:rPr/>
              <w:t>​</w:t>
            </w:r>
          </w:p>
        </w:tc>
      </w:tr>
      <w:tr>
        <w:trPr/>
        <w:tc>
          <w:tcPr>
            <w:tcW w:w="1966" w:type="dxa"/>
            <w:tcBorders/>
            <w:vAlign w:val="center"/>
          </w:tcPr>
          <w:p>
            <w:pPr>
              <w:pStyle w:val="TableContents"/>
              <w:bidi w:val="0"/>
              <w:spacing w:lineRule="auto" w:line="302" w:before="0" w:after="0"/>
              <w:ind w:left="0" w:right="0" w:hanging="0"/>
              <w:jc w:val="center"/>
              <w:rPr/>
            </w:pPr>
            <w:r>
              <w:rPr/>
              <w:drawing>
                <wp:inline distT="0" distB="0" distL="0" distR="0">
                  <wp:extent cx="374650" cy="360680"/>
                  <wp:effectExtent l="0" t="0" r="0" b="0"/>
                  <wp:docPr id="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descr=""/>
                          <pic:cNvPicPr>
                            <a:picLocks noChangeAspect="1" noChangeArrowheads="1"/>
                          </pic:cNvPicPr>
                        </pic:nvPicPr>
                        <pic:blipFill>
                          <a:blip r:embed="rId9"/>
                          <a:stretch>
                            <a:fillRect/>
                          </a:stretch>
                        </pic:blipFill>
                        <pic:spPr bwMode="auto">
                          <a:xfrm>
                            <a:off x="0" y="0"/>
                            <a:ext cx="374650" cy="360680"/>
                          </a:xfrm>
                          <a:prstGeom prst="rect">
                            <a:avLst/>
                          </a:prstGeom>
                        </pic:spPr>
                      </pic:pic>
                    </a:graphicData>
                  </a:graphic>
                </wp:inline>
              </w:drawing>
            </w:r>
          </w:p>
        </w:tc>
        <w:tc>
          <w:tcPr>
            <w:tcW w:w="2041" w:type="dxa"/>
            <w:tcBorders/>
            <w:vAlign w:val="center"/>
          </w:tcPr>
          <w:p>
            <w:pPr>
              <w:pStyle w:val="TableContents"/>
              <w:bidi w:val="0"/>
              <w:spacing w:lineRule="auto" w:line="302" w:before="0" w:after="0"/>
              <w:ind w:left="0" w:right="0" w:hanging="0"/>
              <w:jc w:val="center"/>
              <w:rPr/>
            </w:pPr>
            <w:r>
              <w:rPr/>
              <w:drawing>
                <wp:inline distT="0" distB="0" distL="0" distR="0">
                  <wp:extent cx="274320" cy="370840"/>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0"/>
                          <a:stretch>
                            <a:fillRect/>
                          </a:stretch>
                        </pic:blipFill>
                        <pic:spPr bwMode="auto">
                          <a:xfrm>
                            <a:off x="0" y="0"/>
                            <a:ext cx="274320" cy="370840"/>
                          </a:xfrm>
                          <a:prstGeom prst="rect">
                            <a:avLst/>
                          </a:prstGeom>
                        </pic:spPr>
                      </pic:pic>
                    </a:graphicData>
                  </a:graphic>
                </wp:inline>
              </w:drawing>
            </w:r>
          </w:p>
        </w:tc>
        <w:tc>
          <w:tcPr>
            <w:tcW w:w="1561" w:type="dxa"/>
            <w:tcBorders/>
            <w:vAlign w:val="center"/>
          </w:tcPr>
          <w:p>
            <w:pPr>
              <w:pStyle w:val="TableContents"/>
              <w:bidi w:val="0"/>
              <w:spacing w:lineRule="auto" w:line="302" w:before="0" w:after="0"/>
              <w:ind w:left="0" w:right="0" w:hanging="0"/>
              <w:jc w:val="center"/>
              <w:rPr/>
            </w:pPr>
            <w:r>
              <w:rPr/>
              <w:drawing>
                <wp:inline distT="0" distB="0" distL="0" distR="0">
                  <wp:extent cx="420370" cy="374650"/>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1"/>
                          <a:stretch>
                            <a:fillRect/>
                          </a:stretch>
                        </pic:blipFill>
                        <pic:spPr bwMode="auto">
                          <a:xfrm>
                            <a:off x="0" y="0"/>
                            <a:ext cx="420370" cy="374650"/>
                          </a:xfrm>
                          <a:prstGeom prst="rect">
                            <a:avLst/>
                          </a:prstGeom>
                        </pic:spPr>
                      </pic:pic>
                    </a:graphicData>
                  </a:graphic>
                </wp:inline>
              </w:drawing>
            </w:r>
          </w:p>
        </w:tc>
      </w:tr>
      <w:tr>
        <w:trPr/>
        <w:tc>
          <w:tcPr>
            <w:tcW w:w="1966" w:type="dxa"/>
            <w:tcBorders/>
            <w:vAlign w:val="center"/>
          </w:tcPr>
          <w:p>
            <w:pPr>
              <w:pStyle w:val="TableContents"/>
              <w:bidi w:val="0"/>
              <w:spacing w:lineRule="auto" w:line="302" w:before="0" w:after="0"/>
              <w:ind w:left="0" w:right="0" w:hanging="0"/>
              <w:jc w:val="center"/>
              <w:rPr>
                <w:rFonts w:ascii="Arial;Helvetica;sans-serif" w:hAnsi="Arial;Helvetica;sans-serif"/>
                <w:b/>
                <w:color w:val="00556F"/>
                <w:sz w:val="20"/>
              </w:rPr>
            </w:pPr>
            <w:r>
              <w:rPr>
                <w:rFonts w:ascii="Arial;Helvetica;sans-serif" w:hAnsi="Arial;Helvetica;sans-serif"/>
                <w:b/>
                <w:color w:val="00556F"/>
                <w:sz w:val="20"/>
              </w:rPr>
              <w:t>WHEN</w:t>
            </w:r>
          </w:p>
        </w:tc>
        <w:tc>
          <w:tcPr>
            <w:tcW w:w="2041" w:type="dxa"/>
            <w:tcBorders/>
            <w:vAlign w:val="center"/>
          </w:tcPr>
          <w:p>
            <w:pPr>
              <w:pStyle w:val="TableContents"/>
              <w:bidi w:val="0"/>
              <w:spacing w:lineRule="auto" w:line="302" w:before="0" w:after="0"/>
              <w:ind w:left="0" w:right="0" w:hanging="0"/>
              <w:jc w:val="center"/>
              <w:rPr>
                <w:rFonts w:ascii="Arial;Helvetica;sans-serif" w:hAnsi="Arial;Helvetica;sans-serif"/>
                <w:b/>
                <w:color w:val="00556F"/>
                <w:sz w:val="20"/>
              </w:rPr>
            </w:pPr>
            <w:r>
              <w:rPr>
                <w:rFonts w:ascii="Arial;Helvetica;sans-serif" w:hAnsi="Arial;Helvetica;sans-serif"/>
                <w:b/>
                <w:color w:val="00556F"/>
                <w:sz w:val="20"/>
              </w:rPr>
              <w:t>WHERE</w:t>
            </w:r>
          </w:p>
        </w:tc>
        <w:tc>
          <w:tcPr>
            <w:tcW w:w="1561" w:type="dxa"/>
            <w:tcBorders/>
            <w:vAlign w:val="center"/>
          </w:tcPr>
          <w:p>
            <w:pPr>
              <w:pStyle w:val="TableContents"/>
              <w:bidi w:val="0"/>
              <w:spacing w:lineRule="auto" w:line="302" w:before="0" w:after="0"/>
              <w:ind w:left="0" w:right="0" w:hanging="0"/>
              <w:jc w:val="center"/>
              <w:rPr>
                <w:rFonts w:ascii="Arial;Helvetica;sans-serif" w:hAnsi="Arial;Helvetica;sans-serif"/>
                <w:b/>
                <w:color w:val="00556F"/>
                <w:sz w:val="20"/>
              </w:rPr>
            </w:pPr>
            <w:r>
              <w:rPr>
                <w:rFonts w:ascii="Arial;Helvetica;sans-serif" w:hAnsi="Arial;Helvetica;sans-serif"/>
                <w:b/>
                <w:color w:val="00556F"/>
                <w:sz w:val="20"/>
              </w:rPr>
              <w:t>RECORD DATE</w:t>
            </w:r>
          </w:p>
        </w:tc>
      </w:tr>
      <w:tr>
        <w:trPr/>
        <w:tc>
          <w:tcPr>
            <w:tcW w:w="1966" w:type="dxa"/>
            <w:tcBorders/>
            <w:vAlign w:val="center"/>
          </w:tcPr>
          <w:p>
            <w:pPr>
              <w:pStyle w:val="TableContents"/>
              <w:bidi w:val="0"/>
              <w:spacing w:lineRule="auto" w:line="302" w:before="0" w:after="0"/>
              <w:ind w:left="0" w:right="0" w:hanging="0"/>
              <w:jc w:val="center"/>
              <w:rPr>
                <w:rFonts w:ascii="Arial;Helvetica;sans-serif" w:hAnsi="Arial;Helvetica;sans-serif"/>
                <w:sz w:val="20"/>
              </w:rPr>
            </w:pPr>
            <w:r>
              <w:rPr>
                <w:rFonts w:ascii="Arial;Helvetica;sans-serif" w:hAnsi="Arial;Helvetica;sans-serif"/>
                <w:sz w:val="20"/>
              </w:rPr>
              <w:t>Friday, May 22, 2026</w:t>
            </w:r>
          </w:p>
        </w:tc>
        <w:tc>
          <w:tcPr>
            <w:tcW w:w="2041" w:type="dxa"/>
            <w:tcBorders/>
            <w:vAlign w:val="center"/>
          </w:tcPr>
          <w:p>
            <w:pPr>
              <w:pStyle w:val="TableContents"/>
              <w:bidi w:val="0"/>
              <w:spacing w:lineRule="auto" w:line="302" w:before="0" w:after="0"/>
              <w:ind w:left="0" w:right="0" w:hanging="0"/>
              <w:jc w:val="center"/>
              <w:rPr>
                <w:rFonts w:ascii="Arial;Helvetica;sans-serif" w:hAnsi="Arial;Helvetica;sans-serif"/>
                <w:sz w:val="20"/>
              </w:rPr>
            </w:pPr>
            <w:r>
              <w:rPr>
                <w:rFonts w:ascii="Arial;Helvetica;sans-serif" w:hAnsi="Arial;Helvetica;sans-serif"/>
                <w:sz w:val="20"/>
              </w:rPr>
              <w:t xml:space="preserve">Parkhotel Zug </w:t>
            </w:r>
          </w:p>
        </w:tc>
        <w:tc>
          <w:tcPr>
            <w:tcW w:w="1561" w:type="dxa"/>
            <w:tcBorders/>
            <w:vAlign w:val="center"/>
          </w:tcPr>
          <w:p>
            <w:pPr>
              <w:pStyle w:val="TableContents"/>
              <w:bidi w:val="0"/>
              <w:spacing w:lineRule="auto" w:line="302" w:before="0" w:after="0"/>
              <w:ind w:left="0" w:right="0" w:hanging="0"/>
              <w:jc w:val="center"/>
              <w:rPr>
                <w:rFonts w:ascii="Arial;Helvetica;sans-serif" w:hAnsi="Arial;Helvetica;sans-serif"/>
                <w:sz w:val="20"/>
              </w:rPr>
            </w:pPr>
            <w:r>
              <w:rPr>
                <w:rFonts w:ascii="Arial;Helvetica;sans-serif" w:hAnsi="Arial;Helvetica;sans-serif"/>
                <w:sz w:val="20"/>
              </w:rPr>
              <w:t>May 4, 2026</w:t>
            </w:r>
          </w:p>
        </w:tc>
      </w:tr>
      <w:tr>
        <w:trPr/>
        <w:tc>
          <w:tcPr>
            <w:tcW w:w="1966" w:type="dxa"/>
            <w:tcBorders/>
            <w:vAlign w:val="center"/>
          </w:tcPr>
          <w:p>
            <w:pPr>
              <w:pStyle w:val="TableContents"/>
              <w:bidi w:val="0"/>
              <w:spacing w:lineRule="auto" w:line="302" w:before="0" w:after="0"/>
              <w:ind w:left="0" w:right="0" w:hanging="0"/>
              <w:jc w:val="center"/>
              <w:rPr>
                <w:rFonts w:ascii="Arial;Helvetica;sans-serif" w:hAnsi="Arial;Helvetica;sans-serif"/>
                <w:sz w:val="20"/>
              </w:rPr>
            </w:pPr>
            <w:r>
              <w:rPr>
                <w:rFonts w:ascii="Arial;Helvetica;sans-serif" w:hAnsi="Arial;Helvetica;sans-serif"/>
                <w:sz w:val="20"/>
              </w:rPr>
              <w:t>8:00 a.m. Swiss time</w:t>
            </w:r>
          </w:p>
        </w:tc>
        <w:tc>
          <w:tcPr>
            <w:tcW w:w="2041" w:type="dxa"/>
            <w:tcBorders/>
            <w:vAlign w:val="center"/>
          </w:tcPr>
          <w:p>
            <w:pPr>
              <w:pStyle w:val="TableContents"/>
              <w:bidi w:val="0"/>
              <w:spacing w:lineRule="auto" w:line="302" w:before="0" w:after="0"/>
              <w:ind w:left="0" w:right="0" w:hanging="0"/>
              <w:jc w:val="center"/>
              <w:rPr>
                <w:rFonts w:ascii="Arial;Helvetica;sans-serif" w:hAnsi="Arial;Helvetica;sans-serif"/>
                <w:sz w:val="20"/>
              </w:rPr>
            </w:pPr>
            <w:r>
              <w:rPr>
                <w:rFonts w:ascii="Arial;Helvetica;sans-serif" w:hAnsi="Arial;Helvetica;sans-serif"/>
                <w:sz w:val="20"/>
              </w:rPr>
              <w:t>Industriestrasse 14</w:t>
            </w:r>
          </w:p>
        </w:tc>
        <w:tc>
          <w:tcPr>
            <w:tcW w:w="1561" w:type="dxa"/>
            <w:tcBorders/>
            <w:vAlign w:val="center"/>
          </w:tcPr>
          <w:p>
            <w:pPr>
              <w:pStyle w:val="TableContents"/>
              <w:bidi w:val="0"/>
              <w:spacing w:lineRule="auto" w:line="285" w:before="0" w:after="0"/>
              <w:ind w:left="0" w:right="0" w:hanging="0"/>
              <w:jc w:val="center"/>
              <w:rPr/>
            </w:pPr>
            <w:r>
              <w:rPr/>
              <w:t>​</w:t>
            </w:r>
          </w:p>
        </w:tc>
      </w:tr>
      <w:tr>
        <w:trPr/>
        <w:tc>
          <w:tcPr>
            <w:tcW w:w="1966" w:type="dxa"/>
            <w:tcBorders/>
            <w:vAlign w:val="center"/>
          </w:tcPr>
          <w:p>
            <w:pPr>
              <w:pStyle w:val="TableContents"/>
              <w:bidi w:val="0"/>
              <w:spacing w:lineRule="auto" w:line="285" w:before="0" w:after="0"/>
              <w:ind w:left="0" w:right="0" w:hanging="0"/>
              <w:jc w:val="center"/>
              <w:rPr/>
            </w:pPr>
            <w:r>
              <w:rPr/>
              <w:t>​</w:t>
            </w:r>
          </w:p>
        </w:tc>
        <w:tc>
          <w:tcPr>
            <w:tcW w:w="2041" w:type="dxa"/>
            <w:tcBorders/>
            <w:vAlign w:val="center"/>
          </w:tcPr>
          <w:p>
            <w:pPr>
              <w:pStyle w:val="TableContents"/>
              <w:bidi w:val="0"/>
              <w:spacing w:lineRule="auto" w:line="302" w:before="0" w:after="0"/>
              <w:ind w:left="0" w:right="0" w:hanging="0"/>
              <w:jc w:val="center"/>
              <w:rPr>
                <w:rFonts w:ascii="Arial;Helvetica;sans-serif" w:hAnsi="Arial;Helvetica;sans-serif"/>
                <w:sz w:val="20"/>
              </w:rPr>
            </w:pPr>
            <w:r>
              <w:rPr>
                <w:rFonts w:ascii="Arial;Helvetica;sans-serif" w:hAnsi="Arial;Helvetica;sans-serif"/>
                <w:sz w:val="20"/>
              </w:rPr>
              <w:t>6302 Zug, Switzerland</w:t>
            </w:r>
          </w:p>
        </w:tc>
        <w:tc>
          <w:tcPr>
            <w:tcW w:w="1561" w:type="dxa"/>
            <w:tcBorders/>
            <w:vAlign w:val="center"/>
          </w:tcPr>
          <w:p>
            <w:pPr>
              <w:pStyle w:val="TableContents"/>
              <w:bidi w:val="0"/>
              <w:spacing w:lineRule="auto" w:line="285" w:before="0" w:after="0"/>
              <w:ind w:left="0" w:right="0" w:hanging="0"/>
              <w:jc w:val="center"/>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VOTING INFORMATION</w:t>
      </w:r>
    </w:p>
    <w:tbl>
      <w:tblPr>
        <w:tblW w:w="10205" w:type="dxa"/>
        <w:jc w:val="left"/>
        <w:tblInd w:w="0" w:type="dxa"/>
        <w:tblLayout w:type="fixed"/>
        <w:tblCellMar>
          <w:top w:w="0" w:type="dxa"/>
          <w:left w:w="0" w:type="dxa"/>
          <w:bottom w:w="0" w:type="dxa"/>
          <w:right w:w="0" w:type="dxa"/>
        </w:tblCellMar>
      </w:tblPr>
      <w:tblGrid>
        <w:gridCol w:w="1865"/>
        <w:gridCol w:w="109"/>
        <w:gridCol w:w="1820"/>
        <w:gridCol w:w="109"/>
        <w:gridCol w:w="2359"/>
        <w:gridCol w:w="109"/>
        <w:gridCol w:w="1920"/>
        <w:gridCol w:w="109"/>
        <w:gridCol w:w="1648"/>
        <w:gridCol w:w="157"/>
      </w:tblGrid>
      <w:tr>
        <w:trPr/>
        <w:tc>
          <w:tcPr>
            <w:tcW w:w="1865" w:type="dxa"/>
            <w:tcBorders/>
            <w:vAlign w:val="center"/>
          </w:tcPr>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155700" cy="29210"/>
                      <wp:effectExtent l="0" t="0" r="0" b="0"/>
                      <wp:wrapNone/>
                      <wp:docPr id="18" name="Frame8"/>
                      <a:graphic xmlns:a="http://schemas.openxmlformats.org/drawingml/2006/main">
                        <a:graphicData uri="http://schemas.microsoft.com/office/word/2010/wordprocessingShape">
                          <wps:wsp>
                            <wps:cNvSpPr txBox="1"/>
                            <wps:spPr>
                              <a:xfrm>
                                <a:off x="0" y="0"/>
                                <a:ext cx="11557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lineRule="auto" w:line="285" w:before="0" w:after="0"/>
              <w:ind w:left="0" w:right="0" w:hanging="0"/>
              <w:jc w:val="both"/>
              <w:rPr/>
            </w:pPr>
            <w:r>
              <w:rPr/>
              <w:t>​</w:t>
            </w:r>
          </w:p>
        </w:tc>
        <w:tc>
          <w:tcPr>
            <w:tcW w:w="2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497965" cy="29210"/>
                      <wp:effectExtent l="0" t="0" r="0" b="0"/>
                      <wp:wrapNone/>
                      <wp:docPr id="19" name="Frame9"/>
                      <a:graphic xmlns:a="http://schemas.openxmlformats.org/drawingml/2006/main">
                        <a:graphicData uri="http://schemas.microsoft.com/office/word/2010/wordprocessingShape">
                          <wps:wsp>
                            <wps:cNvSpPr txBox="1"/>
                            <wps:spPr>
                              <a:xfrm>
                                <a:off x="0" y="0"/>
                                <a:ext cx="14979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lineRule="auto" w:line="285" w:before="0" w:after="0"/>
              <w:ind w:left="0" w:right="0" w:hanging="0"/>
              <w:jc w:val="both"/>
              <w:rPr/>
            </w:pPr>
            <w:r>
              <w:rPr/>
              <w:t>​</w:t>
            </w:r>
          </w:p>
        </w:tc>
        <w:tc>
          <w:tcPr>
            <w:tcW w:w="1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219200" cy="29210"/>
                      <wp:effectExtent l="0" t="0" r="0" b="0"/>
                      <wp:wrapNone/>
                      <wp:docPr id="20" name="Frame10"/>
                      <a:graphic xmlns:a="http://schemas.openxmlformats.org/drawingml/2006/main">
                        <a:graphicData uri="http://schemas.microsoft.com/office/word/2010/wordprocessingShape">
                          <wps:wsp>
                            <wps:cNvSpPr txBox="1"/>
                            <wps:spPr>
                              <a:xfrm>
                                <a:off x="0" y="0"/>
                                <a:ext cx="12192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lineRule="auto" w:line="285" w:before="0" w:after="0"/>
              <w:ind w:left="0" w:right="0" w:hanging="0"/>
              <w:jc w:val="both"/>
              <w:rPr/>
            </w:pPr>
            <w:r>
              <w:rPr/>
              <w:t>​</w:t>
            </w:r>
          </w:p>
        </w:tc>
        <w:tc>
          <w:tcPr>
            <w:tcW w:w="1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046480" cy="29210"/>
                      <wp:effectExtent l="0" t="0" r="0" b="0"/>
                      <wp:wrapNone/>
                      <wp:docPr id="21" name="Frame11"/>
                      <a:graphic xmlns:a="http://schemas.openxmlformats.org/drawingml/2006/main">
                        <a:graphicData uri="http://schemas.microsoft.com/office/word/2010/wordprocessingShape">
                          <wps:wsp>
                            <wps:cNvSpPr txBox="1"/>
                            <wps:spPr>
                              <a:xfrm>
                                <a:off x="0" y="0"/>
                                <a:ext cx="10464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7" w:type="dxa"/>
            <w:tcBorders/>
            <w:vAlign w:val="center"/>
          </w:tcPr>
          <w:p>
            <w:pPr>
              <w:pStyle w:val="TableContents"/>
              <w:bidi w:val="0"/>
              <w:spacing w:lineRule="auto" w:line="285" w:before="0" w:after="0"/>
              <w:ind w:left="0" w:right="0" w:hanging="0"/>
              <w:jc w:val="both"/>
              <w:rPr/>
            </w:pPr>
            <w:r>
              <w:rPr/>
              <w:t>​</w:t>
            </w:r>
          </w:p>
        </w:tc>
      </w:tr>
      <w:tr>
        <w:trPr/>
        <w:tc>
          <w:tcPr>
            <w:tcW w:w="1865"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20" w:type="dxa"/>
            <w:tcBorders/>
            <w:vAlign w:val="center"/>
          </w:tcPr>
          <w:p>
            <w:pPr>
              <w:pStyle w:val="TableContents"/>
              <w:bidi w:val="0"/>
              <w:spacing w:lineRule="auto" w:line="285" w:before="0" w:after="0"/>
              <w:ind w:left="0" w:right="0" w:hanging="0"/>
              <w:jc w:val="center"/>
              <w:rPr/>
            </w:pPr>
            <w:r>
              <w:rPr/>
              <w:drawing>
                <wp:inline distT="0" distB="0" distL="0" distR="0">
                  <wp:extent cx="265430" cy="255905"/>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265430" cy="255905"/>
                          </a:xfrm>
                          <a:prstGeom prst="rect">
                            <a:avLst/>
                          </a:prstGeom>
                        </pic:spPr>
                      </pic:pic>
                    </a:graphicData>
                  </a:graphic>
                </wp:inline>
              </w:drawing>
            </w:r>
          </w:p>
        </w:tc>
        <w:tc>
          <w:tcPr>
            <w:tcW w:w="109" w:type="dxa"/>
            <w:tcBorders/>
            <w:vAlign w:val="center"/>
          </w:tcPr>
          <w:p>
            <w:pPr>
              <w:pStyle w:val="TableContents"/>
              <w:bidi w:val="0"/>
              <w:spacing w:lineRule="auto" w:line="285" w:before="0" w:after="0"/>
              <w:ind w:left="0" w:right="0" w:hanging="0"/>
              <w:jc w:val="center"/>
              <w:rPr/>
            </w:pPr>
            <w:r>
              <w:rPr/>
              <w:t>​</w:t>
            </w:r>
          </w:p>
        </w:tc>
        <w:tc>
          <w:tcPr>
            <w:tcW w:w="2359" w:type="dxa"/>
            <w:tcBorders/>
            <w:vAlign w:val="center"/>
          </w:tcPr>
          <w:p>
            <w:pPr>
              <w:pStyle w:val="TableContents"/>
              <w:bidi w:val="0"/>
              <w:spacing w:lineRule="auto" w:line="285" w:before="0" w:after="0"/>
              <w:ind w:left="0" w:right="0" w:hanging="0"/>
              <w:jc w:val="center"/>
              <w:rPr/>
            </w:pPr>
            <w:r>
              <w:rPr/>
              <w:drawing>
                <wp:inline distT="0" distB="0" distL="0" distR="0">
                  <wp:extent cx="420370" cy="255905"/>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420370" cy="255905"/>
                          </a:xfrm>
                          <a:prstGeom prst="rect">
                            <a:avLst/>
                          </a:prstGeom>
                        </pic:spPr>
                      </pic:pic>
                    </a:graphicData>
                  </a:graphic>
                </wp:inline>
              </w:drawing>
            </w:r>
          </w:p>
        </w:tc>
        <w:tc>
          <w:tcPr>
            <w:tcW w:w="109" w:type="dxa"/>
            <w:tcBorders/>
            <w:vAlign w:val="center"/>
          </w:tcPr>
          <w:p>
            <w:pPr>
              <w:pStyle w:val="TableContents"/>
              <w:bidi w:val="0"/>
              <w:spacing w:lineRule="auto" w:line="285" w:before="0" w:after="0"/>
              <w:ind w:left="0" w:right="0" w:hanging="0"/>
              <w:jc w:val="center"/>
              <w:rPr/>
            </w:pPr>
            <w:r>
              <w:rPr/>
              <w:t>​</w:t>
            </w:r>
          </w:p>
        </w:tc>
        <w:tc>
          <w:tcPr>
            <w:tcW w:w="1920" w:type="dxa"/>
            <w:tcBorders/>
            <w:vAlign w:val="center"/>
          </w:tcPr>
          <w:p>
            <w:pPr>
              <w:pStyle w:val="TableContents"/>
              <w:bidi w:val="0"/>
              <w:spacing w:lineRule="auto" w:line="285" w:before="0" w:after="0"/>
              <w:ind w:left="0" w:right="0" w:hanging="0"/>
              <w:jc w:val="center"/>
              <w:rPr/>
            </w:pPr>
            <w:r>
              <w:rPr/>
              <w:drawing>
                <wp:inline distT="0" distB="0" distL="0" distR="0">
                  <wp:extent cx="247015" cy="23749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247015" cy="237490"/>
                          </a:xfrm>
                          <a:prstGeom prst="rect">
                            <a:avLst/>
                          </a:prstGeom>
                        </pic:spPr>
                      </pic:pic>
                    </a:graphicData>
                  </a:graphic>
                </wp:inline>
              </w:drawing>
            </w:r>
          </w:p>
        </w:tc>
        <w:tc>
          <w:tcPr>
            <w:tcW w:w="109" w:type="dxa"/>
            <w:tcBorders/>
            <w:vAlign w:val="center"/>
          </w:tcPr>
          <w:p>
            <w:pPr>
              <w:pStyle w:val="TableContents"/>
              <w:bidi w:val="0"/>
              <w:spacing w:lineRule="auto" w:line="285" w:before="0" w:after="0"/>
              <w:ind w:left="0" w:right="0" w:hanging="0"/>
              <w:jc w:val="center"/>
              <w:rPr/>
            </w:pPr>
            <w:r>
              <w:rPr/>
              <w:t>​</w:t>
            </w:r>
          </w:p>
        </w:tc>
        <w:tc>
          <w:tcPr>
            <w:tcW w:w="1648" w:type="dxa"/>
            <w:tcBorders/>
            <w:vAlign w:val="center"/>
          </w:tcPr>
          <w:p>
            <w:pPr>
              <w:pStyle w:val="TableContents"/>
              <w:bidi w:val="0"/>
              <w:spacing w:lineRule="auto" w:line="285" w:before="0" w:after="0"/>
              <w:ind w:left="0" w:right="0" w:hanging="0"/>
              <w:jc w:val="center"/>
              <w:rPr/>
            </w:pPr>
            <w:r>
              <w:rPr/>
              <w:drawing>
                <wp:inline distT="0" distB="0" distL="0" distR="0">
                  <wp:extent cx="146050" cy="28321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146050" cy="283210"/>
                          </a:xfrm>
                          <a:prstGeom prst="rect">
                            <a:avLst/>
                          </a:prstGeom>
                        </pic:spPr>
                      </pic:pic>
                    </a:graphicData>
                  </a:graphic>
                </wp:inline>
              </w:drawing>
            </w:r>
          </w:p>
        </w:tc>
        <w:tc>
          <w:tcPr>
            <w:tcW w:w="157" w:type="dxa"/>
            <w:tcBorders/>
            <w:vAlign w:val="center"/>
          </w:tcPr>
          <w:p>
            <w:pPr>
              <w:pStyle w:val="TableContents"/>
              <w:bidi w:val="0"/>
              <w:spacing w:lineRule="auto" w:line="285" w:before="0" w:after="0"/>
              <w:ind w:left="0" w:right="0" w:hanging="0"/>
              <w:jc w:val="center"/>
              <w:rPr/>
            </w:pPr>
            <w:r>
              <w:rPr/>
              <w:t>​</w:t>
            </w:r>
          </w:p>
        </w:tc>
      </w:tr>
      <w:tr>
        <w:trPr/>
        <w:tc>
          <w:tcPr>
            <w:tcW w:w="1865"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820" w:type="dxa"/>
            <w:tcBorders>
              <w:bottom w:val="single" w:sz="12" w:space="0" w:color="ECA44A"/>
            </w:tcBorders>
            <w:tcMar>
              <w:bottom w:w="28" w:type="dxa"/>
            </w:tcMar>
            <w:vAlign w:val="center"/>
          </w:tcPr>
          <w:p>
            <w:pPr>
              <w:pStyle w:val="TableContents"/>
              <w:bidi w:val="0"/>
              <w:spacing w:lineRule="auto" w:line="285" w:before="0" w:after="40"/>
              <w:ind w:left="0" w:right="0" w:hanging="0"/>
              <w:jc w:val="center"/>
              <w:rPr>
                <w:rFonts w:ascii="Arial;Helvetica;sans-serif" w:hAnsi="Arial;Helvetica;sans-serif"/>
                <w:b/>
                <w:color w:val="4B4F54"/>
                <w:sz w:val="18"/>
              </w:rPr>
            </w:pPr>
            <w:r>
              <w:rPr>
                <w:rFonts w:ascii="Arial;Helvetica;sans-serif" w:hAnsi="Arial;Helvetica;sans-serif"/>
                <w:b/>
                <w:color w:val="4B4F54"/>
                <w:sz w:val="18"/>
              </w:rPr>
              <w:t>BY PHONE</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359" w:type="dxa"/>
            <w:tcBorders>
              <w:bottom w:val="single" w:sz="12" w:space="0" w:color="ECA44A"/>
            </w:tcBorders>
            <w:tcMar>
              <w:bottom w:w="28" w:type="dxa"/>
            </w:tcMar>
            <w:vAlign w:val="center"/>
          </w:tcPr>
          <w:p>
            <w:pPr>
              <w:pStyle w:val="TableContents"/>
              <w:bidi w:val="0"/>
              <w:spacing w:lineRule="auto" w:line="285" w:before="0" w:after="40"/>
              <w:ind w:left="0" w:right="0" w:hanging="0"/>
              <w:jc w:val="center"/>
              <w:rPr>
                <w:rFonts w:ascii="Arial;Helvetica;sans-serif" w:hAnsi="Arial;Helvetica;sans-serif"/>
                <w:b/>
                <w:color w:val="4B4F54"/>
                <w:sz w:val="18"/>
              </w:rPr>
            </w:pPr>
            <w:r>
              <w:rPr>
                <w:rFonts w:ascii="Arial;Helvetica;sans-serif" w:hAnsi="Arial;Helvetica;sans-serif"/>
                <w:b/>
                <w:color w:val="4B4F54"/>
                <w:sz w:val="18"/>
              </w:rPr>
              <w:t>BY INTERNET</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920" w:type="dxa"/>
            <w:tcBorders>
              <w:bottom w:val="single" w:sz="12" w:space="0" w:color="ECA44A"/>
            </w:tcBorders>
            <w:tcMar>
              <w:bottom w:w="28" w:type="dxa"/>
            </w:tcMar>
            <w:vAlign w:val="center"/>
          </w:tcPr>
          <w:p>
            <w:pPr>
              <w:pStyle w:val="TableContents"/>
              <w:bidi w:val="0"/>
              <w:spacing w:lineRule="auto" w:line="285" w:before="0" w:after="40"/>
              <w:ind w:left="0" w:right="0" w:hanging="0"/>
              <w:jc w:val="center"/>
              <w:rPr>
                <w:rFonts w:ascii="Arial;Helvetica;sans-serif" w:hAnsi="Arial;Helvetica;sans-serif"/>
                <w:b/>
                <w:color w:val="4B4F54"/>
                <w:sz w:val="18"/>
              </w:rPr>
            </w:pPr>
            <w:r>
              <w:rPr>
                <w:rFonts w:ascii="Arial;Helvetica;sans-serif" w:hAnsi="Arial;Helvetica;sans-serif"/>
                <w:b/>
                <w:color w:val="4B4F54"/>
                <w:sz w:val="18"/>
              </w:rPr>
              <w:t>BY MAIL</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648" w:type="dxa"/>
            <w:tcBorders>
              <w:bottom w:val="single" w:sz="12" w:space="0" w:color="ECA44A"/>
            </w:tcBorders>
            <w:tcMar>
              <w:bottom w:w="28" w:type="dxa"/>
            </w:tcMar>
            <w:vAlign w:val="center"/>
          </w:tcPr>
          <w:p>
            <w:pPr>
              <w:pStyle w:val="TableContents"/>
              <w:bidi w:val="0"/>
              <w:spacing w:lineRule="auto" w:line="285" w:before="0" w:after="40"/>
              <w:ind w:left="0" w:right="0" w:hanging="0"/>
              <w:jc w:val="center"/>
              <w:rPr>
                <w:rFonts w:ascii="Arial;Helvetica;sans-serif" w:hAnsi="Arial;Helvetica;sans-serif"/>
                <w:b/>
                <w:color w:val="4B4F54"/>
                <w:sz w:val="18"/>
              </w:rPr>
            </w:pPr>
            <w:r>
              <w:rPr>
                <w:rFonts w:ascii="Arial;Helvetica;sans-serif" w:hAnsi="Arial;Helvetica;sans-serif"/>
                <w:b/>
                <w:color w:val="4B4F54"/>
                <w:sz w:val="18"/>
              </w:rPr>
              <w:t>BY MOBILE DEVICE</w:t>
            </w:r>
          </w:p>
        </w:tc>
        <w:tc>
          <w:tcPr>
            <w:tcW w:w="157" w:type="dxa"/>
            <w:tcBorders>
              <w:right w:val="single" w:sz="2" w:space="0" w:color="D9D9D9"/>
            </w:tcBorders>
            <w:tcMar>
              <w:right w:w="100" w:type="dxa"/>
            </w:tcMar>
            <w:vAlign w:val="center"/>
          </w:tcPr>
          <w:p>
            <w:pPr>
              <w:pStyle w:val="TableContents"/>
              <w:bidi w:val="0"/>
              <w:spacing w:lineRule="auto" w:line="285" w:before="0" w:after="0"/>
              <w:ind w:left="0" w:right="0" w:hanging="0"/>
              <w:jc w:val="center"/>
              <w:rPr>
                <w:color w:val="4B4F54"/>
              </w:rPr>
            </w:pPr>
            <w:r>
              <w:rPr>
                <w:color w:val="4B4F54"/>
              </w:rPr>
              <w:t>​</w:t>
            </w:r>
          </w:p>
        </w:tc>
      </w:tr>
      <w:tr>
        <w:trPr/>
        <w:tc>
          <w:tcPr>
            <w:tcW w:w="1865" w:type="dxa"/>
            <w:tcBorders/>
            <w:vAlign w:val="center"/>
          </w:tcPr>
          <w:p>
            <w:pPr>
              <w:pStyle w:val="TableContents"/>
              <w:bidi w:val="0"/>
              <w:spacing w:lineRule="auto" w:line="285" w:before="40" w:after="0"/>
              <w:ind w:left="0" w:right="0" w:hanging="0"/>
              <w:jc w:val="both"/>
              <w:rPr>
                <w:color w:val="231F20"/>
              </w:rPr>
            </w:pPr>
            <w:r>
              <w:rPr>
                <w:color w:val="231F20"/>
              </w:rPr>
              <w:t>​</w:t>
            </w:r>
          </w:p>
        </w:tc>
        <w:tc>
          <w:tcPr>
            <w:tcW w:w="109" w:type="dxa"/>
            <w:tcBorders/>
            <w:vAlign w:val="center"/>
          </w:tcPr>
          <w:p>
            <w:pPr>
              <w:pStyle w:val="TableContents"/>
              <w:bidi w:val="0"/>
              <w:spacing w:lineRule="auto" w:line="285" w:before="0" w:after="0"/>
              <w:ind w:left="0" w:right="0" w:hanging="0"/>
              <w:jc w:val="both"/>
              <w:rPr/>
            </w:pPr>
            <w:r>
              <w:rPr/>
              <w:t>​</w:t>
            </w:r>
          </w:p>
        </w:tc>
        <w:tc>
          <w:tcPr>
            <w:tcW w:w="1820" w:type="dxa"/>
            <w:tcBorders>
              <w:top w:val="single" w:sz="12" w:space="0" w:color="ECA44A"/>
            </w:tcBorders>
            <w:tcMar>
              <w:top w:w="28" w:type="dxa"/>
            </w:tcMar>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2359" w:type="dxa"/>
            <w:tcBorders>
              <w:top w:val="single" w:sz="12" w:space="0" w:color="ECA44A"/>
            </w:tcBorders>
            <w:tcMar>
              <w:top w:w="28" w:type="dxa"/>
            </w:tcMar>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920" w:type="dxa"/>
            <w:tcBorders>
              <w:top w:val="single" w:sz="12" w:space="0" w:color="ECA44A"/>
            </w:tcBorders>
            <w:tcMar>
              <w:top w:w="28" w:type="dxa"/>
            </w:tcMar>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color w:val="231F20"/>
              </w:rPr>
            </w:pPr>
            <w:r>
              <w:rPr>
                <w:color w:val="231F20"/>
              </w:rPr>
              <w:t>​</w:t>
            </w:r>
          </w:p>
        </w:tc>
        <w:tc>
          <w:tcPr>
            <w:tcW w:w="1648" w:type="dxa"/>
            <w:tcBorders>
              <w:top w:val="single" w:sz="12" w:space="0" w:color="ECA44A"/>
            </w:tcBorders>
            <w:tcMar>
              <w:top w:w="28" w:type="dxa"/>
            </w:tcMar>
            <w:vAlign w:val="center"/>
          </w:tcPr>
          <w:p>
            <w:pPr>
              <w:pStyle w:val="TableContents"/>
              <w:bidi w:val="0"/>
              <w:spacing w:lineRule="auto" w:line="285" w:before="0" w:after="0"/>
              <w:ind w:left="0" w:right="0" w:hanging="0"/>
              <w:jc w:val="both"/>
              <w:rPr>
                <w:color w:val="231F20"/>
              </w:rPr>
            </w:pPr>
            <w:r>
              <w:rPr>
                <w:color w:val="231F20"/>
              </w:rPr>
              <w:t>​</w:t>
            </w:r>
          </w:p>
        </w:tc>
        <w:tc>
          <w:tcPr>
            <w:tcW w:w="157" w:type="dxa"/>
            <w:tcBorders/>
            <w:vAlign w:val="center"/>
          </w:tcPr>
          <w:p>
            <w:pPr>
              <w:pStyle w:val="TableContents"/>
              <w:bidi w:val="0"/>
              <w:spacing w:lineRule="auto" w:line="285" w:before="0" w:after="0"/>
              <w:ind w:left="0" w:right="0" w:hanging="0"/>
              <w:jc w:val="both"/>
              <w:rPr/>
            </w:pPr>
            <w:r>
              <w:rPr/>
              <w:t>​</w:t>
            </w:r>
          </w:p>
        </w:tc>
      </w:tr>
      <w:tr>
        <w:trPr/>
        <w:tc>
          <w:tcPr>
            <w:tcW w:w="1865" w:type="dxa"/>
            <w:tcBorders/>
            <w:vAlign w:val="center"/>
          </w:tcPr>
          <w:p>
            <w:pPr>
              <w:pStyle w:val="TableContents"/>
              <w:bidi w:val="0"/>
              <w:spacing w:lineRule="auto" w:line="285" w:before="40" w:after="0"/>
              <w:ind w:left="0" w:right="0" w:hanging="0"/>
              <w:jc w:val="left"/>
              <w:rPr>
                <w:rFonts w:ascii="Arial;Helvetica;sans-serif" w:hAnsi="Arial;Helvetica;sans-serif"/>
                <w:b/>
                <w:color w:val="4B4F54"/>
                <w:sz w:val="17"/>
              </w:rPr>
            </w:pPr>
            <w:r>
              <w:rPr>
                <w:rFonts w:ascii="Arial;Helvetica;sans-serif" w:hAnsi="Arial;Helvetica;sans-serif"/>
                <w:b/>
                <w:color w:val="4B4F54"/>
                <w:sz w:val="17"/>
              </w:rPr>
              <w:t>Registered Holders</w:t>
            </w:r>
          </w:p>
          <w:p>
            <w:pPr>
              <w:pStyle w:val="TableContents"/>
              <w:bidi w:val="0"/>
              <w:spacing w:lineRule="auto" w:line="285" w:before="40" w:after="0"/>
              <w:ind w:left="0" w:right="0" w:hanging="0"/>
              <w:jc w:val="left"/>
              <w:rPr>
                <w:rFonts w:ascii="Arial;Helvetica;sans-serif" w:hAnsi="Arial;Helvetica;sans-serif"/>
                <w:sz w:val="17"/>
              </w:rPr>
            </w:pPr>
            <w:r>
              <w:rPr>
                <w:rFonts w:ascii="Arial;Helvetica;sans-serif" w:hAnsi="Arial;Helvetica;sans-serif"/>
                <w:sz w:val="17"/>
              </w:rPr>
              <w:t>(shares are registered in your own name)</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left"/>
              <w:rPr/>
            </w:pPr>
            <w:r>
              <w:rPr/>
              <w:t>​</w:t>
            </w:r>
          </w:p>
        </w:tc>
        <w:tc>
          <w:tcPr>
            <w:tcW w:w="1820" w:type="dxa"/>
            <w:tcBorders>
              <w:left w:val="single" w:sz="2" w:space="0" w:color="D9D9D9"/>
            </w:tcBorders>
            <w:tcMar>
              <w:left w:w="100"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On a touch-tone telephone, call toll-free:</w:t>
              <w:br/>
              <w:t xml:space="preserve">+1 (800) 690-6903 24/7, and follow the instructions. </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 xml:space="preserve">You will need the 16-digit control number that is included in the voting instructions form that is sent to you. </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You will be able to confirm that the telephonic system has properly recorded your votes.</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left"/>
              <w:rPr/>
            </w:pPr>
            <w:r>
              <w:rPr/>
              <w:t>​</w:t>
            </w:r>
          </w:p>
        </w:tc>
        <w:tc>
          <w:tcPr>
            <w:tcW w:w="2359" w:type="dxa"/>
            <w:tcBorders>
              <w:left w:val="single" w:sz="2" w:space="0" w:color="D9D9D9"/>
            </w:tcBorders>
            <w:tcMar>
              <w:left w:w="100" w:type="dxa"/>
            </w:tcM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7"/>
              </w:rPr>
              <w:t xml:space="preserve">Go to </w:t>
            </w:r>
            <w:r>
              <w:rPr>
                <w:rFonts w:ascii="Arial;Helvetica;sans-serif" w:hAnsi="Arial;Helvetica;sans-serif"/>
                <w:color w:val="005670"/>
                <w:sz w:val="17"/>
              </w:rPr>
              <w:t xml:space="preserve">www.proxyvote.com </w:t>
            </w:r>
            <w:r>
              <w:rPr>
                <w:rFonts w:ascii="Arial;Helvetica;sans-serif" w:hAnsi="Arial;Helvetica;sans-serif"/>
                <w:sz w:val="17"/>
              </w:rPr>
              <w:t xml:space="preserve">24/7, and follow the instructions. </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 xml:space="preserve">You will need the 16-digit control number that is included in the voting instructions form that is sent to you. </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The internet system allows you to confirm that the system has properly recorded your voting instructions.</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left"/>
              <w:rPr/>
            </w:pPr>
            <w:r>
              <w:rPr/>
              <w:t>​</w:t>
            </w:r>
          </w:p>
        </w:tc>
        <w:tc>
          <w:tcPr>
            <w:tcW w:w="1920" w:type="dxa"/>
            <w:tcBorders>
              <w:left w:val="single" w:sz="2" w:space="0" w:color="D9D9D9"/>
            </w:tcBorders>
            <w:tcMar>
              <w:left w:w="100"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Complete, date, sign and return your proxy card in the postage-paid envelope.</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Do not mail the proxy card if you are submitting voting instructions over the internet or by telephone.</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left"/>
              <w:rPr>
                <w:color w:val="231F20"/>
              </w:rPr>
            </w:pPr>
            <w:r>
              <w:rPr>
                <w:color w:val="231F20"/>
              </w:rPr>
              <w:t>​</w:t>
            </w:r>
          </w:p>
        </w:tc>
        <w:tc>
          <w:tcPr>
            <w:tcW w:w="1648" w:type="dxa"/>
            <w:tcBorders>
              <w:left w:val="single" w:sz="2" w:space="0" w:color="D9D9D9"/>
            </w:tcBorders>
            <w:tcMar>
              <w:left w:w="100" w:type="dxa"/>
            </w:tcMar>
            <w:vAlign w:val="center"/>
          </w:tcPr>
          <w:p>
            <w:pPr>
              <w:pStyle w:val="TableContents"/>
              <w:bidi w:val="0"/>
              <w:spacing w:lineRule="auto" w:line="285" w:before="0" w:after="0"/>
              <w:ind w:left="0" w:right="0" w:hanging="0"/>
              <w:jc w:val="left"/>
              <w:rPr>
                <w:rFonts w:ascii="Arial;Helvetica;sans-serif" w:hAnsi="Arial;Helvetica;sans-serif"/>
                <w:color w:val="231F20"/>
                <w:sz w:val="17"/>
              </w:rPr>
            </w:pPr>
            <w:r>
              <w:rPr>
                <w:rFonts w:ascii="Arial;Helvetica;sans-serif" w:hAnsi="Arial;Helvetica;sans-serif"/>
                <w:color w:val="231F20"/>
                <w:sz w:val="17"/>
              </w:rPr>
              <w:t>Scan the QR code, which can be found on your voting instructions form that is sent to you.</w:t>
            </w:r>
          </w:p>
          <w:p>
            <w:pPr>
              <w:pStyle w:val="TableContents"/>
              <w:bidi w:val="0"/>
              <w:spacing w:lineRule="auto" w:line="285" w:before="0" w:after="0"/>
              <w:ind w:left="0" w:right="0" w:hanging="0"/>
              <w:jc w:val="left"/>
              <w:rPr>
                <w:color w:val="231F20"/>
              </w:rPr>
            </w:pPr>
            <w:r>
              <w:rPr>
                <w:color w:val="231F20"/>
              </w:rPr>
              <w:t>​</w:t>
            </w:r>
          </w:p>
          <w:p>
            <w:pPr>
              <w:pStyle w:val="TableContents"/>
              <w:bidi w:val="0"/>
              <w:spacing w:lineRule="auto" w:line="285" w:before="0" w:after="0"/>
              <w:ind w:left="0" w:right="0" w:hanging="0"/>
              <w:jc w:val="left"/>
              <w:rPr>
                <w:color w:val="231F20"/>
              </w:rPr>
            </w:pPr>
            <w:r>
              <w:rPr>
                <w:color w:val="231F20"/>
              </w:rPr>
              <w:drawing>
                <wp:inline distT="0" distB="0" distL="0" distR="0">
                  <wp:extent cx="494030" cy="494030"/>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6"/>
                          <a:stretch>
                            <a:fillRect/>
                          </a:stretch>
                        </pic:blipFill>
                        <pic:spPr bwMode="auto">
                          <a:xfrm>
                            <a:off x="0" y="0"/>
                            <a:ext cx="494030" cy="494030"/>
                          </a:xfrm>
                          <a:prstGeom prst="rect">
                            <a:avLst/>
                          </a:prstGeom>
                        </pic:spPr>
                      </pic:pic>
                    </a:graphicData>
                  </a:graphic>
                </wp:inline>
              </w:drawing>
            </w:r>
          </w:p>
        </w:tc>
        <w:tc>
          <w:tcPr>
            <w:tcW w:w="157" w:type="dxa"/>
            <w:tcBorders>
              <w:right w:val="single" w:sz="2" w:space="0" w:color="D9D9D9"/>
            </w:tcBorders>
            <w:tcMar>
              <w:right w:w="100" w:type="dxa"/>
            </w:tcMar>
            <w:vAlign w:val="center"/>
          </w:tcPr>
          <w:p>
            <w:pPr>
              <w:pStyle w:val="TableContents"/>
              <w:bidi w:val="0"/>
              <w:spacing w:lineRule="auto" w:line="285" w:before="0" w:after="0"/>
              <w:ind w:left="0" w:right="0" w:hanging="0"/>
              <w:jc w:val="left"/>
              <w:rPr/>
            </w:pPr>
            <w:r>
              <w:rPr/>
              <w:t>​</w:t>
            </w:r>
          </w:p>
        </w:tc>
      </w:tr>
      <w:tr>
        <w:trPr/>
        <w:tc>
          <w:tcPr>
            <w:tcW w:w="1865" w:type="dxa"/>
            <w:tcBorders>
              <w:bottom w:val="single" w:sz="2" w:space="0" w:color="D9D9D9"/>
            </w:tcBorders>
            <w:tcMar>
              <w:bottom w:w="28" w:type="dxa"/>
            </w:tcMar>
            <w:vAlign w:val="center"/>
          </w:tcPr>
          <w:p>
            <w:pPr>
              <w:pStyle w:val="TableContents"/>
              <w:bidi w:val="0"/>
              <w:spacing w:lineRule="auto" w:line="285" w:before="40" w:after="0"/>
              <w:ind w:left="0" w:right="0" w:hanging="0"/>
              <w:jc w:val="left"/>
              <w:rPr>
                <w:color w:val="231F20"/>
              </w:rPr>
            </w:pPr>
            <w:r>
              <w:rPr>
                <w:color w:val="231F20"/>
              </w:rPr>
              <w:t>​</w:t>
            </w:r>
          </w:p>
        </w:tc>
        <w:tc>
          <w:tcPr>
            <w:tcW w:w="109" w:type="dxa"/>
            <w:tcBorders>
              <w:bottom w:val="single" w:sz="2" w:space="0" w:color="D9D9D9"/>
            </w:tcBorders>
            <w:tcMar>
              <w:bottom w:w="28" w:type="dxa"/>
            </w:tcMar>
            <w:vAlign w:val="center"/>
          </w:tcPr>
          <w:p>
            <w:pPr>
              <w:pStyle w:val="TableContents"/>
              <w:bidi w:val="0"/>
              <w:spacing w:lineRule="auto" w:line="285" w:before="40" w:after="0"/>
              <w:ind w:left="0" w:right="0" w:hanging="0"/>
              <w:jc w:val="left"/>
              <w:rPr>
                <w:color w:val="231F20"/>
              </w:rPr>
            </w:pPr>
            <w:r>
              <w:rPr>
                <w:color w:val="231F20"/>
              </w:rPr>
              <w:t>​</w:t>
            </w:r>
          </w:p>
        </w:tc>
        <w:tc>
          <w:tcPr>
            <w:tcW w:w="1820" w:type="dxa"/>
            <w:tcBorders>
              <w:bottom w:val="single" w:sz="2" w:space="0" w:color="D9D9D9"/>
            </w:tcBorders>
            <w:tcMar>
              <w:bottom w:w="28" w:type="dxa"/>
            </w:tcMar>
            <w:vAlign w:val="center"/>
          </w:tcPr>
          <w:p>
            <w:pPr>
              <w:pStyle w:val="TableContents"/>
              <w:bidi w:val="0"/>
              <w:spacing w:lineRule="auto" w:line="285" w:before="40" w:after="0"/>
              <w:ind w:left="0" w:right="0" w:hanging="0"/>
              <w:jc w:val="left"/>
              <w:rPr>
                <w:color w:val="231F20"/>
              </w:rPr>
            </w:pPr>
            <w:r>
              <w:rPr>
                <w:color w:val="231F20"/>
              </w:rPr>
              <w:t>​</w:t>
            </w:r>
          </w:p>
        </w:tc>
        <w:tc>
          <w:tcPr>
            <w:tcW w:w="109" w:type="dxa"/>
            <w:tcBorders>
              <w:bottom w:val="single" w:sz="2" w:space="0" w:color="D9D9D9"/>
            </w:tcBorders>
            <w:tcMar>
              <w:bottom w:w="28" w:type="dxa"/>
            </w:tcMar>
            <w:vAlign w:val="center"/>
          </w:tcPr>
          <w:p>
            <w:pPr>
              <w:pStyle w:val="TableContents"/>
              <w:bidi w:val="0"/>
              <w:spacing w:lineRule="auto" w:line="285" w:before="40" w:after="0"/>
              <w:ind w:left="0" w:right="0" w:hanging="0"/>
              <w:jc w:val="left"/>
              <w:rPr/>
            </w:pPr>
            <w:r>
              <w:rPr/>
              <w:t>​</w:t>
            </w:r>
          </w:p>
        </w:tc>
        <w:tc>
          <w:tcPr>
            <w:tcW w:w="2359" w:type="dxa"/>
            <w:tcBorders>
              <w:bottom w:val="single" w:sz="2" w:space="0" w:color="D9D9D9"/>
            </w:tcBorders>
            <w:tcMar>
              <w:bottom w:w="28" w:type="dxa"/>
            </w:tcMar>
            <w:vAlign w:val="center"/>
          </w:tcPr>
          <w:p>
            <w:pPr>
              <w:pStyle w:val="TableContents"/>
              <w:bidi w:val="0"/>
              <w:spacing w:lineRule="auto" w:line="285" w:before="40" w:after="0"/>
              <w:ind w:left="0" w:right="0" w:hanging="0"/>
              <w:jc w:val="left"/>
              <w:rPr/>
            </w:pPr>
            <w:r>
              <w:rPr/>
              <w:t>​</w:t>
            </w:r>
          </w:p>
        </w:tc>
        <w:tc>
          <w:tcPr>
            <w:tcW w:w="109" w:type="dxa"/>
            <w:tcBorders>
              <w:bottom w:val="single" w:sz="2" w:space="0" w:color="D9D9D9"/>
            </w:tcBorders>
            <w:tcMar>
              <w:bottom w:w="28" w:type="dxa"/>
            </w:tcMar>
            <w:vAlign w:val="center"/>
          </w:tcPr>
          <w:p>
            <w:pPr>
              <w:pStyle w:val="TableContents"/>
              <w:bidi w:val="0"/>
              <w:spacing w:lineRule="auto" w:line="285" w:before="40" w:after="0"/>
              <w:ind w:left="0" w:right="0" w:hanging="0"/>
              <w:jc w:val="left"/>
              <w:rPr/>
            </w:pPr>
            <w:r>
              <w:rPr/>
              <w:t>​</w:t>
            </w:r>
          </w:p>
        </w:tc>
        <w:tc>
          <w:tcPr>
            <w:tcW w:w="1920" w:type="dxa"/>
            <w:tcBorders>
              <w:bottom w:val="single" w:sz="2" w:space="0" w:color="D9D9D9"/>
            </w:tcBorders>
            <w:tcMar>
              <w:bottom w:w="28" w:type="dxa"/>
            </w:tcMar>
            <w:vAlign w:val="center"/>
          </w:tcPr>
          <w:p>
            <w:pPr>
              <w:pStyle w:val="TableContents"/>
              <w:bidi w:val="0"/>
              <w:spacing w:lineRule="auto" w:line="285" w:before="40" w:after="0"/>
              <w:ind w:left="0" w:right="0" w:hanging="0"/>
              <w:jc w:val="left"/>
              <w:rPr/>
            </w:pPr>
            <w:r>
              <w:rPr/>
              <w:t>​</w:t>
            </w:r>
          </w:p>
        </w:tc>
        <w:tc>
          <w:tcPr>
            <w:tcW w:w="109" w:type="dxa"/>
            <w:tcBorders>
              <w:bottom w:val="single" w:sz="2" w:space="0" w:color="D9D9D9"/>
            </w:tcBorders>
            <w:tcMar>
              <w:bottom w:w="28" w:type="dxa"/>
            </w:tcMar>
            <w:vAlign w:val="center"/>
          </w:tcPr>
          <w:p>
            <w:pPr>
              <w:pStyle w:val="TableContents"/>
              <w:bidi w:val="0"/>
              <w:spacing w:lineRule="auto" w:line="285" w:before="40" w:after="0"/>
              <w:ind w:left="0" w:right="0" w:hanging="0"/>
              <w:jc w:val="left"/>
              <w:rPr>
                <w:color w:val="231F20"/>
              </w:rPr>
            </w:pPr>
            <w:r>
              <w:rPr>
                <w:color w:val="231F20"/>
              </w:rPr>
              <w:t>​</w:t>
            </w:r>
          </w:p>
        </w:tc>
        <w:tc>
          <w:tcPr>
            <w:tcW w:w="1648" w:type="dxa"/>
            <w:tcBorders>
              <w:bottom w:val="single" w:sz="2" w:space="0" w:color="D9D9D9"/>
            </w:tcBorders>
            <w:tcMar>
              <w:bottom w:w="28" w:type="dxa"/>
            </w:tcMar>
            <w:vAlign w:val="center"/>
          </w:tcPr>
          <w:p>
            <w:pPr>
              <w:pStyle w:val="TableContents"/>
              <w:bidi w:val="0"/>
              <w:spacing w:lineRule="auto" w:line="285" w:before="40" w:after="0"/>
              <w:ind w:left="0" w:right="0" w:hanging="0"/>
              <w:jc w:val="left"/>
              <w:rPr>
                <w:color w:val="231F20"/>
              </w:rPr>
            </w:pPr>
            <w:r>
              <w:rPr>
                <w:color w:val="231F20"/>
              </w:rPr>
              <w:t>​</w:t>
            </w:r>
          </w:p>
        </w:tc>
        <w:tc>
          <w:tcPr>
            <w:tcW w:w="157" w:type="dxa"/>
            <w:tcBorders>
              <w:bottom w:val="single" w:sz="2" w:space="0" w:color="D9D9D9"/>
            </w:tcBorders>
            <w:tcMar>
              <w:bottom w:w="28" w:type="dxa"/>
            </w:tcMar>
            <w:vAlign w:val="center"/>
          </w:tcPr>
          <w:p>
            <w:pPr>
              <w:pStyle w:val="TableContents"/>
              <w:bidi w:val="0"/>
              <w:spacing w:lineRule="auto" w:line="285" w:before="20" w:after="0"/>
              <w:ind w:left="0" w:right="0" w:hanging="0"/>
              <w:jc w:val="left"/>
              <w:rPr/>
            </w:pPr>
            <w:r>
              <w:rPr/>
              <w:t>​</w:t>
            </w:r>
          </w:p>
        </w:tc>
      </w:tr>
      <w:tr>
        <w:trPr/>
        <w:tc>
          <w:tcPr>
            <w:tcW w:w="1865" w:type="dxa"/>
            <w:tcBorders>
              <w:top w:val="single" w:sz="2" w:space="0" w:color="D9D9D9"/>
            </w:tcBorders>
            <w:tcMar>
              <w:top w:w="28" w:type="dxa"/>
            </w:tcMar>
            <w:vAlign w:val="center"/>
          </w:tcPr>
          <w:p>
            <w:pPr>
              <w:pStyle w:val="TableContents"/>
              <w:bidi w:val="0"/>
              <w:spacing w:lineRule="auto" w:line="285" w:before="40" w:after="0"/>
              <w:ind w:left="0" w:right="0" w:hanging="0"/>
              <w:jc w:val="left"/>
              <w:rPr>
                <w:color w:val="005670"/>
              </w:rPr>
            </w:pPr>
            <w:r>
              <w:rPr>
                <w:color w:val="005670"/>
              </w:rPr>
              <w:t>​</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left"/>
              <w:rPr/>
            </w:pPr>
            <w:r>
              <w:rPr/>
              <w:t>​</w:t>
            </w:r>
          </w:p>
        </w:tc>
        <w:tc>
          <w:tcPr>
            <w:tcW w:w="1820" w:type="dxa"/>
            <w:tcBorders>
              <w:top w:val="single" w:sz="2" w:space="0" w:color="D9D9D9"/>
            </w:tcBorders>
            <w:tcMar>
              <w:top w:w="28" w:type="dxa"/>
            </w:tcMar>
            <w:vAlign w:val="center"/>
          </w:tcPr>
          <w:p>
            <w:pPr>
              <w:pStyle w:val="TableContents"/>
              <w:bidi w:val="0"/>
              <w:spacing w:lineRule="auto" w:line="285" w:before="0" w:after="0"/>
              <w:ind w:left="0" w:right="0" w:hanging="0"/>
              <w:jc w:val="left"/>
              <w:rPr/>
            </w:pPr>
            <w:r>
              <w:rPr/>
              <w:t>​</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left"/>
              <w:rPr/>
            </w:pPr>
            <w:r>
              <w:rPr/>
              <w:t>​</w:t>
            </w:r>
          </w:p>
        </w:tc>
        <w:tc>
          <w:tcPr>
            <w:tcW w:w="2359" w:type="dxa"/>
            <w:tcBorders>
              <w:top w:val="single" w:sz="2" w:space="0" w:color="D9D9D9"/>
            </w:tcBorders>
            <w:tcMar>
              <w:top w:w="28" w:type="dxa"/>
            </w:tcMar>
            <w:vAlign w:val="center"/>
          </w:tcPr>
          <w:p>
            <w:pPr>
              <w:pStyle w:val="TableContents"/>
              <w:bidi w:val="0"/>
              <w:spacing w:lineRule="auto" w:line="285" w:before="0" w:after="0"/>
              <w:ind w:left="0" w:right="0" w:hanging="0"/>
              <w:jc w:val="left"/>
              <w:rPr/>
            </w:pPr>
            <w:r>
              <w:rPr/>
              <w:t>​</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left"/>
              <w:rPr/>
            </w:pPr>
            <w:r>
              <w:rPr/>
              <w:t>​</w:t>
            </w:r>
          </w:p>
        </w:tc>
        <w:tc>
          <w:tcPr>
            <w:tcW w:w="1920" w:type="dxa"/>
            <w:tcBorders>
              <w:top w:val="single" w:sz="2" w:space="0" w:color="D9D9D9"/>
            </w:tcBorders>
            <w:tcMar>
              <w:top w:w="28" w:type="dxa"/>
            </w:tcMar>
            <w:vAlign w:val="center"/>
          </w:tcPr>
          <w:p>
            <w:pPr>
              <w:pStyle w:val="TableContents"/>
              <w:bidi w:val="0"/>
              <w:spacing w:lineRule="auto" w:line="285" w:before="0" w:after="0"/>
              <w:ind w:left="0" w:right="0" w:hanging="0"/>
              <w:jc w:val="left"/>
              <w:rPr/>
            </w:pPr>
            <w:r>
              <w:rPr/>
              <w:t>​</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left"/>
              <w:rPr>
                <w:color w:val="231F20"/>
              </w:rPr>
            </w:pPr>
            <w:r>
              <w:rPr>
                <w:color w:val="231F20"/>
              </w:rPr>
              <w:t>​</w:t>
            </w:r>
          </w:p>
        </w:tc>
        <w:tc>
          <w:tcPr>
            <w:tcW w:w="1648" w:type="dxa"/>
            <w:tcBorders>
              <w:top w:val="single" w:sz="2" w:space="0" w:color="D9D9D9"/>
            </w:tcBorders>
            <w:tcMar>
              <w:top w:w="28" w:type="dxa"/>
            </w:tcMar>
            <w:vAlign w:val="center"/>
          </w:tcPr>
          <w:p>
            <w:pPr>
              <w:pStyle w:val="TableContents"/>
              <w:bidi w:val="0"/>
              <w:spacing w:lineRule="auto" w:line="285" w:before="0" w:after="0"/>
              <w:ind w:left="0" w:right="0" w:hanging="0"/>
              <w:jc w:val="left"/>
              <w:rPr>
                <w:color w:val="231F20"/>
              </w:rPr>
            </w:pPr>
            <w:r>
              <w:rPr>
                <w:color w:val="231F20"/>
              </w:rPr>
              <w:t>​</w:t>
            </w:r>
          </w:p>
        </w:tc>
        <w:tc>
          <w:tcPr>
            <w:tcW w:w="157" w:type="dxa"/>
            <w:tcBorders>
              <w:top w:val="single" w:sz="2" w:space="0" w:color="D9D9D9"/>
            </w:tcBorders>
            <w:tcMar>
              <w:top w:w="28" w:type="dxa"/>
            </w:tcMar>
            <w:vAlign w:val="center"/>
          </w:tcPr>
          <w:p>
            <w:pPr>
              <w:pStyle w:val="TableContents"/>
              <w:bidi w:val="0"/>
              <w:spacing w:lineRule="auto" w:line="285" w:before="0" w:after="0"/>
              <w:ind w:left="0" w:right="0" w:hanging="0"/>
              <w:jc w:val="left"/>
              <w:rPr/>
            </w:pPr>
            <w:r>
              <w:rPr/>
              <w:t>​</w:t>
            </w:r>
          </w:p>
        </w:tc>
      </w:tr>
      <w:tr>
        <w:trPr/>
        <w:tc>
          <w:tcPr>
            <w:tcW w:w="1865" w:type="dxa"/>
            <w:tcBorders/>
            <w:vAlign w:val="center"/>
          </w:tcPr>
          <w:p>
            <w:pPr>
              <w:pStyle w:val="TableContents"/>
              <w:bidi w:val="0"/>
              <w:spacing w:lineRule="auto" w:line="285" w:before="40" w:after="0"/>
              <w:ind w:left="0" w:right="0" w:hanging="0"/>
              <w:jc w:val="left"/>
              <w:rPr>
                <w:rFonts w:ascii="Arial;Helvetica;sans-serif" w:hAnsi="Arial;Helvetica;sans-serif"/>
                <w:b/>
                <w:color w:val="4B4F54"/>
                <w:sz w:val="17"/>
              </w:rPr>
            </w:pPr>
            <w:r>
              <w:rPr>
                <w:rFonts w:ascii="Arial;Helvetica;sans-serif" w:hAnsi="Arial;Helvetica;sans-serif"/>
                <w:b/>
                <w:color w:val="4B4F54"/>
                <w:sz w:val="17"/>
              </w:rPr>
              <w:t>Beneficial Owners</w:t>
            </w:r>
          </w:p>
          <w:p>
            <w:pPr>
              <w:pStyle w:val="TableContents"/>
              <w:bidi w:val="0"/>
              <w:spacing w:lineRule="auto" w:line="285" w:before="40" w:after="0"/>
              <w:ind w:left="0" w:right="0" w:hanging="0"/>
              <w:jc w:val="left"/>
              <w:rPr>
                <w:rFonts w:ascii="Arial;Helvetica;sans-serif" w:hAnsi="Arial;Helvetica;sans-serif"/>
                <w:sz w:val="17"/>
              </w:rPr>
            </w:pPr>
            <w:r>
              <w:rPr>
                <w:rFonts w:ascii="Arial;Helvetica;sans-serif" w:hAnsi="Arial;Helvetica;sans-serif"/>
                <w:sz w:val="17"/>
              </w:rPr>
              <w:t>(shares are held “in street name” in a stock brokerage account or by a bank, nominee or other holder of record)</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left"/>
              <w:rPr/>
            </w:pPr>
            <w:r>
              <w:rPr/>
              <w:t>​</w:t>
            </w:r>
          </w:p>
        </w:tc>
        <w:tc>
          <w:tcPr>
            <w:tcW w:w="1820" w:type="dxa"/>
            <w:tcBorders>
              <w:left w:val="single" w:sz="2" w:space="0" w:color="D9D9D9"/>
            </w:tcBorders>
            <w:tcMar>
              <w:left w:w="100"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On a touch-tone telephone, call toll-free:</w:t>
              <w:br/>
              <w:t>+1 (800) 690-6903 24/7, and follow the instructions.</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You will need the 16-digit control number that is included in the voting instructions form that is sent to you.</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You will be able to confirm that the telephonic system has properly recorded your votes.</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left"/>
              <w:rPr/>
            </w:pPr>
            <w:r>
              <w:rPr/>
              <w:t>​</w:t>
            </w:r>
          </w:p>
        </w:tc>
        <w:tc>
          <w:tcPr>
            <w:tcW w:w="2359" w:type="dxa"/>
            <w:tcBorders>
              <w:left w:val="single" w:sz="2" w:space="0" w:color="D9D9D9"/>
            </w:tcBorders>
            <w:tcMar>
              <w:left w:w="100" w:type="dxa"/>
            </w:tcM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7"/>
              </w:rPr>
              <w:t xml:space="preserve">Go to </w:t>
            </w:r>
            <w:r>
              <w:rPr>
                <w:rFonts w:ascii="Arial;Helvetica;sans-serif" w:hAnsi="Arial;Helvetica;sans-serif"/>
                <w:color w:val="005670"/>
                <w:sz w:val="17"/>
              </w:rPr>
              <w:t xml:space="preserve">www.proxyvote.com </w:t>
            </w:r>
            <w:r>
              <w:rPr>
                <w:rFonts w:ascii="Arial;Helvetica;sans-serif" w:hAnsi="Arial;Helvetica;sans-serif"/>
                <w:sz w:val="17"/>
              </w:rPr>
              <w:t>24/7, and follow the instructions.</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You will need the 16-digit control number that is included in the voting instruction form that is sent to you.</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The internet system allows you to confirm that the system has properly recorded your voting instructions.</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left"/>
              <w:rPr/>
            </w:pPr>
            <w:r>
              <w:rPr/>
              <w:t>​</w:t>
            </w:r>
          </w:p>
        </w:tc>
        <w:tc>
          <w:tcPr>
            <w:tcW w:w="1920" w:type="dxa"/>
            <w:tcBorders>
              <w:left w:val="single" w:sz="2" w:space="0" w:color="D9D9D9"/>
            </w:tcBorders>
            <w:tcMar>
              <w:left w:w="100"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Complete, date, sign and return your voting information form.</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Do not mail the voting instruction form if you are submitting voting instructions over the internet or by telephone.</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left"/>
              <w:rPr>
                <w:color w:val="231F20"/>
              </w:rPr>
            </w:pPr>
            <w:r>
              <w:rPr>
                <w:color w:val="231F20"/>
              </w:rPr>
              <w:t>​</w:t>
            </w:r>
          </w:p>
        </w:tc>
        <w:tc>
          <w:tcPr>
            <w:tcW w:w="1648" w:type="dxa"/>
            <w:tcBorders>
              <w:left w:val="single" w:sz="2" w:space="0" w:color="D9D9D9"/>
            </w:tcBorders>
            <w:tcMar>
              <w:left w:w="100" w:type="dxa"/>
            </w:tcMar>
            <w:vAlign w:val="center"/>
          </w:tcPr>
          <w:p>
            <w:pPr>
              <w:pStyle w:val="TableContents"/>
              <w:bidi w:val="0"/>
              <w:spacing w:lineRule="auto" w:line="285" w:before="0" w:after="0"/>
              <w:ind w:left="0" w:right="0" w:hanging="0"/>
              <w:jc w:val="left"/>
              <w:rPr>
                <w:rFonts w:ascii="Arial;Helvetica;sans-serif" w:hAnsi="Arial;Helvetica;sans-serif"/>
                <w:color w:val="231F20"/>
                <w:sz w:val="17"/>
              </w:rPr>
            </w:pPr>
            <w:r>
              <w:rPr>
                <w:rFonts w:ascii="Arial;Helvetica;sans-serif" w:hAnsi="Arial;Helvetica;sans-serif"/>
                <w:color w:val="231F20"/>
                <w:sz w:val="17"/>
              </w:rPr>
              <w:t>Scan the QR code, which can be found on your voting instructions form that is sent to you.</w:t>
            </w:r>
          </w:p>
          <w:p>
            <w:pPr>
              <w:pStyle w:val="TableContents"/>
              <w:bidi w:val="0"/>
              <w:spacing w:lineRule="auto" w:line="285" w:before="0" w:after="0"/>
              <w:ind w:left="0" w:right="0" w:hanging="0"/>
              <w:jc w:val="left"/>
              <w:rPr>
                <w:color w:val="231F20"/>
              </w:rPr>
            </w:pPr>
            <w:r>
              <w:rPr>
                <w:color w:val="231F20"/>
              </w:rPr>
              <w:t>​</w:t>
            </w:r>
          </w:p>
          <w:p>
            <w:pPr>
              <w:pStyle w:val="TableContents"/>
              <w:bidi w:val="0"/>
              <w:spacing w:lineRule="auto" w:line="285" w:before="0" w:after="0"/>
              <w:ind w:left="0" w:right="0" w:hanging="0"/>
              <w:jc w:val="left"/>
              <w:rPr>
                <w:color w:val="231F20"/>
              </w:rPr>
            </w:pPr>
            <w:r>
              <w:rPr>
                <w:color w:val="231F20"/>
              </w:rPr>
              <w:drawing>
                <wp:inline distT="0" distB="0" distL="0" distR="0">
                  <wp:extent cx="494030" cy="49403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17"/>
                          <a:stretch>
                            <a:fillRect/>
                          </a:stretch>
                        </pic:blipFill>
                        <pic:spPr bwMode="auto">
                          <a:xfrm>
                            <a:off x="0" y="0"/>
                            <a:ext cx="494030" cy="494030"/>
                          </a:xfrm>
                          <a:prstGeom prst="rect">
                            <a:avLst/>
                          </a:prstGeom>
                        </pic:spPr>
                      </pic:pic>
                    </a:graphicData>
                  </a:graphic>
                </wp:inline>
              </w:drawing>
            </w:r>
          </w:p>
        </w:tc>
        <w:tc>
          <w:tcPr>
            <w:tcW w:w="157" w:type="dxa"/>
            <w:tcBorders>
              <w:right w:val="single" w:sz="2" w:space="0" w:color="D9D9D9"/>
            </w:tcBorders>
            <w:tcMar>
              <w:right w:w="100" w:type="dxa"/>
            </w:tcM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P-3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4" w:name="_da561dca_f413_47f1_a6fd_9796c738b581"/>
      <w:bookmarkStart w:id="15" w:name="_da561dca_f413_47f1_a6fd_9796c738b581"/>
      <w:bookmarkEnd w:id="15"/>
    </w:p>
    <w:tbl>
      <w:tblPr>
        <w:tblW w:w="3290" w:type="dxa"/>
        <w:jc w:val="left"/>
        <w:tblInd w:w="0" w:type="dxa"/>
        <w:tblLayout w:type="fixed"/>
        <w:tblCellMar>
          <w:top w:w="0" w:type="dxa"/>
          <w:left w:w="0" w:type="dxa"/>
          <w:bottom w:w="0" w:type="dxa"/>
          <w:right w:w="0" w:type="dxa"/>
        </w:tblCellMar>
      </w:tblPr>
      <w:tblGrid>
        <w:gridCol w:w="3136"/>
        <w:gridCol w:w="154"/>
      </w:tblGrid>
      <w:tr>
        <w:trPr/>
        <w:tc>
          <w:tcPr>
            <w:tcW w:w="3136"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3136" w:type="dxa"/>
            <w:tcBorders>
              <w:top w:val="single" w:sz="2" w:space="0" w:color="000000"/>
              <w:left w:val="single" w:sz="2" w:space="0" w:color="000000"/>
              <w:bottom w:val="single" w:sz="12" w:space="0" w:color="D9D9D9"/>
            </w:tcBorders>
            <w:shd w:fill="005670" w:val="clear"/>
            <w:tcMar>
              <w:top w:w="28" w:type="dxa"/>
              <w:left w:w="103" w:type="dxa"/>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PROXY STATEMENT SUMMARY</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85" w:before="0" w:after="0"/>
              <w:ind w:left="0" w:right="0" w:hanging="0"/>
              <w:jc w:val="both"/>
              <w:rPr/>
            </w:pPr>
            <w:r>
              <w:rPr/>
              <w:t>​</w:t>
            </w:r>
          </w:p>
        </w:tc>
      </w:tr>
      <w:tr>
        <w:trPr/>
        <w:tc>
          <w:tcPr>
            <w:tcW w:w="10205" w:type="dxa"/>
            <w:tcBorders/>
            <w:shd w:fill="F2F2F2" w:val="clear"/>
            <w:vAlign w:val="center"/>
          </w:tcPr>
          <w:p>
            <w:pPr>
              <w:pStyle w:val="TableContents"/>
              <w:bidi w:val="0"/>
              <w:spacing w:lineRule="auto" w:line="285" w:before="120" w:after="120"/>
              <w:ind w:left="0" w:right="0" w:hanging="0"/>
              <w:jc w:val="both"/>
              <w:rPr>
                <w:rFonts w:ascii="Arial;Helvetica;sans-serif" w:hAnsi="Arial;Helvetica;sans-serif"/>
                <w:b/>
                <w:color w:val="005670"/>
                <w:sz w:val="20"/>
              </w:rPr>
            </w:pPr>
            <w:r>
              <w:rPr>
                <w:rFonts w:ascii="Arial;Helvetica;sans-serif" w:hAnsi="Arial;Helvetica;sans-serif"/>
                <w:b/>
                <w:color w:val="005670"/>
                <w:sz w:val="20"/>
              </w:rPr>
              <w:t>YOUR VOTE IS IMPORTANT</w:t>
            </w:r>
          </w:p>
          <w:p>
            <w:pPr>
              <w:pStyle w:val="TableContents"/>
              <w:bidi w:val="0"/>
              <w:spacing w:lineRule="auto" w:line="285" w:before="0" w:after="200"/>
              <w:ind w:left="0" w:right="0" w:hanging="0"/>
              <w:jc w:val="both"/>
              <w:rPr>
                <w:rFonts w:ascii="Arial;Helvetica;sans-serif" w:hAnsi="Arial;Helvetica;sans-serif"/>
                <w:b w:val="false"/>
                <w:sz w:val="20"/>
              </w:rPr>
            </w:pPr>
            <w:r>
              <w:rPr>
                <w:rFonts w:ascii="Arial;Helvetica;sans-serif" w:hAnsi="Arial;Helvetica;sans-serif"/>
                <w:b w:val="false"/>
                <w:sz w:val="20"/>
              </w:rPr>
              <w:t xml:space="preserve">Even if you plan to attend the 2026 Annual General Meeting, you are encouraged to submit your voting instructions over the internet, by telephone or by mail as soon as possible prior to the meeting. </w:t>
            </w:r>
          </w:p>
        </w:tc>
      </w:tr>
      <w:tr>
        <w:trPr/>
        <w:tc>
          <w:tcPr>
            <w:tcW w:w="10205" w:type="dxa"/>
            <w:tcBorders/>
            <w:shd w:fill="F2F2F2" w:val="clear"/>
            <w:vAlign w:val="center"/>
          </w:tcPr>
          <w:p>
            <w:pPr>
              <w:pStyle w:val="TableContents"/>
              <w:bidi w:val="0"/>
              <w:spacing w:lineRule="auto" w:line="285" w:before="0" w:after="0"/>
              <w:ind w:left="0" w:right="0" w:hanging="0"/>
              <w:jc w:val="both"/>
              <w:rPr>
                <w:rFonts w:ascii="Arial;Helvetica;sans-serif" w:hAnsi="Arial;Helvetica;sans-serif"/>
                <w:b/>
                <w:color w:val="005670"/>
                <w:sz w:val="20"/>
              </w:rPr>
            </w:pPr>
            <w:r>
              <w:rPr>
                <w:rFonts w:ascii="Arial;Helvetica;sans-serif" w:hAnsi="Arial;Helvetica;sans-serif"/>
                <w:b/>
                <w:color w:val="005670"/>
                <w:sz w:val="20"/>
              </w:rPr>
              <w:t>IMPORTANT NOTICE REGARDING THE AVAILABILITY OF PROXY MATERIALS FOR THE 2026 ANNUAL GENERAL MEETING TO BE HELD ON MAY 22, 2026</w:t>
            </w:r>
          </w:p>
        </w:tc>
      </w:tr>
      <w:tr>
        <w:trPr/>
        <w:tc>
          <w:tcPr>
            <w:tcW w:w="10205" w:type="dxa"/>
            <w:tcBorders/>
            <w:shd w:fill="F2F2F2" w:val="clear"/>
            <w:vAlign w:val="center"/>
          </w:tcPr>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 xml:space="preserve">Our proxy statement and 2025 Annual Report are available at </w:t>
            </w:r>
            <w:r>
              <w:rPr>
                <w:rFonts w:ascii="Arial;Helvetica;sans-serif" w:hAnsi="Arial;Helvetica;sans-serif"/>
                <w:color w:val="005670"/>
                <w:sz w:val="20"/>
              </w:rPr>
              <w:t>www.proxyvote.com</w:t>
            </w:r>
            <w:r>
              <w:rPr>
                <w:rFonts w:ascii="Arial;Helvetica;sans-serif" w:hAnsi="Arial;Helvetica;sans-serif"/>
                <w:sz w:val="20"/>
              </w:rPr>
              <w:t xml:space="preserve"> or on our website </w:t>
            </w:r>
            <w:r>
              <w:rPr>
                <w:rFonts w:ascii="Arial;Helvetica;sans-serif" w:hAnsi="Arial;Helvetica;sans-serif"/>
                <w:color w:val="005670"/>
                <w:sz w:val="20"/>
              </w:rPr>
              <w:t>investor.deepwater.com</w:t>
            </w:r>
            <w:r>
              <w:rPr>
                <w:rFonts w:ascii="Arial;Helvetica;sans-serif" w:hAnsi="Arial;Helvetica;sans-serif"/>
                <w:sz w:val="20"/>
              </w:rPr>
              <w:t xml:space="preserve"> under “Financial Reports ― Annual and Quarterly Reports.” Information contained on or accessible from our website is not incorporated by reference into this proxy statement and should not be considered a part of this report or any other filing that we make with the SEC. Furthermore, references to our website URLs are intended to be inactive textual references only.</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Shareholders registered in our share register on the record date have the right to vote their shares at the 2026 Annual General Meeting. Such shareholders may designate proxies to vote their shares by submitting their proxy electronically over the internet, by telephone or, if they request that the proxy materials be mailed to them, by completing, signing and returning the proxy card enclosed with those materials. Please review the voting instructions in the proxy statement for each of these methods.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Shareholders who hold their shares in the name of a bank, broker or other nominee should follow the instructions provided by their bank, broker or nominee for voting their shares, including whether they may submit voting instructions by mail, telephone or over the internet.</w:t>
      </w:r>
    </w:p>
    <w:p>
      <w:pPr>
        <w:pStyle w:val="TextBody"/>
        <w:bidi w:val="0"/>
        <w:spacing w:lineRule="auto" w:line="304" w:before="0" w:after="0"/>
        <w:ind w:left="0" w:right="0" w:hanging="0"/>
        <w:jc w:val="both"/>
        <w:rPr>
          <w:rFonts w:ascii="Arial;Helvetica;sans-serif" w:hAnsi="Arial;Helvetica;sans-serif"/>
          <w:sz w:val="20"/>
        </w:rPr>
      </w:pPr>
      <w:r>
        <w:rPr>
          <w:rFonts w:ascii="Arial;Helvetica;sans-serif" w:hAnsi="Arial;Helvetica;sans-serif"/>
          <w:sz w:val="20"/>
        </w:rPr>
        <w:t>References to “Transocean,” the “Company,” “we,” “us” or “our” include Transocean Ltd. together with its subsidiaries and predecessors, unless the context requires otherwise. References to “Board” or “Board of Directors” mean the Board of Directors of the Company. All dollar figures in this proxy statement are in U.S. dollars unless otherwise denoted.</w:t>
      </w:r>
    </w:p>
    <w:p>
      <w:pPr>
        <w:pStyle w:val="TextBody"/>
        <w:bidi w:val="0"/>
        <w:spacing w:lineRule="auto" w:line="285" w:before="0" w:after="0"/>
        <w:ind w:left="0" w:right="0" w:hanging="0"/>
        <w:jc w:val="both"/>
        <w:rPr>
          <w:color w:val="ECA44A"/>
        </w:rPr>
      </w:pPr>
      <w:r>
        <w:rPr>
          <w:color w:val="ECA44A"/>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P-4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6" w:name="_caf3c635_a532_44b7_b049_4a70016d0e6e"/>
      <w:bookmarkStart w:id="17" w:name="_caf3c635_a532_44b7_b049_4a70016d0e6e"/>
      <w:bookmarkEnd w:id="17"/>
    </w:p>
    <w:tbl>
      <w:tblPr>
        <w:tblW w:w="3290" w:type="dxa"/>
        <w:jc w:val="left"/>
        <w:tblInd w:w="0" w:type="dxa"/>
        <w:tblLayout w:type="fixed"/>
        <w:tblCellMar>
          <w:top w:w="0" w:type="dxa"/>
          <w:left w:w="0" w:type="dxa"/>
          <w:bottom w:w="0" w:type="dxa"/>
          <w:right w:w="0" w:type="dxa"/>
        </w:tblCellMar>
      </w:tblPr>
      <w:tblGrid>
        <w:gridCol w:w="124"/>
        <w:gridCol w:w="3166"/>
      </w:tblGrid>
      <w:tr>
        <w:trPr/>
        <w:tc>
          <w:tcPr>
            <w:tcW w:w="124" w:type="dxa"/>
            <w:tcBorders/>
            <w:vAlign w:val="center"/>
          </w:tcPr>
          <w:p>
            <w:pPr>
              <w:pStyle w:val="TableContents"/>
              <w:bidi w:val="0"/>
              <w:spacing w:lineRule="auto" w:line="285" w:before="0" w:after="0"/>
              <w:ind w:left="0" w:right="0" w:hanging="0"/>
              <w:jc w:val="both"/>
              <w:rPr/>
            </w:pPr>
            <w:r>
              <w:rPr/>
              <w:t>​</w:t>
            </w:r>
          </w:p>
        </w:tc>
        <w:tc>
          <w:tcPr>
            <w:tcW w:w="3166" w:type="dxa"/>
            <w:tcBorders/>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16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PROXY STATEMENT SUMMARY</w:t>
            </w:r>
          </w:p>
        </w:tc>
      </w:tr>
    </w:tbl>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rial;Helvetica;sans-serif" w:hAnsi="Arial;Helvetica;sans-serif"/>
          <w:b/>
          <w:i w:val="false"/>
          <w:caps w:val="false"/>
          <w:smallCaps w:val="false"/>
          <w:color w:val="ECA44A"/>
          <w:sz w:val="28"/>
        </w:rPr>
      </w:pPr>
      <w:r>
        <w:rPr>
          <w:rFonts w:ascii="Arial;Helvetica;sans-serif" w:hAnsi="Arial;Helvetica;sans-serif"/>
          <w:b/>
          <w:i w:val="false"/>
          <w:caps w:val="false"/>
          <w:smallCaps w:val="false"/>
          <w:color w:val="ECA44A"/>
          <w:sz w:val="28"/>
        </w:rPr>
        <w:t>COMPANY OVERVIEW AND 2025 PERFORMANCE</w:t>
      </w:r>
    </w:p>
    <w:p>
      <w:pPr>
        <w:pStyle w:val="TextBody"/>
        <w:bidi w:val="0"/>
        <w:spacing w:lineRule="auto" w:line="285" w:before="0" w:after="240"/>
        <w:ind w:left="0" w:right="0" w:hanging="0"/>
        <w:jc w:val="both"/>
        <w:rPr>
          <w:rFonts w:ascii="Arial;Helvetica;sans-serif" w:hAnsi="Arial;Helvetica;sans-serif"/>
          <w:sz w:val="20"/>
        </w:rPr>
      </w:pPr>
      <w:r>
        <w:rPr>
          <w:rFonts w:ascii="Arial;Helvetica;sans-serif" w:hAnsi="Arial;Helvetica;sans-serif"/>
          <w:sz w:val="20"/>
        </w:rPr>
        <w:t>Transocean is a leading international provider of offshore contract drilling services for oil and gas wells. We specialize in technically demanding sectors of the global offshore drilling business with a particular focus on ultra-deepwater and harsh environment drilling services. Our drilling fleet is one of the most versatile fleets in the world, consisting of drillships and semisubmersible floaters.</w:t>
      </w:r>
    </w:p>
    <w:p>
      <w:pPr>
        <w:pStyle w:val="TextBody"/>
        <w:bidi w:val="0"/>
        <w:spacing w:lineRule="auto" w:line="285" w:before="0" w:after="240"/>
        <w:ind w:left="0" w:right="0" w:hanging="0"/>
        <w:jc w:val="both"/>
        <w:rPr>
          <w:rFonts w:ascii="Arial;Helvetica;sans-serif" w:hAnsi="Arial;Helvetica;sans-serif"/>
          <w:sz w:val="20"/>
        </w:rPr>
      </w:pPr>
      <w:r>
        <w:rPr>
          <w:rFonts w:ascii="Arial;Helvetica;sans-serif" w:hAnsi="Arial;Helvetica;sans-serif"/>
          <w:sz w:val="20"/>
        </w:rPr>
        <w:t xml:space="preserve">Transocean’s fleet of 27 mobile offshore drilling units consists of 20 ultra-deepwater floaters and seven harsh environment floaters. The graphic below shows the global market presence of our operating fleet as of our Fleet Status Report issued on February 19, 2026. </w:t>
      </w:r>
    </w:p>
    <w:p>
      <w:pPr>
        <w:pStyle w:val="TextBody"/>
        <w:bidi w:val="0"/>
        <w:spacing w:lineRule="auto" w:line="285" w:before="0" w:after="0"/>
        <w:ind w:left="0" w:right="0" w:hanging="0"/>
        <w:jc w:val="center"/>
        <w:rPr/>
      </w:pPr>
      <w:r>
        <w:rPr/>
        <w:drawing>
          <wp:inline distT="0" distB="0" distL="0" distR="0">
            <wp:extent cx="6163310" cy="4027805"/>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18"/>
                    <a:stretch>
                      <a:fillRect/>
                    </a:stretch>
                  </pic:blipFill>
                  <pic:spPr bwMode="auto">
                    <a:xfrm>
                      <a:off x="0" y="0"/>
                      <a:ext cx="6163310" cy="4027805"/>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Arial;Helvetica;sans-serif" w:hAnsi="Arial;Helvetica;sans-serif"/>
          <w:sz w:val="20"/>
        </w:rPr>
      </w:pPr>
      <w:r>
        <w:rPr>
          <w:rFonts w:ascii="Arial;Helvetica;sans-serif" w:hAnsi="Arial;Helvetica;sans-serif"/>
          <w:sz w:val="20"/>
        </w:rPr>
        <w:t>With the offshore industry’s largest high-specification floating fleet, and a relentless focus on incident-free operations and superior well construction, we believe that we are best-positioned to support our customers in the delivery of their operational and business objectives, which will ultimately translate into superior returns for our shareholders.</w:t>
      </w:r>
    </w:p>
    <w:p>
      <w:pPr>
        <w:pStyle w:val="TextBody"/>
        <w:bidi w:val="0"/>
        <w:spacing w:lineRule="auto" w:line="285" w:before="0" w:after="240"/>
        <w:ind w:left="0" w:right="0" w:hanging="0"/>
        <w:jc w:val="both"/>
        <w:rPr>
          <w:rFonts w:ascii="Arial;Helvetica;sans-serif" w:hAnsi="Arial;Helvetica;sans-serif"/>
          <w:sz w:val="20"/>
        </w:rPr>
      </w:pPr>
      <w:r>
        <w:rPr>
          <w:rFonts w:ascii="Arial;Helvetica;sans-serif" w:hAnsi="Arial;Helvetica;sans-serif"/>
          <w:sz w:val="20"/>
        </w:rPr>
        <w:t>In 2025, we achieved exceptional operational performance. Importantly, we delivered a company-best total recordable incident rate (“TRIR”) of 0.19, below our established objective of 0.20. We also delivered uptime of 97.7% across our global fleet of floaters that are focused on ultra-deepwater and harsh environment operations, which present the most challenging operational conditions.</w:t>
      </w:r>
    </w:p>
    <w:p>
      <w:pPr>
        <w:pStyle w:val="TextBody"/>
        <w:bidi w:val="0"/>
        <w:spacing w:lineRule="auto" w:line="285" w:before="0" w:after="240"/>
        <w:ind w:left="0" w:right="0" w:hanging="0"/>
        <w:jc w:val="both"/>
        <w:rPr>
          <w:rFonts w:ascii="Arial;Helvetica;sans-serif" w:hAnsi="Arial;Helvetica;sans-serif"/>
          <w:sz w:val="20"/>
        </w:rPr>
      </w:pPr>
      <w:r>
        <w:rPr>
          <w:rFonts w:ascii="Arial;Helvetica;sans-serif" w:hAnsi="Arial;Helvetica;sans-serif"/>
          <w:sz w:val="20"/>
        </w:rPr>
        <w:t>We believe hydrocarbons will continue to be a critical source of energy for the foreseeable future. Many policy makers are prioritizing energy security, resulting in a diverse and resilient supply portfolio of energy, which we expect will support sustained, long-term demand for oil and natural gas.</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P-5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290" w:type="dxa"/>
        <w:jc w:val="left"/>
        <w:tblInd w:w="0" w:type="dxa"/>
        <w:tblLayout w:type="fixed"/>
        <w:tblCellMar>
          <w:top w:w="0" w:type="dxa"/>
          <w:left w:w="0" w:type="dxa"/>
          <w:bottom w:w="0" w:type="dxa"/>
          <w:right w:w="0" w:type="dxa"/>
        </w:tblCellMar>
      </w:tblPr>
      <w:tblGrid>
        <w:gridCol w:w="3136"/>
        <w:gridCol w:w="154"/>
      </w:tblGrid>
      <w:tr>
        <w:trPr/>
        <w:tc>
          <w:tcPr>
            <w:tcW w:w="3136"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3136" w:type="dxa"/>
            <w:tcBorders>
              <w:top w:val="single" w:sz="2" w:space="0" w:color="000000"/>
              <w:left w:val="single" w:sz="2" w:space="0" w:color="000000"/>
              <w:bottom w:val="single" w:sz="12" w:space="0" w:color="D9D9D9"/>
            </w:tcBorders>
            <w:shd w:fill="005670" w:val="clear"/>
            <w:tcMar>
              <w:top w:w="28" w:type="dxa"/>
              <w:left w:w="103" w:type="dxa"/>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PROXY STATEMENT SUMMARY</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i w:val="false"/>
          <w:caps w:val="false"/>
          <w:smallCaps w:val="false"/>
          <w:color w:val="ECA44A"/>
          <w:sz w:val="28"/>
        </w:rPr>
      </w:pPr>
      <w:r>
        <w:rPr>
          <w:rFonts w:ascii="Arial;Helvetica;sans-serif" w:hAnsi="Arial;Helvetica;sans-serif"/>
          <w:b/>
          <w:i w:val="false"/>
          <w:caps w:val="false"/>
          <w:smallCaps w:val="false"/>
          <w:color w:val="ECA44A"/>
          <w:sz w:val="28"/>
        </w:rPr>
        <w:t>NOMINEES TO THE BOARD OF DIRECTORS</w:t>
      </w:r>
    </w:p>
    <w:p>
      <w:pPr>
        <w:pStyle w:val="TextBody"/>
        <w:bidi w:val="0"/>
        <w:spacing w:lineRule="auto" w:line="285" w:before="0" w:after="240"/>
        <w:ind w:left="0" w:right="0" w:hanging="0"/>
        <w:jc w:val="both"/>
        <w:rPr>
          <w:rFonts w:ascii="Arial;Helvetica;sans-serif" w:hAnsi="Arial;Helvetica;sans-serif"/>
          <w:sz w:val="20"/>
        </w:rPr>
      </w:pPr>
      <w:r>
        <w:rPr>
          <w:rFonts w:ascii="Arial;Helvetica;sans-serif" w:hAnsi="Arial;Helvetica;sans-serif"/>
          <w:sz w:val="20"/>
        </w:rPr>
        <w:t>As the market leader in offshore drilling, Transocean has attracted and retained the most qualified Board of Directors and leadership team in the industry. The terms of all our current directors will expire at the 2026 Annual General Meeting. In recent years, we have added new members to our Board of Directors, each of whom contributes to the diversity of experience and background of our Board of Directors.</w:t>
      </w:r>
    </w:p>
    <w:p>
      <w:pPr>
        <w:pStyle w:val="TextBody"/>
        <w:bidi w:val="0"/>
        <w:spacing w:lineRule="auto" w:line="285" w:before="0" w:after="240"/>
        <w:ind w:left="0" w:right="0" w:hanging="0"/>
        <w:jc w:val="both"/>
        <w:rPr>
          <w:rFonts w:ascii="Arial;Helvetica;sans-serif" w:hAnsi="Arial;Helvetica;sans-serif"/>
          <w:sz w:val="20"/>
        </w:rPr>
      </w:pPr>
      <w:r>
        <w:rPr>
          <w:rFonts w:ascii="Arial;Helvetica;sans-serif" w:hAnsi="Arial;Helvetica;sans-serif"/>
          <w:sz w:val="20"/>
        </w:rPr>
        <w:t>Each of our director nominees has a proven record of success and high integrity and is committed to advancing our shareholders’ interests and enhancing the Company’s environmental and safety objectives. During 2025, each of our current directors attended 100% of the Board of Directors’ meetings and meetings of committees on which he or she served.</w:t>
      </w:r>
    </w:p>
    <w:p>
      <w:pPr>
        <w:pStyle w:val="TextBody"/>
        <w:bidi w:val="0"/>
        <w:spacing w:lineRule="auto" w:line="285" w:before="0" w:after="240"/>
        <w:ind w:left="0" w:right="0" w:hanging="0"/>
        <w:jc w:val="both"/>
        <w:rPr>
          <w:rFonts w:ascii="Arial;Helvetica;sans-serif" w:hAnsi="Arial;Helvetica;sans-serif"/>
          <w:sz w:val="20"/>
        </w:rPr>
      </w:pPr>
      <w:r>
        <w:rPr>
          <w:rFonts w:ascii="Arial;Helvetica;sans-serif" w:hAnsi="Arial;Helvetica;sans-serif"/>
          <w:sz w:val="20"/>
        </w:rPr>
        <w:t>Additional information regarding the director nominees for election is provided below and under Agenda Item 5.</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P-6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290" w:type="dxa"/>
        <w:jc w:val="left"/>
        <w:tblInd w:w="0" w:type="dxa"/>
        <w:tblLayout w:type="fixed"/>
        <w:tblCellMar>
          <w:top w:w="0" w:type="dxa"/>
          <w:left w:w="0" w:type="dxa"/>
          <w:bottom w:w="0" w:type="dxa"/>
          <w:right w:w="0" w:type="dxa"/>
        </w:tblCellMar>
      </w:tblPr>
      <w:tblGrid>
        <w:gridCol w:w="124"/>
        <w:gridCol w:w="3166"/>
      </w:tblGrid>
      <w:tr>
        <w:trPr/>
        <w:tc>
          <w:tcPr>
            <w:tcW w:w="124" w:type="dxa"/>
            <w:tcBorders/>
            <w:vAlign w:val="center"/>
          </w:tcPr>
          <w:p>
            <w:pPr>
              <w:pStyle w:val="TableContents"/>
              <w:bidi w:val="0"/>
              <w:spacing w:lineRule="auto" w:line="285" w:before="0" w:after="0"/>
              <w:ind w:left="0" w:right="0" w:hanging="0"/>
              <w:jc w:val="both"/>
              <w:rPr/>
            </w:pPr>
            <w:r>
              <w:rPr/>
              <w:t>​</w:t>
            </w:r>
          </w:p>
        </w:tc>
        <w:tc>
          <w:tcPr>
            <w:tcW w:w="3166" w:type="dxa"/>
            <w:tcBorders/>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16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PROXY STATEMENT SUMMARY</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20"/>
        <w:gridCol w:w="115"/>
        <w:gridCol w:w="2375"/>
        <w:gridCol w:w="407"/>
        <w:gridCol w:w="823"/>
        <w:gridCol w:w="961"/>
        <w:gridCol w:w="481"/>
        <w:gridCol w:w="1081"/>
        <w:gridCol w:w="646"/>
        <w:gridCol w:w="707"/>
        <w:gridCol w:w="721"/>
        <w:gridCol w:w="1268"/>
      </w:tblGrid>
      <w:tr>
        <w:trPr/>
        <w:tc>
          <w:tcPr>
            <w:tcW w:w="735" w:type="dxa"/>
            <w:gridSpan w:val="2"/>
            <w:tcBorders/>
            <w:vAlign w:val="center"/>
          </w:tcPr>
          <w:p>
            <w:pPr>
              <w:pStyle w:val="TableContents"/>
              <w:bidi w:val="0"/>
              <w:spacing w:lineRule="auto" w:line="285" w:before="0" w:after="0"/>
              <w:ind w:left="0" w:right="0" w:hanging="0"/>
              <w:jc w:val="both"/>
              <w:rPr/>
            </w:pPr>
            <w:r>
              <w:rPr/>
              <w:t>​</w:t>
            </w:r>
          </w:p>
        </w:tc>
        <w:tc>
          <w:tcPr>
            <w:tcW w:w="2375" w:type="dxa"/>
            <w:tcBorders/>
            <w:vAlign w:val="center"/>
          </w:tcPr>
          <w:p>
            <w:pPr>
              <w:pStyle w:val="TableContents"/>
              <w:bidi w:val="0"/>
              <w:spacing w:lineRule="atLeast" w:line="180" w:before="20" w:after="20"/>
              <w:ind w:left="0" w:right="0" w:hanging="0"/>
              <w:jc w:val="left"/>
              <w:rPr>
                <w:rFonts w:ascii="Arial;Helvetica;sans-serif" w:hAnsi="Arial;Helvetica;sans-serif"/>
                <w:sz w:val="16"/>
              </w:rPr>
            </w:pPr>
            <w:r>
              <w:rPr>
                <w:rFonts w:ascii="Arial;Helvetica;sans-serif" w:hAnsi="Arial;Helvetica;sans-serif"/>
                <w:sz w:val="16"/>
              </w:rPr>
              <w:t>COO, Transocean Ltd.</w:t>
            </w:r>
          </w:p>
          <w:p>
            <w:pPr>
              <w:pStyle w:val="TableContents"/>
              <w:bidi w:val="0"/>
              <w:spacing w:lineRule="auto" w:line="285" w:before="0" w:after="0"/>
              <w:ind w:left="0" w:right="0" w:hanging="0"/>
              <w:jc w:val="both"/>
              <w:rPr/>
            </w:pPr>
            <w:r>
              <w:rPr/>
              <w:t>​</w:t>
            </w:r>
          </w:p>
        </w:tc>
        <w:tc>
          <w:tcPr>
            <w:tcW w:w="407" w:type="dxa"/>
            <w:tcBorders/>
            <w:vAlign w:val="center"/>
          </w:tcPr>
          <w:p>
            <w:pPr>
              <w:pStyle w:val="TableContents"/>
              <w:bidi w:val="0"/>
              <w:spacing w:lineRule="auto" w:line="285" w:before="0" w:after="0"/>
              <w:ind w:left="0" w:right="0" w:hanging="0"/>
              <w:jc w:val="both"/>
              <w:rPr/>
            </w:pPr>
            <w:r>
              <w:rPr/>
              <w:t>​</w:t>
            </w:r>
          </w:p>
        </w:tc>
        <w:tc>
          <w:tcPr>
            <w:tcW w:w="823" w:type="dxa"/>
            <w:tcBorders/>
            <w:vAlign w:val="center"/>
          </w:tcPr>
          <w:p>
            <w:pPr>
              <w:pStyle w:val="TableContents"/>
              <w:bidi w:val="0"/>
              <w:spacing w:lineRule="auto" w:line="285" w:before="0" w:after="0"/>
              <w:ind w:left="0" w:right="0" w:hanging="0"/>
              <w:jc w:val="both"/>
              <w:rPr/>
            </w:pPr>
            <w:r>
              <w:rPr/>
              <w:t>​</w:t>
            </w:r>
          </w:p>
        </w:tc>
        <w:tc>
          <w:tcPr>
            <w:tcW w:w="961" w:type="dxa"/>
            <w:tcBorders/>
            <w:vAlign w:val="center"/>
          </w:tcPr>
          <w:p>
            <w:pPr>
              <w:pStyle w:val="TableContents"/>
              <w:bidi w:val="0"/>
              <w:spacing w:lineRule="auto" w:line="285" w:before="0" w:after="0"/>
              <w:ind w:left="0" w:right="0" w:hanging="0"/>
              <w:jc w:val="both"/>
              <w:rPr/>
            </w:pPr>
            <w:r>
              <w:rPr/>
              <w:t>​</w:t>
            </w:r>
          </w:p>
        </w:tc>
        <w:tc>
          <w:tcPr>
            <w:tcW w:w="481" w:type="dxa"/>
            <w:tcBorders/>
            <w:vAlign w:val="center"/>
          </w:tcPr>
          <w:p>
            <w:pPr>
              <w:pStyle w:val="TableContents"/>
              <w:bidi w:val="0"/>
              <w:spacing w:lineRule="auto" w:line="285" w:before="0" w:after="0"/>
              <w:ind w:left="0" w:right="0" w:hanging="0"/>
              <w:jc w:val="both"/>
              <w:rPr/>
            </w:pPr>
            <w:r>
              <w:rPr/>
              <w:t>​</w:t>
            </w:r>
          </w:p>
        </w:tc>
        <w:tc>
          <w:tcPr>
            <w:tcW w:w="1081" w:type="dxa"/>
            <w:tcBorders/>
            <w:vAlign w:val="center"/>
          </w:tcPr>
          <w:p>
            <w:pPr>
              <w:pStyle w:val="TableContents"/>
              <w:bidi w:val="0"/>
              <w:spacing w:lineRule="auto" w:line="285" w:before="0" w:after="0"/>
              <w:ind w:left="0" w:right="0" w:hanging="0"/>
              <w:jc w:val="both"/>
              <w:rPr/>
            </w:pPr>
            <w:r>
              <w:rPr/>
              <w:t>​</w:t>
            </w:r>
          </w:p>
        </w:tc>
        <w:tc>
          <w:tcPr>
            <w:tcW w:w="646" w:type="dxa"/>
            <w:tcBorders/>
            <w:vAlign w:val="center"/>
          </w:tcPr>
          <w:p>
            <w:pPr>
              <w:pStyle w:val="TableContents"/>
              <w:bidi w:val="0"/>
              <w:spacing w:lineRule="auto" w:line="285" w:before="0" w:after="0"/>
              <w:ind w:left="0" w:right="0" w:hanging="0"/>
              <w:jc w:val="both"/>
              <w:rPr/>
            </w:pPr>
            <w:r>
              <w:rPr/>
              <w:t>​</w:t>
            </w:r>
          </w:p>
        </w:tc>
        <w:tc>
          <w:tcPr>
            <w:tcW w:w="1428" w:type="dxa"/>
            <w:gridSpan w:val="2"/>
            <w:tcBorders/>
            <w:vAlign w:val="center"/>
          </w:tcPr>
          <w:p>
            <w:pPr>
              <w:pStyle w:val="TableContents"/>
              <w:bidi w:val="0"/>
              <w:spacing w:lineRule="auto" w:line="285" w:before="0" w:after="0"/>
              <w:ind w:left="0" w:right="0" w:hanging="0"/>
              <w:jc w:val="both"/>
              <w:rPr/>
            </w:pPr>
            <w:r>
              <w:rPr/>
              <w:t>​</w:t>
            </w:r>
          </w:p>
        </w:tc>
        <w:tc>
          <w:tcPr>
            <w:tcW w:w="1268" w:type="dxa"/>
            <w:tcBorders/>
            <w:vAlign w:val="center"/>
          </w:tcPr>
          <w:p>
            <w:pPr>
              <w:pStyle w:val="TableContents"/>
              <w:bidi w:val="0"/>
              <w:spacing w:lineRule="auto" w:line="285" w:before="0" w:after="0"/>
              <w:ind w:left="0" w:right="0" w:hanging="0"/>
              <w:jc w:val="both"/>
              <w:rPr/>
            </w:pPr>
            <w:r>
              <w:rPr/>
              <w:t>​</w:t>
            </w:r>
          </w:p>
        </w:tc>
      </w:tr>
      <w:tr>
        <w:trPr/>
        <w:tc>
          <w:tcPr>
            <w:tcW w:w="3110" w:type="dxa"/>
            <w:gridSpan w:val="3"/>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2026 NOMINEES</w:t>
            </w:r>
          </w:p>
        </w:tc>
        <w:tc>
          <w:tcPr>
            <w:tcW w:w="407" w:type="dxa"/>
            <w:tcBorders/>
            <w:vAlign w:val="center"/>
          </w:tcPr>
          <w:p>
            <w:pPr>
              <w:pStyle w:val="TableContents"/>
              <w:bidi w:val="0"/>
              <w:spacing w:lineRule="auto" w:line="285" w:before="0" w:after="0"/>
              <w:ind w:left="0" w:right="0" w:hanging="0"/>
              <w:jc w:val="center"/>
              <w:rPr>
                <w:color w:val="797375"/>
              </w:rPr>
            </w:pPr>
            <w:r>
              <w:rPr>
                <w:color w:val="797375"/>
              </w:rPr>
              <w:t>​</w:t>
            </w:r>
          </w:p>
        </w:tc>
        <w:tc>
          <w:tcPr>
            <w:tcW w:w="823" w:type="dxa"/>
            <w:tcBorders/>
            <w:vAlign w:val="center"/>
          </w:tcPr>
          <w:p>
            <w:pPr>
              <w:pStyle w:val="TableContents"/>
              <w:bidi w:val="0"/>
              <w:spacing w:lineRule="auto" w:line="285" w:before="0" w:after="0"/>
              <w:ind w:left="0" w:right="0" w:hanging="0"/>
              <w:jc w:val="center"/>
              <w:rPr>
                <w:color w:val="797375"/>
              </w:rPr>
            </w:pPr>
            <w:r>
              <w:rPr>
                <w:color w:val="797375"/>
              </w:rPr>
              <w:t>​</w:t>
            </w:r>
          </w:p>
        </w:tc>
        <w:tc>
          <w:tcPr>
            <w:tcW w:w="961" w:type="dxa"/>
            <w:tcBorders/>
            <w:vAlign w:val="center"/>
          </w:tcPr>
          <w:p>
            <w:pPr>
              <w:pStyle w:val="TableContents"/>
              <w:bidi w:val="0"/>
              <w:spacing w:lineRule="auto" w:line="285" w:before="0" w:after="0"/>
              <w:ind w:left="0" w:right="0" w:hanging="0"/>
              <w:jc w:val="center"/>
              <w:rPr>
                <w:color w:val="797375"/>
              </w:rPr>
            </w:pPr>
            <w:r>
              <w:rPr>
                <w:color w:val="797375"/>
              </w:rPr>
              <w:t>​</w:t>
            </w:r>
          </w:p>
        </w:tc>
        <w:tc>
          <w:tcPr>
            <w:tcW w:w="2915" w:type="dxa"/>
            <w:gridSpan w:val="4"/>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CURRENT COMMITTEES</w:t>
            </w:r>
          </w:p>
        </w:tc>
        <w:tc>
          <w:tcPr>
            <w:tcW w:w="1989" w:type="dxa"/>
            <w:gridSpan w:val="2"/>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110" w:type="dxa"/>
            <w:gridSpan w:val="3"/>
            <w:tcBorders>
              <w:bottom w:val="single" w:sz="12" w:space="0" w:color="ECA44A"/>
            </w:tcBorders>
            <w:tcMar>
              <w:bottom w:w="28" w:type="dxa"/>
            </w:tcMar>
            <w:vAlign w:val="center"/>
          </w:tcPr>
          <w:p>
            <w:pPr>
              <w:pStyle w:val="TableContents"/>
              <w:bidi w:val="0"/>
              <w:spacing w:lineRule="atLeast" w:line="180" w:before="20" w:after="20"/>
              <w:ind w:left="0" w:right="0" w:hanging="0"/>
              <w:jc w:val="left"/>
              <w:rPr>
                <w:rFonts w:ascii="Arial;Helvetica;sans-serif" w:hAnsi="Arial;Helvetica;sans-serif"/>
                <w:b/>
                <w:color w:val="4B4F54"/>
                <w:sz w:val="12"/>
              </w:rPr>
            </w:pPr>
            <w:r>
              <w:rPr>
                <w:rFonts w:ascii="Arial;Helvetica;sans-serif" w:hAnsi="Arial;Helvetica;sans-serif"/>
                <w:b/>
                <w:color w:val="4B4F54"/>
                <w:sz w:val="12"/>
              </w:rPr>
              <w:t>DIRECTORS FOR ELECTION</w:t>
            </w:r>
          </w:p>
        </w:tc>
        <w:tc>
          <w:tcPr>
            <w:tcW w:w="407" w:type="dxa"/>
            <w:tcBorders>
              <w:bottom w:val="single" w:sz="12" w:space="0" w:color="ECA44A"/>
            </w:tcBorders>
            <w:tcMar>
              <w:bottom w:w="28" w:type="dxa"/>
            </w:tcMar>
            <w:vAlign w:val="center"/>
          </w:tcPr>
          <w:p>
            <w:pPr>
              <w:pStyle w:val="TableContents"/>
              <w:bidi w:val="0"/>
              <w:spacing w:lineRule="auto" w:line="240" w:before="20" w:after="20"/>
              <w:ind w:left="0" w:right="0" w:hanging="0"/>
              <w:jc w:val="center"/>
              <w:rPr>
                <w:rFonts w:ascii="Arial;Helvetica;sans-serif" w:hAnsi="Arial;Helvetica;sans-serif"/>
                <w:sz w:val="12"/>
              </w:rPr>
            </w:pPr>
            <w:r>
              <w:rPr>
                <w:rFonts w:ascii="Arial;Helvetica;sans-serif" w:hAnsi="Arial;Helvetica;sans-serif"/>
                <w:b/>
                <w:color w:val="4B4F54"/>
                <w:sz w:val="12"/>
              </w:rPr>
              <w:t>AGE</w:t>
            </w:r>
            <w:r>
              <w:rPr>
                <w:rFonts w:ascii="Arial;Helvetica;sans-serif" w:hAnsi="Arial;Helvetica;sans-serif"/>
                <w:b/>
                <w:color w:val="4B4F54"/>
                <w:sz w:val="9"/>
              </w:rPr>
              <w:t>(1)</w:t>
            </w:r>
          </w:p>
        </w:tc>
        <w:tc>
          <w:tcPr>
            <w:tcW w:w="823" w:type="dxa"/>
            <w:tcBorders>
              <w:bottom w:val="single" w:sz="12" w:space="0" w:color="ECA44A"/>
            </w:tcBorders>
            <w:tcMar>
              <w:bottom w:w="28" w:type="dxa"/>
            </w:tcMar>
            <w:vAlign w:val="center"/>
          </w:tcPr>
          <w:p>
            <w:pPr>
              <w:pStyle w:val="TableContents"/>
              <w:bidi w:val="0"/>
              <w:spacing w:lineRule="auto" w:line="285" w:before="20" w:after="20"/>
              <w:ind w:left="0" w:right="0" w:hanging="0"/>
              <w:jc w:val="center"/>
              <w:rPr>
                <w:rFonts w:ascii="Arial;Helvetica;sans-serif" w:hAnsi="Arial;Helvetica;sans-serif"/>
                <w:b/>
                <w:color w:val="4B4F54"/>
                <w:sz w:val="12"/>
              </w:rPr>
            </w:pPr>
            <w:r>
              <w:rPr>
                <w:rFonts w:ascii="Arial;Helvetica;sans-serif" w:hAnsi="Arial;Helvetica;sans-serif"/>
                <w:b/>
                <w:color w:val="4B4F54"/>
                <w:sz w:val="12"/>
              </w:rPr>
              <w:t>DIRECTOR SINCE</w:t>
            </w:r>
          </w:p>
        </w:tc>
        <w:tc>
          <w:tcPr>
            <w:tcW w:w="961" w:type="dxa"/>
            <w:tcBorders>
              <w:bottom w:val="single" w:sz="12" w:space="0" w:color="ECA44A"/>
            </w:tcBorders>
            <w:tcMar>
              <w:bottom w:w="28" w:type="dxa"/>
            </w:tcMar>
            <w:vAlign w:val="center"/>
          </w:tcPr>
          <w:p>
            <w:pPr>
              <w:pStyle w:val="TableContents"/>
              <w:bidi w:val="0"/>
              <w:spacing w:lineRule="auto" w:line="285" w:before="20" w:after="20"/>
              <w:ind w:left="0" w:right="0" w:hanging="0"/>
              <w:jc w:val="center"/>
              <w:rPr>
                <w:rFonts w:ascii="Arial;Helvetica;sans-serif" w:hAnsi="Arial;Helvetica;sans-serif"/>
                <w:b/>
                <w:color w:val="4B4F54"/>
                <w:sz w:val="12"/>
              </w:rPr>
            </w:pPr>
            <w:r>
              <w:rPr>
                <w:rFonts w:ascii="Arial;Helvetica;sans-serif" w:hAnsi="Arial;Helvetica;sans-serif"/>
                <w:b/>
                <w:color w:val="4B4F54"/>
                <w:sz w:val="12"/>
              </w:rPr>
              <w:t>INDEPENDENT</w:t>
            </w:r>
          </w:p>
        </w:tc>
        <w:tc>
          <w:tcPr>
            <w:tcW w:w="481" w:type="dxa"/>
            <w:tcBorders>
              <w:top w:val="single" w:sz="2" w:space="0" w:color="D9D9D9"/>
              <w:bottom w:val="single" w:sz="12" w:space="0" w:color="ECA44A"/>
            </w:tcBorders>
            <w:shd w:fill="F2F2F2" w:val="clear"/>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b/>
                <w:color w:val="4B4F54"/>
                <w:sz w:val="12"/>
              </w:rPr>
            </w:pPr>
            <w:r>
              <w:rPr>
                <w:rFonts w:ascii="Arial;Helvetica;sans-serif" w:hAnsi="Arial;Helvetica;sans-serif"/>
                <w:b/>
                <w:color w:val="4B4F54"/>
                <w:sz w:val="12"/>
              </w:rPr>
              <w:t>AUDIT</w:t>
            </w:r>
          </w:p>
        </w:tc>
        <w:tc>
          <w:tcPr>
            <w:tcW w:w="1081" w:type="dxa"/>
            <w:tcBorders>
              <w:top w:val="single" w:sz="2" w:space="0" w:color="D9D9D9"/>
              <w:bottom w:val="single" w:sz="12" w:space="0" w:color="ECA44A"/>
            </w:tcBorders>
            <w:shd w:fill="F2F2F2" w:val="clear"/>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b/>
                <w:color w:val="4B4F54"/>
                <w:sz w:val="12"/>
              </w:rPr>
            </w:pPr>
            <w:r>
              <w:rPr>
                <w:rFonts w:ascii="Arial;Helvetica;sans-serif" w:hAnsi="Arial;Helvetica;sans-serif"/>
                <w:b/>
                <w:color w:val="4B4F54"/>
                <w:sz w:val="12"/>
              </w:rPr>
              <w:t>COMPENSATION</w:t>
            </w:r>
          </w:p>
        </w:tc>
        <w:tc>
          <w:tcPr>
            <w:tcW w:w="646" w:type="dxa"/>
            <w:tcBorders>
              <w:top w:val="single" w:sz="2" w:space="0" w:color="D9D9D9"/>
              <w:bottom w:val="single" w:sz="12" w:space="0" w:color="ECA44A"/>
            </w:tcBorders>
            <w:shd w:fill="F2F2F2" w:val="clear"/>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b/>
                <w:color w:val="4B4F54"/>
                <w:sz w:val="12"/>
              </w:rPr>
            </w:pPr>
            <w:r>
              <w:rPr>
                <w:rFonts w:ascii="Arial;Helvetica;sans-serif" w:hAnsi="Arial;Helvetica;sans-serif"/>
                <w:b/>
                <w:color w:val="4B4F54"/>
                <w:sz w:val="12"/>
              </w:rPr>
              <w:t>FINANCE</w:t>
            </w:r>
          </w:p>
        </w:tc>
        <w:tc>
          <w:tcPr>
            <w:tcW w:w="1428" w:type="dxa"/>
            <w:gridSpan w:val="2"/>
            <w:tcBorders>
              <w:top w:val="single" w:sz="2" w:space="0" w:color="D9D9D9"/>
              <w:bottom w:val="single" w:sz="12" w:space="0" w:color="ECA44A"/>
            </w:tcBorders>
            <w:shd w:fill="F2F2F2" w:val="clear"/>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b/>
                <w:color w:val="4B4F54"/>
                <w:sz w:val="12"/>
              </w:rPr>
            </w:pPr>
            <w:r>
              <w:rPr>
                <w:rFonts w:ascii="Arial;Helvetica;sans-serif" w:hAnsi="Arial;Helvetica;sans-serif"/>
                <w:b/>
                <w:color w:val="4B4F54"/>
                <w:sz w:val="12"/>
              </w:rPr>
              <w:t>GOVERNANCE, SAFETY &amp; ENVIRONMENT</w:t>
            </w:r>
          </w:p>
        </w:tc>
        <w:tc>
          <w:tcPr>
            <w:tcW w:w="1268" w:type="dxa"/>
            <w:tcBorders>
              <w:bottom w:val="single" w:sz="12" w:space="0" w:color="ECA44A"/>
            </w:tcBorders>
            <w:shd w:fill="FFFFFF" w:val="clear"/>
            <w:tcMar>
              <w:bottom w:w="28" w:type="dxa"/>
            </w:tcMar>
            <w:vAlign w:val="center"/>
          </w:tcPr>
          <w:p>
            <w:pPr>
              <w:pStyle w:val="TableContents"/>
              <w:bidi w:val="0"/>
              <w:spacing w:lineRule="auto" w:line="240" w:before="20" w:after="20"/>
              <w:ind w:left="0" w:right="0" w:hanging="0"/>
              <w:jc w:val="center"/>
              <w:rPr>
                <w:rFonts w:ascii="Arial;Helvetica;sans-serif" w:hAnsi="Arial;Helvetica;sans-serif"/>
                <w:sz w:val="12"/>
              </w:rPr>
            </w:pPr>
            <w:r>
              <w:rPr>
                <w:rFonts w:ascii="Arial;Helvetica;sans-serif" w:hAnsi="Arial;Helvetica;sans-serif"/>
                <w:b/>
                <w:color w:val="4B4F54"/>
                <w:sz w:val="12"/>
              </w:rPr>
              <w:t>OTHER CURRENT PUBLIC COMPANY BOARDS</w:t>
            </w:r>
            <w:r>
              <w:rPr>
                <w:rFonts w:ascii="Arial;Helvetica;sans-serif" w:hAnsi="Arial;Helvetica;sans-serif"/>
                <w:b/>
                <w:color w:val="4B4F54"/>
                <w:sz w:val="9"/>
              </w:rPr>
              <w:t>(1)</w:t>
            </w:r>
          </w:p>
        </w:tc>
      </w:tr>
      <w:tr>
        <w:trPr/>
        <w:tc>
          <w:tcPr>
            <w:tcW w:w="735" w:type="dxa"/>
            <w:gridSpan w:val="2"/>
            <w:tcBorders>
              <w:top w:val="single" w:sz="12" w:space="0" w:color="ECA44A"/>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pPr>
            <w:r>
              <w:rPr/>
              <w:drawing>
                <wp:inline distT="0" distB="0" distL="0" distR="0">
                  <wp:extent cx="402590" cy="539750"/>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19"/>
                          <a:stretch>
                            <a:fillRect/>
                          </a:stretch>
                        </pic:blipFill>
                        <pic:spPr bwMode="auto">
                          <a:xfrm>
                            <a:off x="0" y="0"/>
                            <a:ext cx="402590" cy="539750"/>
                          </a:xfrm>
                          <a:prstGeom prst="rect">
                            <a:avLst/>
                          </a:prstGeom>
                        </pic:spPr>
                      </pic:pic>
                    </a:graphicData>
                  </a:graphic>
                </wp:inline>
              </w:drawing>
            </w:r>
          </w:p>
        </w:tc>
        <w:tc>
          <w:tcPr>
            <w:tcW w:w="2375" w:type="dxa"/>
            <w:tcBorders>
              <w:top w:val="single" w:sz="12" w:space="0" w:color="ECA44A"/>
              <w:bottom w:val="single" w:sz="2" w:space="0" w:color="D9D9D9"/>
            </w:tcBorders>
            <w:tcMar>
              <w:top w:w="28" w:type="dxa"/>
              <w:bottom w:w="28" w:type="dxa"/>
            </w:tcMar>
            <w:vAlign w:val="center"/>
          </w:tcPr>
          <w:p>
            <w:pPr>
              <w:pStyle w:val="TableContents"/>
              <w:bidi w:val="0"/>
              <w:spacing w:lineRule="atLeast" w:line="180" w:before="20" w:after="20"/>
              <w:ind w:left="0" w:right="0" w:hanging="0"/>
              <w:jc w:val="left"/>
              <w:rPr>
                <w:rFonts w:ascii="Arial;Helvetica;sans-serif" w:hAnsi="Arial;Helvetica;sans-serif"/>
                <w:b/>
                <w:color w:val="005670"/>
                <w:sz w:val="16"/>
              </w:rPr>
            </w:pPr>
            <w:r>
              <w:rPr>
                <w:rFonts w:ascii="Arial;Helvetica;sans-serif" w:hAnsi="Arial;Helvetica;sans-serif"/>
                <w:b/>
                <w:color w:val="005670"/>
                <w:sz w:val="16"/>
              </w:rPr>
              <w:t>Keelan I. Adamson</w:t>
            </w:r>
          </w:p>
          <w:p>
            <w:pPr>
              <w:pStyle w:val="TableContents"/>
              <w:bidi w:val="0"/>
              <w:spacing w:lineRule="atLeast" w:line="180" w:before="20" w:after="20"/>
              <w:ind w:left="0" w:right="0" w:hanging="0"/>
              <w:jc w:val="left"/>
              <w:rPr>
                <w:rFonts w:ascii="Arial;Helvetica;sans-serif" w:hAnsi="Arial;Helvetica;sans-serif"/>
                <w:sz w:val="16"/>
              </w:rPr>
            </w:pPr>
            <w:r>
              <w:rPr>
                <w:rFonts w:ascii="Arial;Helvetica;sans-serif" w:hAnsi="Arial;Helvetica;sans-serif"/>
                <w:sz w:val="16"/>
              </w:rPr>
              <w:t>President and CEO, Transocean Ltd.</w:t>
            </w:r>
          </w:p>
        </w:tc>
        <w:tc>
          <w:tcPr>
            <w:tcW w:w="407" w:type="dxa"/>
            <w:tcBorders>
              <w:top w:val="single" w:sz="12" w:space="0" w:color="ECA44A"/>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56</w:t>
            </w:r>
          </w:p>
        </w:tc>
        <w:tc>
          <w:tcPr>
            <w:tcW w:w="823" w:type="dxa"/>
            <w:tcBorders>
              <w:top w:val="single" w:sz="12" w:space="0" w:color="ECA44A"/>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2025</w:t>
            </w:r>
          </w:p>
        </w:tc>
        <w:tc>
          <w:tcPr>
            <w:tcW w:w="961" w:type="dxa"/>
            <w:tcBorders>
              <w:top w:val="single" w:sz="12" w:space="0" w:color="ECA44A"/>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481" w:type="dxa"/>
            <w:tcBorders>
              <w:top w:val="single" w:sz="12" w:space="0" w:color="ECA44A"/>
              <w:bottom w:val="single" w:sz="2" w:space="0" w:color="D9D9D9"/>
              <w:right w:val="single" w:sz="12" w:space="0" w:color="FFFFFF"/>
            </w:tcBorders>
            <w:shd w:fill="F2F2F2" w:val="clear"/>
            <w:tcMar>
              <w:top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1081" w:type="dxa"/>
            <w:tcBorders>
              <w:top w:val="single" w:sz="12" w:space="0" w:color="ECA44A"/>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646" w:type="dxa"/>
            <w:tcBorders>
              <w:top w:val="single" w:sz="12" w:space="0" w:color="ECA44A"/>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1428" w:type="dxa"/>
            <w:gridSpan w:val="2"/>
            <w:tcBorders>
              <w:top w:val="single" w:sz="12" w:space="0" w:color="ECA44A"/>
              <w:left w:val="single" w:sz="12" w:space="0" w:color="FFFFFF"/>
              <w:bottom w:val="single" w:sz="2" w:space="0" w:color="D9D9D9"/>
            </w:tcBorders>
            <w:shd w:fill="F2F2F2" w:val="clear"/>
            <w:tcMar>
              <w:top w:w="28" w:type="dxa"/>
              <w:left w:w="28" w:type="dxa"/>
              <w:bottom w:w="28" w:type="dxa"/>
            </w:tcMar>
            <w:vAlign w:val="center"/>
          </w:tcPr>
          <w:p>
            <w:pPr>
              <w:pStyle w:val="TableContents"/>
              <w:bidi w:val="0"/>
              <w:spacing w:lineRule="auto" w:line="285" w:before="0" w:after="0"/>
              <w:ind w:left="0" w:right="0" w:hanging="0"/>
              <w:jc w:val="center"/>
              <w:rPr/>
            </w:pPr>
            <w:r>
              <w:rPr/>
              <w:t>​</w:t>
            </w:r>
          </w:p>
        </w:tc>
        <w:tc>
          <w:tcPr>
            <w:tcW w:w="1268" w:type="dxa"/>
            <w:tcBorders>
              <w:top w:val="single" w:sz="12" w:space="0" w:color="ECA44A"/>
              <w:bottom w:val="single" w:sz="2" w:space="0" w:color="D9D9D9"/>
            </w:tcBorders>
            <w:shd w:fill="FFFFFF" w:val="clear"/>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b/>
                <w:sz w:val="16"/>
              </w:rPr>
            </w:pPr>
            <w:r>
              <w:rPr>
                <w:rFonts w:ascii="Arial;Helvetica;sans-serif" w:hAnsi="Arial;Helvetica;sans-serif"/>
                <w:b/>
                <w:sz w:val="16"/>
              </w:rPr>
              <w:t>0</w:t>
            </w:r>
          </w:p>
        </w:tc>
      </w:tr>
      <w:tr>
        <w:trPr/>
        <w:tc>
          <w:tcPr>
            <w:tcW w:w="735" w:type="dxa"/>
            <w:gridSpan w:val="2"/>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left"/>
              <w:rPr/>
            </w:pPr>
            <w:r>
              <w:rPr/>
              <w:drawing>
                <wp:inline distT="0" distB="0" distL="0" distR="0">
                  <wp:extent cx="402590" cy="539750"/>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0"/>
                          <a:stretch>
                            <a:fillRect/>
                          </a:stretch>
                        </pic:blipFill>
                        <pic:spPr bwMode="auto">
                          <a:xfrm>
                            <a:off x="0" y="0"/>
                            <a:ext cx="402590" cy="539750"/>
                          </a:xfrm>
                          <a:prstGeom prst="rect">
                            <a:avLst/>
                          </a:prstGeom>
                        </pic:spPr>
                      </pic:pic>
                    </a:graphicData>
                  </a:graphic>
                </wp:inline>
              </w:drawing>
            </w:r>
          </w:p>
        </w:tc>
        <w:tc>
          <w:tcPr>
            <w:tcW w:w="2375" w:type="dxa"/>
            <w:tcBorders>
              <w:top w:val="single" w:sz="2" w:space="0" w:color="D9D9D9"/>
              <w:bottom w:val="single" w:sz="2" w:space="0" w:color="D9D9D9"/>
            </w:tcBorders>
            <w:tcMar>
              <w:top w:w="28" w:type="dxa"/>
              <w:bottom w:w="28" w:type="dxa"/>
            </w:tcMar>
            <w:vAlign w:val="center"/>
          </w:tcPr>
          <w:p>
            <w:pPr>
              <w:pStyle w:val="TableContents"/>
              <w:bidi w:val="0"/>
              <w:spacing w:lineRule="atLeast" w:line="180" w:before="20" w:after="20"/>
              <w:ind w:left="0" w:right="0" w:hanging="0"/>
              <w:jc w:val="left"/>
              <w:rPr>
                <w:rFonts w:ascii="Arial;Helvetica;sans-serif" w:hAnsi="Arial;Helvetica;sans-serif"/>
                <w:b/>
                <w:color w:val="005670"/>
                <w:sz w:val="16"/>
              </w:rPr>
            </w:pPr>
            <w:r>
              <w:rPr>
                <w:rFonts w:ascii="Arial;Helvetica;sans-serif" w:hAnsi="Arial;Helvetica;sans-serif"/>
                <w:b/>
                <w:color w:val="005670"/>
                <w:sz w:val="16"/>
              </w:rPr>
              <w:t>Glyn A. Barker</w:t>
            </w:r>
          </w:p>
          <w:p>
            <w:pPr>
              <w:pStyle w:val="TableContents"/>
              <w:bidi w:val="0"/>
              <w:spacing w:lineRule="atLeast" w:line="180" w:before="20" w:after="20"/>
              <w:ind w:left="0" w:right="0" w:hanging="0"/>
              <w:jc w:val="left"/>
              <w:rPr>
                <w:rFonts w:ascii="Arial;Helvetica;sans-serif" w:hAnsi="Arial;Helvetica;sans-serif"/>
                <w:sz w:val="16"/>
              </w:rPr>
            </w:pPr>
            <w:r>
              <w:rPr>
                <w:rFonts w:ascii="Arial;Helvetica;sans-serif" w:hAnsi="Arial;Helvetica;sans-serif"/>
                <w:sz w:val="16"/>
              </w:rPr>
              <w:t>Former Vice Chair-U.K., PwC LLP</w:t>
            </w:r>
          </w:p>
        </w:tc>
        <w:tc>
          <w:tcPr>
            <w:tcW w:w="407"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72</w:t>
            </w:r>
          </w:p>
        </w:tc>
        <w:tc>
          <w:tcPr>
            <w:tcW w:w="823"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2012</w:t>
            </w:r>
          </w:p>
        </w:tc>
        <w:tc>
          <w:tcPr>
            <w:tcW w:w="96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color w:val="005670"/>
              </w:rPr>
            </w:pPr>
            <w:r>
              <w:rPr>
                <w:color w:val="005670"/>
              </w:rPr>
              <w:t>✓</w:t>
            </w:r>
          </w:p>
        </w:tc>
        <w:tc>
          <w:tcPr>
            <w:tcW w:w="481" w:type="dxa"/>
            <w:tcBorders>
              <w:top w:val="single" w:sz="2" w:space="0" w:color="D9D9D9"/>
              <w:bottom w:val="single" w:sz="2" w:space="0" w:color="D9D9D9"/>
              <w:right w:val="single" w:sz="12" w:space="0" w:color="FFFFFF"/>
            </w:tcBorders>
            <w:shd w:fill="F2F2F2" w:val="clear"/>
            <w:tcMar>
              <w:top w:w="28" w:type="dxa"/>
              <w:bottom w:w="28" w:type="dxa"/>
              <w:right w:w="28" w:type="dxa"/>
            </w:tcMar>
            <w:vAlign w:val="center"/>
          </w:tcPr>
          <w:p>
            <w:pPr>
              <w:pStyle w:val="TableContents"/>
              <w:bidi w:val="0"/>
              <w:spacing w:lineRule="auto" w:line="285" w:before="20" w:after="20"/>
              <w:ind w:left="0" w:right="0" w:hanging="0"/>
              <w:jc w:val="center"/>
              <w:rPr/>
            </w:pPr>
            <w:r>
              <w:rPr/>
              <w:drawing>
                <wp:inline distT="0" distB="0" distL="0" distR="0">
                  <wp:extent cx="173990" cy="173990"/>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1"/>
                          <a:stretch>
                            <a:fillRect/>
                          </a:stretch>
                        </pic:blipFill>
                        <pic:spPr bwMode="auto">
                          <a:xfrm>
                            <a:off x="0" y="0"/>
                            <a:ext cx="173990" cy="173990"/>
                          </a:xfrm>
                          <a:prstGeom prst="rect">
                            <a:avLst/>
                          </a:prstGeom>
                        </pic:spPr>
                      </pic:pic>
                    </a:graphicData>
                  </a:graphic>
                </wp:inline>
              </w:drawing>
            </w:r>
          </w:p>
          <w:p>
            <w:pPr>
              <w:pStyle w:val="TableContents"/>
              <w:bidi w:val="0"/>
              <w:spacing w:lineRule="auto" w:line="285" w:before="20" w:after="20"/>
              <w:ind w:left="0" w:right="0" w:hanging="0"/>
              <w:jc w:val="center"/>
              <w:rPr/>
            </w:pPr>
            <w:r>
              <w:rPr/>
              <w:drawing>
                <wp:inline distT="0" distB="0" distL="0" distR="0">
                  <wp:extent cx="128270" cy="179070"/>
                  <wp:effectExtent l="0" t="0" r="0" b="0"/>
                  <wp:docPr id="3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1" descr=""/>
                          <pic:cNvPicPr>
                            <a:picLocks noChangeAspect="1" noChangeArrowheads="1"/>
                          </pic:cNvPicPr>
                        </pic:nvPicPr>
                        <pic:blipFill>
                          <a:blip r:embed="rId22"/>
                          <a:stretch>
                            <a:fillRect/>
                          </a:stretch>
                        </pic:blipFill>
                        <pic:spPr bwMode="auto">
                          <a:xfrm>
                            <a:off x="0" y="0"/>
                            <a:ext cx="128270" cy="179070"/>
                          </a:xfrm>
                          <a:prstGeom prst="rect">
                            <a:avLst/>
                          </a:prstGeom>
                        </pic:spPr>
                      </pic:pic>
                    </a:graphicData>
                  </a:graphic>
                </wp:inline>
              </w:drawing>
            </w:r>
          </w:p>
        </w:tc>
        <w:tc>
          <w:tcPr>
            <w:tcW w:w="1081"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20" w:after="20"/>
              <w:ind w:left="0" w:right="0" w:hanging="0"/>
              <w:jc w:val="center"/>
              <w:rPr/>
            </w:pPr>
            <w:r>
              <w:rPr/>
              <w:drawing>
                <wp:inline distT="0" distB="0" distL="0" distR="0">
                  <wp:extent cx="191770" cy="191770"/>
                  <wp:effectExtent l="0" t="0" r="0" b="0"/>
                  <wp:docPr id="3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2" descr=""/>
                          <pic:cNvPicPr>
                            <a:picLocks noChangeAspect="1" noChangeArrowheads="1"/>
                          </pic:cNvPicPr>
                        </pic:nvPicPr>
                        <pic:blipFill>
                          <a:blip r:embed="rId23"/>
                          <a:stretch>
                            <a:fillRect/>
                          </a:stretch>
                        </pic:blipFill>
                        <pic:spPr bwMode="auto">
                          <a:xfrm>
                            <a:off x="0" y="0"/>
                            <a:ext cx="191770" cy="191770"/>
                          </a:xfrm>
                          <a:prstGeom prst="rect">
                            <a:avLst/>
                          </a:prstGeom>
                        </pic:spPr>
                      </pic:pic>
                    </a:graphicData>
                  </a:graphic>
                </wp:inline>
              </w:drawing>
            </w:r>
          </w:p>
        </w:tc>
        <w:tc>
          <w:tcPr>
            <w:tcW w:w="646"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428" w:type="dxa"/>
            <w:gridSpan w:val="2"/>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1268" w:type="dxa"/>
            <w:tcBorders>
              <w:top w:val="single" w:sz="2" w:space="0" w:color="D9D9D9"/>
              <w:left w:val="single" w:sz="12" w:space="0" w:color="FFFFFF"/>
              <w:bottom w:val="single" w:sz="2" w:space="0" w:color="D9D9D9"/>
            </w:tcBorders>
            <w:shd w:fill="FFFFFF" w:val="clear"/>
            <w:tcMar>
              <w:top w:w="28" w:type="dxa"/>
              <w:left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b/>
                <w:sz w:val="16"/>
              </w:rPr>
            </w:pPr>
            <w:r>
              <w:rPr>
                <w:rFonts w:ascii="Arial;Helvetica;sans-serif" w:hAnsi="Arial;Helvetica;sans-serif"/>
                <w:b/>
                <w:sz w:val="16"/>
              </w:rPr>
              <w:t>1</w:t>
            </w:r>
          </w:p>
        </w:tc>
      </w:tr>
      <w:tr>
        <w:trPr/>
        <w:tc>
          <w:tcPr>
            <w:tcW w:w="735" w:type="dxa"/>
            <w:gridSpan w:val="2"/>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left"/>
              <w:rPr/>
            </w:pPr>
            <w:r>
              <w:rPr/>
              <w:drawing>
                <wp:inline distT="0" distB="0" distL="0" distR="0">
                  <wp:extent cx="402590" cy="534670"/>
                  <wp:effectExtent l="0" t="0" r="0" b="0"/>
                  <wp:docPr id="3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3" descr=""/>
                          <pic:cNvPicPr>
                            <a:picLocks noChangeAspect="1" noChangeArrowheads="1"/>
                          </pic:cNvPicPr>
                        </pic:nvPicPr>
                        <pic:blipFill>
                          <a:blip r:embed="rId24"/>
                          <a:stretch>
                            <a:fillRect/>
                          </a:stretch>
                        </pic:blipFill>
                        <pic:spPr bwMode="auto">
                          <a:xfrm>
                            <a:off x="0" y="0"/>
                            <a:ext cx="402590" cy="534670"/>
                          </a:xfrm>
                          <a:prstGeom prst="rect">
                            <a:avLst/>
                          </a:prstGeom>
                        </pic:spPr>
                      </pic:pic>
                    </a:graphicData>
                  </a:graphic>
                </wp:inline>
              </w:drawing>
            </w:r>
          </w:p>
        </w:tc>
        <w:tc>
          <w:tcPr>
            <w:tcW w:w="2375" w:type="dxa"/>
            <w:tcBorders>
              <w:top w:val="single" w:sz="2" w:space="0" w:color="D9D9D9"/>
              <w:bottom w:val="single" w:sz="2" w:space="0" w:color="D9D9D9"/>
            </w:tcBorders>
            <w:tcMar>
              <w:top w:w="28" w:type="dxa"/>
              <w:bottom w:w="28" w:type="dxa"/>
            </w:tcMar>
            <w:vAlign w:val="center"/>
          </w:tcPr>
          <w:p>
            <w:pPr>
              <w:pStyle w:val="TableContents"/>
              <w:bidi w:val="0"/>
              <w:spacing w:lineRule="atLeast" w:line="180" w:before="20" w:after="20"/>
              <w:ind w:left="0" w:right="0" w:hanging="0"/>
              <w:jc w:val="left"/>
              <w:rPr>
                <w:rFonts w:ascii="Arial;Helvetica;sans-serif" w:hAnsi="Arial;Helvetica;sans-serif"/>
                <w:b/>
                <w:color w:val="005670"/>
                <w:sz w:val="16"/>
              </w:rPr>
            </w:pPr>
            <w:r>
              <w:rPr>
                <w:rFonts w:ascii="Arial;Helvetica;sans-serif" w:hAnsi="Arial;Helvetica;sans-serif"/>
                <w:b/>
                <w:color w:val="005670"/>
                <w:sz w:val="16"/>
              </w:rPr>
              <w:t>Vanessa C.L. Chang</w:t>
            </w:r>
          </w:p>
          <w:p>
            <w:pPr>
              <w:pStyle w:val="TableContents"/>
              <w:bidi w:val="0"/>
              <w:spacing w:lineRule="atLeast" w:line="180" w:before="20" w:after="20"/>
              <w:ind w:left="0" w:right="0" w:hanging="0"/>
              <w:jc w:val="left"/>
              <w:rPr>
                <w:rFonts w:ascii="Arial;Helvetica;sans-serif" w:hAnsi="Arial;Helvetica;sans-serif"/>
                <w:sz w:val="16"/>
              </w:rPr>
            </w:pPr>
            <w:r>
              <w:rPr>
                <w:rFonts w:ascii="Arial;Helvetica;sans-serif" w:hAnsi="Arial;Helvetica;sans-serif"/>
                <w:sz w:val="16"/>
              </w:rPr>
              <w:t xml:space="preserve">Former Director and Shareholder of EL &amp; EL Investments Ltd. </w:t>
            </w:r>
          </w:p>
        </w:tc>
        <w:tc>
          <w:tcPr>
            <w:tcW w:w="407"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73</w:t>
            </w:r>
          </w:p>
        </w:tc>
        <w:tc>
          <w:tcPr>
            <w:tcW w:w="823"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2012</w:t>
            </w:r>
          </w:p>
        </w:tc>
        <w:tc>
          <w:tcPr>
            <w:tcW w:w="96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color w:val="005670"/>
              </w:rPr>
            </w:pPr>
            <w:r>
              <w:rPr>
                <w:color w:val="005670"/>
              </w:rPr>
              <w:t>✓</w:t>
            </w:r>
          </w:p>
        </w:tc>
        <w:tc>
          <w:tcPr>
            <w:tcW w:w="481" w:type="dxa"/>
            <w:tcBorders>
              <w:top w:val="single" w:sz="2" w:space="0" w:color="D9D9D9"/>
              <w:bottom w:val="single" w:sz="2" w:space="0" w:color="D9D9D9"/>
              <w:right w:val="single" w:sz="12" w:space="0" w:color="FFFFFF"/>
            </w:tcBorders>
            <w:shd w:fill="F2F2F2" w:val="clear"/>
            <w:tcMar>
              <w:top w:w="28" w:type="dxa"/>
              <w:bottom w:w="28" w:type="dxa"/>
              <w:right w:w="28" w:type="dxa"/>
            </w:tcMar>
            <w:vAlign w:val="center"/>
          </w:tcPr>
          <w:p>
            <w:pPr>
              <w:pStyle w:val="TableContents"/>
              <w:bidi w:val="0"/>
              <w:spacing w:lineRule="auto" w:line="285" w:before="20" w:after="20"/>
              <w:ind w:left="0" w:right="0" w:hanging="0"/>
              <w:jc w:val="center"/>
              <w:rPr/>
            </w:pPr>
            <w:r>
              <w:rPr/>
              <w:drawing>
                <wp:inline distT="0" distB="0" distL="0" distR="0">
                  <wp:extent cx="191770" cy="191770"/>
                  <wp:effectExtent l="0" t="0" r="0" b="0"/>
                  <wp:docPr id="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4" descr=""/>
                          <pic:cNvPicPr>
                            <a:picLocks noChangeAspect="1" noChangeArrowheads="1"/>
                          </pic:cNvPicPr>
                        </pic:nvPicPr>
                        <pic:blipFill>
                          <a:blip r:embed="rId25"/>
                          <a:stretch>
                            <a:fillRect/>
                          </a:stretch>
                        </pic:blipFill>
                        <pic:spPr bwMode="auto">
                          <a:xfrm>
                            <a:off x="0" y="0"/>
                            <a:ext cx="191770" cy="191770"/>
                          </a:xfrm>
                          <a:prstGeom prst="rect">
                            <a:avLst/>
                          </a:prstGeom>
                        </pic:spPr>
                      </pic:pic>
                    </a:graphicData>
                  </a:graphic>
                </wp:inline>
              </w:drawing>
            </w:r>
          </w:p>
          <w:p>
            <w:pPr>
              <w:pStyle w:val="TableContents"/>
              <w:bidi w:val="0"/>
              <w:spacing w:lineRule="auto" w:line="285" w:before="20" w:after="20"/>
              <w:ind w:left="0" w:right="0" w:hanging="0"/>
              <w:jc w:val="center"/>
              <w:rPr/>
            </w:pPr>
            <w:r>
              <w:rPr/>
              <w:drawing>
                <wp:inline distT="0" distB="0" distL="0" distR="0">
                  <wp:extent cx="128270" cy="179070"/>
                  <wp:effectExtent l="0" t="0" r="0" b="0"/>
                  <wp:docPr id="3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 descr=""/>
                          <pic:cNvPicPr>
                            <a:picLocks noChangeAspect="1" noChangeArrowheads="1"/>
                          </pic:cNvPicPr>
                        </pic:nvPicPr>
                        <pic:blipFill>
                          <a:blip r:embed="rId26"/>
                          <a:stretch>
                            <a:fillRect/>
                          </a:stretch>
                        </pic:blipFill>
                        <pic:spPr bwMode="auto">
                          <a:xfrm>
                            <a:off x="0" y="0"/>
                            <a:ext cx="128270" cy="179070"/>
                          </a:xfrm>
                          <a:prstGeom prst="rect">
                            <a:avLst/>
                          </a:prstGeom>
                        </pic:spPr>
                      </pic:pic>
                    </a:graphicData>
                  </a:graphic>
                </wp:inline>
              </w:drawing>
            </w:r>
          </w:p>
        </w:tc>
        <w:tc>
          <w:tcPr>
            <w:tcW w:w="1081"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20" w:after="20"/>
              <w:ind w:left="0" w:right="0" w:hanging="0"/>
              <w:jc w:val="center"/>
              <w:rPr/>
            </w:pPr>
            <w:r>
              <w:rPr/>
              <w:drawing>
                <wp:inline distT="0" distB="0" distL="0" distR="0">
                  <wp:extent cx="173990" cy="173990"/>
                  <wp:effectExtent l="0" t="0" r="0" b="0"/>
                  <wp:docPr id="3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6" descr=""/>
                          <pic:cNvPicPr>
                            <a:picLocks noChangeAspect="1" noChangeArrowheads="1"/>
                          </pic:cNvPicPr>
                        </pic:nvPicPr>
                        <pic:blipFill>
                          <a:blip r:embed="rId27"/>
                          <a:stretch>
                            <a:fillRect/>
                          </a:stretch>
                        </pic:blipFill>
                        <pic:spPr bwMode="auto">
                          <a:xfrm>
                            <a:off x="0" y="0"/>
                            <a:ext cx="173990" cy="173990"/>
                          </a:xfrm>
                          <a:prstGeom prst="rect">
                            <a:avLst/>
                          </a:prstGeom>
                        </pic:spPr>
                      </pic:pic>
                    </a:graphicData>
                  </a:graphic>
                </wp:inline>
              </w:drawing>
            </w:r>
          </w:p>
        </w:tc>
        <w:tc>
          <w:tcPr>
            <w:tcW w:w="646"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1428" w:type="dxa"/>
            <w:gridSpan w:val="2"/>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268" w:type="dxa"/>
            <w:tcBorders>
              <w:top w:val="single" w:sz="2" w:space="0" w:color="D9D9D9"/>
              <w:left w:val="single" w:sz="12" w:space="0" w:color="FFFFFF"/>
              <w:bottom w:val="single" w:sz="2" w:space="0" w:color="D9D9D9"/>
            </w:tcBorders>
            <w:shd w:fill="FFFFFF" w:val="clear"/>
            <w:tcMar>
              <w:top w:w="28" w:type="dxa"/>
              <w:left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b/>
                <w:sz w:val="16"/>
              </w:rPr>
            </w:pPr>
            <w:r>
              <w:rPr>
                <w:rFonts w:ascii="Arial;Helvetica;sans-serif" w:hAnsi="Arial;Helvetica;sans-serif"/>
                <w:b/>
                <w:sz w:val="16"/>
              </w:rPr>
              <w:t>0</w:t>
            </w:r>
          </w:p>
        </w:tc>
      </w:tr>
      <w:tr>
        <w:trPr/>
        <w:tc>
          <w:tcPr>
            <w:tcW w:w="735" w:type="dxa"/>
            <w:gridSpan w:val="2"/>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left"/>
              <w:rPr/>
            </w:pPr>
            <w:r>
              <w:rPr/>
              <w:drawing>
                <wp:inline distT="0" distB="0" distL="0" distR="0">
                  <wp:extent cx="402590" cy="534670"/>
                  <wp:effectExtent l="0" t="0" r="0" b="0"/>
                  <wp:docPr id="3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7" descr=""/>
                          <pic:cNvPicPr>
                            <a:picLocks noChangeAspect="1" noChangeArrowheads="1"/>
                          </pic:cNvPicPr>
                        </pic:nvPicPr>
                        <pic:blipFill>
                          <a:blip r:embed="rId28"/>
                          <a:stretch>
                            <a:fillRect/>
                          </a:stretch>
                        </pic:blipFill>
                        <pic:spPr bwMode="auto">
                          <a:xfrm>
                            <a:off x="0" y="0"/>
                            <a:ext cx="402590" cy="534670"/>
                          </a:xfrm>
                          <a:prstGeom prst="rect">
                            <a:avLst/>
                          </a:prstGeom>
                        </pic:spPr>
                      </pic:pic>
                    </a:graphicData>
                  </a:graphic>
                </wp:inline>
              </w:drawing>
            </w:r>
          </w:p>
        </w:tc>
        <w:tc>
          <w:tcPr>
            <w:tcW w:w="2375" w:type="dxa"/>
            <w:tcBorders>
              <w:top w:val="single" w:sz="2" w:space="0" w:color="D9D9D9"/>
              <w:bottom w:val="single" w:sz="2" w:space="0" w:color="D9D9D9"/>
            </w:tcBorders>
            <w:tcMar>
              <w:top w:w="28" w:type="dxa"/>
              <w:bottom w:w="28" w:type="dxa"/>
            </w:tcMar>
            <w:vAlign w:val="center"/>
          </w:tcPr>
          <w:p>
            <w:pPr>
              <w:pStyle w:val="TableContents"/>
              <w:bidi w:val="0"/>
              <w:spacing w:lineRule="atLeast" w:line="180" w:before="20" w:after="20"/>
              <w:ind w:left="0" w:right="0" w:hanging="0"/>
              <w:jc w:val="left"/>
              <w:rPr>
                <w:rFonts w:ascii="Arial;Helvetica;sans-serif" w:hAnsi="Arial;Helvetica;sans-serif"/>
                <w:b/>
                <w:color w:val="005670"/>
                <w:sz w:val="16"/>
              </w:rPr>
            </w:pPr>
            <w:r>
              <w:rPr>
                <w:rFonts w:ascii="Arial;Helvetica;sans-serif" w:hAnsi="Arial;Helvetica;sans-serif"/>
                <w:b/>
                <w:color w:val="005670"/>
                <w:sz w:val="16"/>
              </w:rPr>
              <w:t>Frederico F. Curado</w:t>
            </w:r>
          </w:p>
          <w:p>
            <w:pPr>
              <w:pStyle w:val="TableContents"/>
              <w:bidi w:val="0"/>
              <w:spacing w:lineRule="atLeast" w:line="180" w:before="20" w:after="20"/>
              <w:ind w:left="0" w:right="0" w:hanging="0"/>
              <w:jc w:val="left"/>
              <w:rPr>
                <w:rFonts w:ascii="Arial;Helvetica;sans-serif" w:hAnsi="Arial;Helvetica;sans-serif"/>
                <w:sz w:val="16"/>
              </w:rPr>
            </w:pPr>
            <w:r>
              <w:rPr>
                <w:rFonts w:ascii="Arial;Helvetica;sans-serif" w:hAnsi="Arial;Helvetica;sans-serif"/>
                <w:sz w:val="16"/>
              </w:rPr>
              <w:t>Former President and CEO, Embraer S.A.</w:t>
            </w:r>
          </w:p>
        </w:tc>
        <w:tc>
          <w:tcPr>
            <w:tcW w:w="407"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64</w:t>
            </w:r>
          </w:p>
        </w:tc>
        <w:tc>
          <w:tcPr>
            <w:tcW w:w="823"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2013</w:t>
            </w:r>
          </w:p>
        </w:tc>
        <w:tc>
          <w:tcPr>
            <w:tcW w:w="96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color w:val="005670"/>
              </w:rPr>
            </w:pPr>
            <w:r>
              <w:rPr>
                <w:color w:val="005670"/>
              </w:rPr>
              <w:t>✓</w:t>
            </w:r>
          </w:p>
        </w:tc>
        <w:tc>
          <w:tcPr>
            <w:tcW w:w="481" w:type="dxa"/>
            <w:tcBorders>
              <w:top w:val="single" w:sz="2" w:space="0" w:color="D9D9D9"/>
              <w:bottom w:val="single" w:sz="2" w:space="0" w:color="D9D9D9"/>
              <w:right w:val="single" w:sz="12" w:space="0" w:color="FFFFFF"/>
            </w:tcBorders>
            <w:shd w:fill="F2F2F2" w:val="clear"/>
            <w:tcMar>
              <w:top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081"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20" w:after="20"/>
              <w:ind w:left="0" w:right="0" w:hanging="0"/>
              <w:jc w:val="center"/>
              <w:rPr/>
            </w:pPr>
            <w:r>
              <w:rPr/>
              <w:drawing>
                <wp:inline distT="0" distB="0" distL="0" distR="0">
                  <wp:extent cx="173990" cy="173990"/>
                  <wp:effectExtent l="0" t="0" r="0" b="0"/>
                  <wp:docPr id="3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8" descr=""/>
                          <pic:cNvPicPr>
                            <a:picLocks noChangeAspect="1" noChangeArrowheads="1"/>
                          </pic:cNvPicPr>
                        </pic:nvPicPr>
                        <pic:blipFill>
                          <a:blip r:embed="rId29"/>
                          <a:stretch>
                            <a:fillRect/>
                          </a:stretch>
                        </pic:blipFill>
                        <pic:spPr bwMode="auto">
                          <a:xfrm>
                            <a:off x="0" y="0"/>
                            <a:ext cx="173990" cy="173990"/>
                          </a:xfrm>
                          <a:prstGeom prst="rect">
                            <a:avLst/>
                          </a:prstGeom>
                        </pic:spPr>
                      </pic:pic>
                    </a:graphicData>
                  </a:graphic>
                </wp:inline>
              </w:drawing>
            </w:r>
          </w:p>
        </w:tc>
        <w:tc>
          <w:tcPr>
            <w:tcW w:w="646"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1428" w:type="dxa"/>
            <w:gridSpan w:val="2"/>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20" w:after="20"/>
              <w:ind w:left="0" w:right="0" w:hanging="0"/>
              <w:jc w:val="center"/>
              <w:rPr/>
            </w:pPr>
            <w:r>
              <w:rPr/>
              <w:drawing>
                <wp:inline distT="0" distB="0" distL="0" distR="0">
                  <wp:extent cx="191770" cy="191770"/>
                  <wp:effectExtent l="0" t="0" r="0" b="0"/>
                  <wp:docPr id="4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9" descr=""/>
                          <pic:cNvPicPr>
                            <a:picLocks noChangeAspect="1" noChangeArrowheads="1"/>
                          </pic:cNvPicPr>
                        </pic:nvPicPr>
                        <pic:blipFill>
                          <a:blip r:embed="rId30"/>
                          <a:stretch>
                            <a:fillRect/>
                          </a:stretch>
                        </pic:blipFill>
                        <pic:spPr bwMode="auto">
                          <a:xfrm>
                            <a:off x="0" y="0"/>
                            <a:ext cx="191770" cy="191770"/>
                          </a:xfrm>
                          <a:prstGeom prst="rect">
                            <a:avLst/>
                          </a:prstGeom>
                        </pic:spPr>
                      </pic:pic>
                    </a:graphicData>
                  </a:graphic>
                </wp:inline>
              </w:drawing>
            </w:r>
          </w:p>
        </w:tc>
        <w:tc>
          <w:tcPr>
            <w:tcW w:w="1268" w:type="dxa"/>
            <w:tcBorders>
              <w:top w:val="single" w:sz="2" w:space="0" w:color="D9D9D9"/>
              <w:left w:val="single" w:sz="12" w:space="0" w:color="FFFFFF"/>
              <w:bottom w:val="single" w:sz="2" w:space="0" w:color="D9D9D9"/>
            </w:tcBorders>
            <w:shd w:fill="FFFFFF" w:val="clear"/>
            <w:tcMar>
              <w:top w:w="28" w:type="dxa"/>
              <w:left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b/>
                <w:sz w:val="16"/>
              </w:rPr>
            </w:pPr>
            <w:r>
              <w:rPr>
                <w:rFonts w:ascii="Arial;Helvetica;sans-serif" w:hAnsi="Arial;Helvetica;sans-serif"/>
                <w:b/>
                <w:sz w:val="16"/>
              </w:rPr>
              <w:t>2</w:t>
            </w:r>
          </w:p>
        </w:tc>
      </w:tr>
      <w:tr>
        <w:trPr/>
        <w:tc>
          <w:tcPr>
            <w:tcW w:w="735" w:type="dxa"/>
            <w:gridSpan w:val="2"/>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left"/>
              <w:rPr/>
            </w:pPr>
            <w:r>
              <w:rPr/>
              <w:drawing>
                <wp:inline distT="0" distB="0" distL="0" distR="0">
                  <wp:extent cx="402590" cy="534670"/>
                  <wp:effectExtent l="0" t="0" r="0" b="0"/>
                  <wp:docPr id="4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0" descr=""/>
                          <pic:cNvPicPr>
                            <a:picLocks noChangeAspect="1" noChangeArrowheads="1"/>
                          </pic:cNvPicPr>
                        </pic:nvPicPr>
                        <pic:blipFill>
                          <a:blip r:embed="rId31"/>
                          <a:stretch>
                            <a:fillRect/>
                          </a:stretch>
                        </pic:blipFill>
                        <pic:spPr bwMode="auto">
                          <a:xfrm>
                            <a:off x="0" y="0"/>
                            <a:ext cx="402590" cy="534670"/>
                          </a:xfrm>
                          <a:prstGeom prst="rect">
                            <a:avLst/>
                          </a:prstGeom>
                        </pic:spPr>
                      </pic:pic>
                    </a:graphicData>
                  </a:graphic>
                </wp:inline>
              </w:drawing>
            </w:r>
          </w:p>
        </w:tc>
        <w:tc>
          <w:tcPr>
            <w:tcW w:w="2375" w:type="dxa"/>
            <w:tcBorders>
              <w:top w:val="single" w:sz="2" w:space="0" w:color="D9D9D9"/>
              <w:bottom w:val="single" w:sz="2" w:space="0" w:color="D9D9D9"/>
            </w:tcBorders>
            <w:tcMar>
              <w:top w:w="28" w:type="dxa"/>
              <w:bottom w:w="28" w:type="dxa"/>
            </w:tcMar>
            <w:vAlign w:val="center"/>
          </w:tcPr>
          <w:p>
            <w:pPr>
              <w:pStyle w:val="TableContents"/>
              <w:bidi w:val="0"/>
              <w:spacing w:lineRule="atLeast" w:line="180" w:before="20" w:after="20"/>
              <w:ind w:left="0" w:right="0" w:hanging="0"/>
              <w:jc w:val="left"/>
              <w:rPr>
                <w:rFonts w:ascii="Arial;Helvetica;sans-serif" w:hAnsi="Arial;Helvetica;sans-serif"/>
                <w:b/>
                <w:color w:val="005670"/>
                <w:sz w:val="16"/>
              </w:rPr>
            </w:pPr>
            <w:r>
              <w:rPr>
                <w:rFonts w:ascii="Arial;Helvetica;sans-serif" w:hAnsi="Arial;Helvetica;sans-serif"/>
                <w:b/>
                <w:color w:val="005670"/>
                <w:sz w:val="16"/>
              </w:rPr>
              <w:t>Chadwick C. Deaton</w:t>
            </w:r>
          </w:p>
          <w:p>
            <w:pPr>
              <w:pStyle w:val="TableContents"/>
              <w:bidi w:val="0"/>
              <w:spacing w:lineRule="atLeast" w:line="180" w:before="20" w:after="20"/>
              <w:ind w:left="0" w:right="0" w:hanging="0"/>
              <w:jc w:val="left"/>
              <w:rPr>
                <w:rFonts w:ascii="Arial;Helvetica;sans-serif" w:hAnsi="Arial;Helvetica;sans-serif"/>
                <w:sz w:val="16"/>
              </w:rPr>
            </w:pPr>
            <w:r>
              <w:rPr>
                <w:rFonts w:ascii="Arial;Helvetica;sans-serif" w:hAnsi="Arial;Helvetica;sans-serif"/>
                <w:sz w:val="16"/>
              </w:rPr>
              <w:t>Former Executive Chair and CEO, Baker Hughes Incorporated</w:t>
            </w:r>
          </w:p>
        </w:tc>
        <w:tc>
          <w:tcPr>
            <w:tcW w:w="407"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73</w:t>
            </w:r>
          </w:p>
        </w:tc>
        <w:tc>
          <w:tcPr>
            <w:tcW w:w="823"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2012</w:t>
            </w:r>
          </w:p>
        </w:tc>
        <w:tc>
          <w:tcPr>
            <w:tcW w:w="96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color w:val="005670"/>
              </w:rPr>
            </w:pPr>
            <w:r>
              <w:rPr>
                <w:color w:val="005670"/>
              </w:rPr>
              <w:t>✓</w:t>
            </w:r>
          </w:p>
        </w:tc>
        <w:tc>
          <w:tcPr>
            <w:tcW w:w="481" w:type="dxa"/>
            <w:tcBorders>
              <w:top w:val="single" w:sz="2" w:space="0" w:color="D9D9D9"/>
              <w:bottom w:val="single" w:sz="2" w:space="0" w:color="D9D9D9"/>
              <w:right w:val="single" w:sz="12" w:space="0" w:color="FFFFFF"/>
            </w:tcBorders>
            <w:shd w:fill="F2F2F2" w:val="clear"/>
            <w:tcMar>
              <w:top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1081"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646"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1428" w:type="dxa"/>
            <w:gridSpan w:val="2"/>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268" w:type="dxa"/>
            <w:tcBorders>
              <w:top w:val="single" w:sz="2" w:space="0" w:color="D9D9D9"/>
              <w:left w:val="single" w:sz="12" w:space="0" w:color="FFFFFF"/>
              <w:bottom w:val="single" w:sz="2" w:space="0" w:color="D9D9D9"/>
            </w:tcBorders>
            <w:shd w:fill="FFFFFF" w:val="clear"/>
            <w:tcMar>
              <w:top w:w="28" w:type="dxa"/>
              <w:left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b/>
                <w:sz w:val="16"/>
              </w:rPr>
            </w:pPr>
            <w:r>
              <w:rPr>
                <w:rFonts w:ascii="Arial;Helvetica;sans-serif" w:hAnsi="Arial;Helvetica;sans-serif"/>
                <w:b/>
                <w:sz w:val="16"/>
              </w:rPr>
              <w:t>0</w:t>
            </w:r>
          </w:p>
        </w:tc>
      </w:tr>
      <w:tr>
        <w:trPr/>
        <w:tc>
          <w:tcPr>
            <w:tcW w:w="735" w:type="dxa"/>
            <w:gridSpan w:val="2"/>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left"/>
              <w:rPr/>
            </w:pPr>
            <w:r>
              <w:rPr/>
              <w:drawing>
                <wp:inline distT="0" distB="0" distL="0" distR="0">
                  <wp:extent cx="402590" cy="534670"/>
                  <wp:effectExtent l="0" t="0" r="0" b="0"/>
                  <wp:docPr id="4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1" descr=""/>
                          <pic:cNvPicPr>
                            <a:picLocks noChangeAspect="1" noChangeArrowheads="1"/>
                          </pic:cNvPicPr>
                        </pic:nvPicPr>
                        <pic:blipFill>
                          <a:blip r:embed="rId32"/>
                          <a:stretch>
                            <a:fillRect/>
                          </a:stretch>
                        </pic:blipFill>
                        <pic:spPr bwMode="auto">
                          <a:xfrm>
                            <a:off x="0" y="0"/>
                            <a:ext cx="402590" cy="534670"/>
                          </a:xfrm>
                          <a:prstGeom prst="rect">
                            <a:avLst/>
                          </a:prstGeom>
                        </pic:spPr>
                      </pic:pic>
                    </a:graphicData>
                  </a:graphic>
                </wp:inline>
              </w:drawing>
            </w:r>
          </w:p>
        </w:tc>
        <w:tc>
          <w:tcPr>
            <w:tcW w:w="2375" w:type="dxa"/>
            <w:tcBorders>
              <w:top w:val="single" w:sz="2" w:space="0" w:color="D9D9D9"/>
              <w:bottom w:val="single" w:sz="2" w:space="0" w:color="D9D9D9"/>
            </w:tcBorders>
            <w:tcMar>
              <w:top w:w="28" w:type="dxa"/>
              <w:bottom w:w="28" w:type="dxa"/>
            </w:tcMar>
            <w:vAlign w:val="center"/>
          </w:tcPr>
          <w:p>
            <w:pPr>
              <w:pStyle w:val="TableContents"/>
              <w:bidi w:val="0"/>
              <w:spacing w:lineRule="atLeast" w:line="180" w:before="20" w:after="20"/>
              <w:ind w:left="0" w:right="0" w:hanging="0"/>
              <w:jc w:val="left"/>
              <w:rPr>
                <w:rFonts w:ascii="Arial;Helvetica;sans-serif" w:hAnsi="Arial;Helvetica;sans-serif"/>
                <w:b/>
                <w:color w:val="005670"/>
                <w:sz w:val="16"/>
              </w:rPr>
            </w:pPr>
            <w:r>
              <w:rPr>
                <w:rFonts w:ascii="Arial;Helvetica;sans-serif" w:hAnsi="Arial;Helvetica;sans-serif"/>
                <w:b/>
                <w:color w:val="005670"/>
                <w:sz w:val="16"/>
              </w:rPr>
              <w:t xml:space="preserve">Domenic J. “Nick” Dell’Osso, Jr. </w:t>
            </w:r>
          </w:p>
          <w:p>
            <w:pPr>
              <w:pStyle w:val="TableContents"/>
              <w:bidi w:val="0"/>
              <w:spacing w:lineRule="atLeast" w:line="180" w:before="20" w:after="20"/>
              <w:ind w:left="0" w:right="0" w:hanging="0"/>
              <w:jc w:val="left"/>
              <w:rPr>
                <w:rFonts w:ascii="Arial;Helvetica;sans-serif" w:hAnsi="Arial;Helvetica;sans-serif"/>
                <w:sz w:val="16"/>
              </w:rPr>
            </w:pPr>
            <w:r>
              <w:rPr>
                <w:rFonts w:ascii="Arial;Helvetica;sans-serif" w:hAnsi="Arial;Helvetica;sans-serif"/>
                <w:sz w:val="16"/>
              </w:rPr>
              <w:t>Former President and CEO, Expand Energy Corporation</w:t>
            </w:r>
          </w:p>
        </w:tc>
        <w:tc>
          <w:tcPr>
            <w:tcW w:w="407"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49</w:t>
            </w:r>
          </w:p>
        </w:tc>
        <w:tc>
          <w:tcPr>
            <w:tcW w:w="823"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2023</w:t>
            </w:r>
          </w:p>
        </w:tc>
        <w:tc>
          <w:tcPr>
            <w:tcW w:w="96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color w:val="005670"/>
              </w:rPr>
            </w:pPr>
            <w:r>
              <w:rPr>
                <w:color w:val="005670"/>
              </w:rPr>
              <w:t>✓</w:t>
            </w:r>
          </w:p>
        </w:tc>
        <w:tc>
          <w:tcPr>
            <w:tcW w:w="481" w:type="dxa"/>
            <w:tcBorders>
              <w:top w:val="single" w:sz="2" w:space="0" w:color="D9D9D9"/>
              <w:bottom w:val="single" w:sz="2" w:space="0" w:color="D9D9D9"/>
              <w:right w:val="single" w:sz="12" w:space="0" w:color="FFFFFF"/>
            </w:tcBorders>
            <w:shd w:fill="F2F2F2" w:val="clear"/>
            <w:tcMar>
              <w:top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1081"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646"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20" w:after="20"/>
              <w:ind w:left="0" w:right="0" w:hanging="0"/>
              <w:jc w:val="center"/>
              <w:rPr/>
            </w:pPr>
            <w:r>
              <w:rPr/>
              <w:drawing>
                <wp:inline distT="0" distB="0" distL="0" distR="0">
                  <wp:extent cx="191770" cy="191770"/>
                  <wp:effectExtent l="0" t="0" r="0" b="0"/>
                  <wp:docPr id="4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2" descr=""/>
                          <pic:cNvPicPr>
                            <a:picLocks noChangeAspect="1" noChangeArrowheads="1"/>
                          </pic:cNvPicPr>
                        </pic:nvPicPr>
                        <pic:blipFill>
                          <a:blip r:embed="rId33"/>
                          <a:stretch>
                            <a:fillRect/>
                          </a:stretch>
                        </pic:blipFill>
                        <pic:spPr bwMode="auto">
                          <a:xfrm>
                            <a:off x="0" y="0"/>
                            <a:ext cx="191770" cy="191770"/>
                          </a:xfrm>
                          <a:prstGeom prst="rect">
                            <a:avLst/>
                          </a:prstGeom>
                        </pic:spPr>
                      </pic:pic>
                    </a:graphicData>
                  </a:graphic>
                </wp:inline>
              </w:drawing>
            </w:r>
          </w:p>
        </w:tc>
        <w:tc>
          <w:tcPr>
            <w:tcW w:w="1428" w:type="dxa"/>
            <w:gridSpan w:val="2"/>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20" w:after="20"/>
              <w:ind w:left="0" w:right="0" w:hanging="0"/>
              <w:jc w:val="center"/>
              <w:rPr/>
            </w:pPr>
            <w:r>
              <w:rPr/>
              <w:drawing>
                <wp:inline distT="0" distB="0" distL="0" distR="0">
                  <wp:extent cx="173990" cy="173990"/>
                  <wp:effectExtent l="0" t="0" r="0" b="0"/>
                  <wp:docPr id="4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3" descr=""/>
                          <pic:cNvPicPr>
                            <a:picLocks noChangeAspect="1" noChangeArrowheads="1"/>
                          </pic:cNvPicPr>
                        </pic:nvPicPr>
                        <pic:blipFill>
                          <a:blip r:embed="rId34"/>
                          <a:stretch>
                            <a:fillRect/>
                          </a:stretch>
                        </pic:blipFill>
                        <pic:spPr bwMode="auto">
                          <a:xfrm>
                            <a:off x="0" y="0"/>
                            <a:ext cx="173990" cy="173990"/>
                          </a:xfrm>
                          <a:prstGeom prst="rect">
                            <a:avLst/>
                          </a:prstGeom>
                        </pic:spPr>
                      </pic:pic>
                    </a:graphicData>
                  </a:graphic>
                </wp:inline>
              </w:drawing>
            </w:r>
          </w:p>
        </w:tc>
        <w:tc>
          <w:tcPr>
            <w:tcW w:w="1268" w:type="dxa"/>
            <w:tcBorders>
              <w:top w:val="single" w:sz="2" w:space="0" w:color="D9D9D9"/>
              <w:left w:val="single" w:sz="12" w:space="0" w:color="FFFFFF"/>
              <w:bottom w:val="single" w:sz="2" w:space="0" w:color="D9D9D9"/>
            </w:tcBorders>
            <w:shd w:fill="FFFFFF" w:val="clear"/>
            <w:tcMar>
              <w:top w:w="28" w:type="dxa"/>
              <w:left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b/>
                <w:sz w:val="16"/>
              </w:rPr>
            </w:pPr>
            <w:r>
              <w:rPr>
                <w:rFonts w:ascii="Arial;Helvetica;sans-serif" w:hAnsi="Arial;Helvetica;sans-serif"/>
                <w:b/>
                <w:sz w:val="16"/>
              </w:rPr>
              <w:t>0</w:t>
            </w:r>
          </w:p>
        </w:tc>
      </w:tr>
      <w:tr>
        <w:trPr/>
        <w:tc>
          <w:tcPr>
            <w:tcW w:w="735" w:type="dxa"/>
            <w:gridSpan w:val="2"/>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left"/>
              <w:rPr/>
            </w:pPr>
            <w:r>
              <w:rPr/>
              <w:drawing>
                <wp:inline distT="0" distB="0" distL="0" distR="0">
                  <wp:extent cx="402590" cy="534670"/>
                  <wp:effectExtent l="0" t="0" r="0" b="0"/>
                  <wp:docPr id="4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4" descr=""/>
                          <pic:cNvPicPr>
                            <a:picLocks noChangeAspect="1" noChangeArrowheads="1"/>
                          </pic:cNvPicPr>
                        </pic:nvPicPr>
                        <pic:blipFill>
                          <a:blip r:embed="rId35"/>
                          <a:stretch>
                            <a:fillRect/>
                          </a:stretch>
                        </pic:blipFill>
                        <pic:spPr bwMode="auto">
                          <a:xfrm>
                            <a:off x="0" y="0"/>
                            <a:ext cx="402590" cy="534670"/>
                          </a:xfrm>
                          <a:prstGeom prst="rect">
                            <a:avLst/>
                          </a:prstGeom>
                        </pic:spPr>
                      </pic:pic>
                    </a:graphicData>
                  </a:graphic>
                </wp:inline>
              </w:drawing>
            </w:r>
          </w:p>
        </w:tc>
        <w:tc>
          <w:tcPr>
            <w:tcW w:w="2375" w:type="dxa"/>
            <w:tcBorders>
              <w:top w:val="single" w:sz="2" w:space="0" w:color="D9D9D9"/>
              <w:bottom w:val="single" w:sz="2" w:space="0" w:color="D9D9D9"/>
            </w:tcBorders>
            <w:tcMar>
              <w:top w:w="28" w:type="dxa"/>
              <w:bottom w:w="28" w:type="dxa"/>
            </w:tcMar>
            <w:vAlign w:val="center"/>
          </w:tcPr>
          <w:p>
            <w:pPr>
              <w:pStyle w:val="TableContents"/>
              <w:bidi w:val="0"/>
              <w:spacing w:lineRule="atLeast" w:line="180" w:before="20" w:after="20"/>
              <w:ind w:left="0" w:right="0" w:hanging="0"/>
              <w:jc w:val="left"/>
              <w:rPr>
                <w:rFonts w:ascii="Arial;Helvetica;sans-serif" w:hAnsi="Arial;Helvetica;sans-serif"/>
                <w:b/>
                <w:color w:val="005670"/>
                <w:sz w:val="16"/>
              </w:rPr>
            </w:pPr>
            <w:r>
              <w:rPr>
                <w:rFonts w:ascii="Arial;Helvetica;sans-serif" w:hAnsi="Arial;Helvetica;sans-serif"/>
                <w:b/>
                <w:color w:val="005670"/>
                <w:sz w:val="16"/>
              </w:rPr>
              <w:t>Vincent J. Intrieri</w:t>
            </w:r>
          </w:p>
          <w:p>
            <w:pPr>
              <w:pStyle w:val="TableContents"/>
              <w:bidi w:val="0"/>
              <w:spacing w:lineRule="atLeast" w:line="180" w:before="20" w:after="20"/>
              <w:ind w:left="0" w:right="0" w:hanging="0"/>
              <w:jc w:val="left"/>
              <w:rPr>
                <w:rFonts w:ascii="Arial;Helvetica;sans-serif" w:hAnsi="Arial;Helvetica;sans-serif"/>
                <w:sz w:val="16"/>
              </w:rPr>
            </w:pPr>
            <w:r>
              <w:rPr>
                <w:rFonts w:ascii="Arial;Helvetica;sans-serif" w:hAnsi="Arial;Helvetica;sans-serif"/>
                <w:sz w:val="16"/>
              </w:rPr>
              <w:t>Founder and CEO, VDA Capital Management LLC</w:t>
            </w:r>
          </w:p>
        </w:tc>
        <w:tc>
          <w:tcPr>
            <w:tcW w:w="407"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69</w:t>
            </w:r>
          </w:p>
        </w:tc>
        <w:tc>
          <w:tcPr>
            <w:tcW w:w="823"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2014</w:t>
            </w:r>
          </w:p>
        </w:tc>
        <w:tc>
          <w:tcPr>
            <w:tcW w:w="96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color w:val="005670"/>
              </w:rPr>
            </w:pPr>
            <w:r>
              <w:rPr>
                <w:color w:val="005670"/>
              </w:rPr>
              <w:t>✓</w:t>
            </w:r>
          </w:p>
        </w:tc>
        <w:tc>
          <w:tcPr>
            <w:tcW w:w="481" w:type="dxa"/>
            <w:tcBorders>
              <w:top w:val="single" w:sz="2" w:space="0" w:color="D9D9D9"/>
              <w:bottom w:val="single" w:sz="2" w:space="0" w:color="D9D9D9"/>
              <w:right w:val="single" w:sz="12" w:space="0" w:color="FFFFFF"/>
            </w:tcBorders>
            <w:shd w:fill="F2F2F2" w:val="clear"/>
            <w:tcMar>
              <w:top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1081"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646"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20" w:after="20"/>
              <w:ind w:left="0" w:right="0" w:hanging="0"/>
              <w:jc w:val="center"/>
              <w:rPr/>
            </w:pPr>
            <w:r>
              <w:rPr/>
              <w:drawing>
                <wp:inline distT="0" distB="0" distL="0" distR="0">
                  <wp:extent cx="173990" cy="173990"/>
                  <wp:effectExtent l="0" t="0" r="0" b="0"/>
                  <wp:docPr id="4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5" descr=""/>
                          <pic:cNvPicPr>
                            <a:picLocks noChangeAspect="1" noChangeArrowheads="1"/>
                          </pic:cNvPicPr>
                        </pic:nvPicPr>
                        <pic:blipFill>
                          <a:blip r:embed="rId36"/>
                          <a:stretch>
                            <a:fillRect/>
                          </a:stretch>
                        </pic:blipFill>
                        <pic:spPr bwMode="auto">
                          <a:xfrm>
                            <a:off x="0" y="0"/>
                            <a:ext cx="173990" cy="173990"/>
                          </a:xfrm>
                          <a:prstGeom prst="rect">
                            <a:avLst/>
                          </a:prstGeom>
                        </pic:spPr>
                      </pic:pic>
                    </a:graphicData>
                  </a:graphic>
                </wp:inline>
              </w:drawing>
            </w:r>
          </w:p>
        </w:tc>
        <w:tc>
          <w:tcPr>
            <w:tcW w:w="1428" w:type="dxa"/>
            <w:gridSpan w:val="2"/>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268" w:type="dxa"/>
            <w:tcBorders>
              <w:top w:val="single" w:sz="2" w:space="0" w:color="D9D9D9"/>
              <w:left w:val="single" w:sz="12" w:space="0" w:color="FFFFFF"/>
              <w:bottom w:val="single" w:sz="2" w:space="0" w:color="D9D9D9"/>
            </w:tcBorders>
            <w:shd w:fill="FFFFFF" w:val="clear"/>
            <w:tcMar>
              <w:top w:w="28" w:type="dxa"/>
              <w:left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b/>
                <w:sz w:val="16"/>
              </w:rPr>
            </w:pPr>
            <w:r>
              <w:rPr>
                <w:rFonts w:ascii="Arial;Helvetica;sans-serif" w:hAnsi="Arial;Helvetica;sans-serif"/>
                <w:b/>
                <w:sz w:val="16"/>
              </w:rPr>
              <w:t>3</w:t>
            </w:r>
          </w:p>
        </w:tc>
      </w:tr>
      <w:tr>
        <w:trPr/>
        <w:tc>
          <w:tcPr>
            <w:tcW w:w="735" w:type="dxa"/>
            <w:gridSpan w:val="2"/>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left"/>
              <w:rPr/>
            </w:pPr>
            <w:r>
              <w:rPr/>
              <w:drawing>
                <wp:inline distT="0" distB="0" distL="0" distR="0">
                  <wp:extent cx="402590" cy="539750"/>
                  <wp:effectExtent l="0" t="0" r="0" b="0"/>
                  <wp:docPr id="4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6" descr=""/>
                          <pic:cNvPicPr>
                            <a:picLocks noChangeAspect="1" noChangeArrowheads="1"/>
                          </pic:cNvPicPr>
                        </pic:nvPicPr>
                        <pic:blipFill>
                          <a:blip r:embed="rId37"/>
                          <a:stretch>
                            <a:fillRect/>
                          </a:stretch>
                        </pic:blipFill>
                        <pic:spPr bwMode="auto">
                          <a:xfrm>
                            <a:off x="0" y="0"/>
                            <a:ext cx="402590" cy="539750"/>
                          </a:xfrm>
                          <a:prstGeom prst="rect">
                            <a:avLst/>
                          </a:prstGeom>
                        </pic:spPr>
                      </pic:pic>
                    </a:graphicData>
                  </a:graphic>
                </wp:inline>
              </w:drawing>
            </w:r>
          </w:p>
        </w:tc>
        <w:tc>
          <w:tcPr>
            <w:tcW w:w="2375" w:type="dxa"/>
            <w:tcBorders>
              <w:top w:val="single" w:sz="2" w:space="0" w:color="D9D9D9"/>
              <w:bottom w:val="single" w:sz="2" w:space="0" w:color="D9D9D9"/>
            </w:tcBorders>
            <w:tcMar>
              <w:top w:w="28" w:type="dxa"/>
              <w:bottom w:w="28" w:type="dxa"/>
            </w:tcMar>
            <w:vAlign w:val="center"/>
          </w:tcPr>
          <w:p>
            <w:pPr>
              <w:pStyle w:val="TableContents"/>
              <w:bidi w:val="0"/>
              <w:spacing w:lineRule="atLeast" w:line="180" w:before="20" w:after="20"/>
              <w:ind w:left="0" w:right="0" w:hanging="0"/>
              <w:jc w:val="left"/>
              <w:rPr>
                <w:rFonts w:ascii="Arial;Helvetica;sans-serif" w:hAnsi="Arial;Helvetica;sans-serif"/>
                <w:b/>
                <w:color w:val="005670"/>
                <w:sz w:val="16"/>
              </w:rPr>
            </w:pPr>
            <w:r>
              <w:rPr>
                <w:rFonts w:ascii="Arial;Helvetica;sans-serif" w:hAnsi="Arial;Helvetica;sans-serif"/>
                <w:b/>
                <w:color w:val="005670"/>
                <w:sz w:val="16"/>
              </w:rPr>
              <w:t>William F. “Bill” Lacey</w:t>
            </w:r>
          </w:p>
          <w:p>
            <w:pPr>
              <w:pStyle w:val="TableContents"/>
              <w:bidi w:val="0"/>
              <w:spacing w:lineRule="atLeast" w:line="180" w:before="20" w:after="20"/>
              <w:ind w:left="0" w:right="0" w:hanging="0"/>
              <w:jc w:val="left"/>
              <w:rPr>
                <w:rFonts w:ascii="Arial;Helvetica;sans-serif" w:hAnsi="Arial;Helvetica;sans-serif"/>
                <w:sz w:val="16"/>
              </w:rPr>
            </w:pPr>
            <w:r>
              <w:rPr>
                <w:rFonts w:ascii="Arial;Helvetica;sans-serif" w:hAnsi="Arial;Helvetica;sans-serif"/>
                <w:sz w:val="16"/>
              </w:rPr>
              <w:t>Executive Vice President and CFO, Woodward Inc.</w:t>
            </w:r>
          </w:p>
        </w:tc>
        <w:tc>
          <w:tcPr>
            <w:tcW w:w="407"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56</w:t>
            </w:r>
          </w:p>
        </w:tc>
        <w:tc>
          <w:tcPr>
            <w:tcW w:w="823"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2025</w:t>
            </w:r>
          </w:p>
        </w:tc>
        <w:tc>
          <w:tcPr>
            <w:tcW w:w="96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color w:val="005670"/>
              </w:rPr>
            </w:pPr>
            <w:r>
              <w:rPr>
                <w:color w:val="005670"/>
              </w:rPr>
              <w:t>✓</w:t>
            </w:r>
          </w:p>
        </w:tc>
        <w:tc>
          <w:tcPr>
            <w:tcW w:w="481" w:type="dxa"/>
            <w:tcBorders>
              <w:top w:val="single" w:sz="2" w:space="0" w:color="D9D9D9"/>
              <w:bottom w:val="single" w:sz="2" w:space="0" w:color="D9D9D9"/>
              <w:right w:val="single" w:sz="12" w:space="0" w:color="FFFFFF"/>
            </w:tcBorders>
            <w:shd w:fill="F2F2F2" w:val="clear"/>
            <w:tcMar>
              <w:top w:w="28" w:type="dxa"/>
              <w:bottom w:w="28" w:type="dxa"/>
              <w:right w:w="28" w:type="dxa"/>
            </w:tcMar>
            <w:vAlign w:val="center"/>
          </w:tcPr>
          <w:p>
            <w:pPr>
              <w:pStyle w:val="TableContents"/>
              <w:bidi w:val="0"/>
              <w:spacing w:lineRule="auto" w:line="285" w:before="20" w:after="20"/>
              <w:ind w:left="0" w:right="0" w:hanging="0"/>
              <w:jc w:val="center"/>
              <w:rPr/>
            </w:pPr>
            <w:r>
              <w:rPr/>
              <w:drawing>
                <wp:inline distT="0" distB="0" distL="0" distR="0">
                  <wp:extent cx="173990" cy="173990"/>
                  <wp:effectExtent l="0" t="0" r="0" b="0"/>
                  <wp:docPr id="4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7" descr=""/>
                          <pic:cNvPicPr>
                            <a:picLocks noChangeAspect="1" noChangeArrowheads="1"/>
                          </pic:cNvPicPr>
                        </pic:nvPicPr>
                        <pic:blipFill>
                          <a:blip r:embed="rId38"/>
                          <a:stretch>
                            <a:fillRect/>
                          </a:stretch>
                        </pic:blipFill>
                        <pic:spPr bwMode="auto">
                          <a:xfrm>
                            <a:off x="0" y="0"/>
                            <a:ext cx="173990" cy="173990"/>
                          </a:xfrm>
                          <a:prstGeom prst="rect">
                            <a:avLst/>
                          </a:prstGeom>
                        </pic:spPr>
                      </pic:pic>
                    </a:graphicData>
                  </a:graphic>
                </wp:inline>
              </w:drawing>
            </w:r>
          </w:p>
          <w:p>
            <w:pPr>
              <w:pStyle w:val="TableContents"/>
              <w:bidi w:val="0"/>
              <w:spacing w:lineRule="auto" w:line="285" w:before="20" w:after="20"/>
              <w:ind w:left="0" w:right="0" w:hanging="0"/>
              <w:jc w:val="center"/>
              <w:rPr/>
            </w:pPr>
            <w:r>
              <w:rPr/>
              <w:drawing>
                <wp:inline distT="0" distB="0" distL="0" distR="0">
                  <wp:extent cx="128270" cy="179070"/>
                  <wp:effectExtent l="0" t="0" r="0" b="0"/>
                  <wp:docPr id="4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8" descr=""/>
                          <pic:cNvPicPr>
                            <a:picLocks noChangeAspect="1" noChangeArrowheads="1"/>
                          </pic:cNvPicPr>
                        </pic:nvPicPr>
                        <pic:blipFill>
                          <a:blip r:embed="rId39"/>
                          <a:stretch>
                            <a:fillRect/>
                          </a:stretch>
                        </pic:blipFill>
                        <pic:spPr bwMode="auto">
                          <a:xfrm>
                            <a:off x="0" y="0"/>
                            <a:ext cx="128270" cy="179070"/>
                          </a:xfrm>
                          <a:prstGeom prst="rect">
                            <a:avLst/>
                          </a:prstGeom>
                        </pic:spPr>
                      </pic:pic>
                    </a:graphicData>
                  </a:graphic>
                </wp:inline>
              </w:drawing>
            </w:r>
          </w:p>
        </w:tc>
        <w:tc>
          <w:tcPr>
            <w:tcW w:w="1081"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646"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1428" w:type="dxa"/>
            <w:gridSpan w:val="2"/>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1268" w:type="dxa"/>
            <w:tcBorders>
              <w:top w:val="single" w:sz="2" w:space="0" w:color="D9D9D9"/>
              <w:left w:val="single" w:sz="12" w:space="0" w:color="FFFFFF"/>
              <w:bottom w:val="single" w:sz="2" w:space="0" w:color="D9D9D9"/>
            </w:tcBorders>
            <w:shd w:fill="FFFFFF" w:val="clear"/>
            <w:tcMar>
              <w:top w:w="28" w:type="dxa"/>
              <w:left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b/>
                <w:sz w:val="16"/>
              </w:rPr>
            </w:pPr>
            <w:r>
              <w:rPr>
                <w:rFonts w:ascii="Arial;Helvetica;sans-serif" w:hAnsi="Arial;Helvetica;sans-serif"/>
                <w:b/>
                <w:sz w:val="16"/>
              </w:rPr>
              <w:t>0</w:t>
            </w:r>
          </w:p>
        </w:tc>
      </w:tr>
      <w:tr>
        <w:trPr/>
        <w:tc>
          <w:tcPr>
            <w:tcW w:w="735" w:type="dxa"/>
            <w:gridSpan w:val="2"/>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left"/>
              <w:rPr/>
            </w:pPr>
            <w:r>
              <w:rPr/>
              <w:drawing>
                <wp:inline distT="0" distB="0" distL="0" distR="0">
                  <wp:extent cx="402590" cy="534670"/>
                  <wp:effectExtent l="0" t="0" r="0" b="0"/>
                  <wp:docPr id="5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9" descr=""/>
                          <pic:cNvPicPr>
                            <a:picLocks noChangeAspect="1" noChangeArrowheads="1"/>
                          </pic:cNvPicPr>
                        </pic:nvPicPr>
                        <pic:blipFill>
                          <a:blip r:embed="rId40"/>
                          <a:stretch>
                            <a:fillRect/>
                          </a:stretch>
                        </pic:blipFill>
                        <pic:spPr bwMode="auto">
                          <a:xfrm>
                            <a:off x="0" y="0"/>
                            <a:ext cx="402590" cy="534670"/>
                          </a:xfrm>
                          <a:prstGeom prst="rect">
                            <a:avLst/>
                          </a:prstGeom>
                        </pic:spPr>
                      </pic:pic>
                    </a:graphicData>
                  </a:graphic>
                </wp:inline>
              </w:drawing>
            </w:r>
          </w:p>
        </w:tc>
        <w:tc>
          <w:tcPr>
            <w:tcW w:w="2375" w:type="dxa"/>
            <w:tcBorders>
              <w:top w:val="single" w:sz="2" w:space="0" w:color="D9D9D9"/>
              <w:bottom w:val="single" w:sz="2" w:space="0" w:color="D9D9D9"/>
            </w:tcBorders>
            <w:tcMar>
              <w:top w:w="28" w:type="dxa"/>
              <w:bottom w:w="28" w:type="dxa"/>
            </w:tcMar>
            <w:vAlign w:val="center"/>
          </w:tcPr>
          <w:p>
            <w:pPr>
              <w:pStyle w:val="TableContents"/>
              <w:bidi w:val="0"/>
              <w:spacing w:lineRule="atLeast" w:line="180" w:before="20" w:after="20"/>
              <w:ind w:left="0" w:right="0" w:hanging="0"/>
              <w:jc w:val="left"/>
              <w:rPr>
                <w:rFonts w:ascii="Arial;Helvetica;sans-serif" w:hAnsi="Arial;Helvetica;sans-serif"/>
                <w:b/>
                <w:color w:val="005670"/>
                <w:sz w:val="16"/>
              </w:rPr>
            </w:pPr>
            <w:r>
              <w:rPr>
                <w:rFonts w:ascii="Arial;Helvetica;sans-serif" w:hAnsi="Arial;Helvetica;sans-serif"/>
                <w:b/>
                <w:color w:val="005670"/>
                <w:sz w:val="16"/>
              </w:rPr>
              <w:t>Samuel J. Merksamer</w:t>
            </w:r>
          </w:p>
          <w:p>
            <w:pPr>
              <w:pStyle w:val="TableContents"/>
              <w:bidi w:val="0"/>
              <w:spacing w:lineRule="atLeast" w:line="180" w:before="20" w:after="20"/>
              <w:ind w:left="0" w:right="0" w:hanging="0"/>
              <w:jc w:val="left"/>
              <w:rPr>
                <w:rFonts w:ascii="Arial;Helvetica;sans-serif" w:hAnsi="Arial;Helvetica;sans-serif"/>
                <w:sz w:val="16"/>
              </w:rPr>
            </w:pPr>
            <w:r>
              <w:rPr>
                <w:rFonts w:ascii="Arial;Helvetica;sans-serif" w:hAnsi="Arial;Helvetica;sans-serif"/>
                <w:sz w:val="16"/>
              </w:rPr>
              <w:t>Executive Director, Mubadala Capital</w:t>
            </w:r>
          </w:p>
        </w:tc>
        <w:tc>
          <w:tcPr>
            <w:tcW w:w="407"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45</w:t>
            </w:r>
          </w:p>
        </w:tc>
        <w:tc>
          <w:tcPr>
            <w:tcW w:w="823"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2013</w:t>
            </w:r>
          </w:p>
        </w:tc>
        <w:tc>
          <w:tcPr>
            <w:tcW w:w="96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color w:val="005670"/>
              </w:rPr>
            </w:pPr>
            <w:r>
              <w:rPr>
                <w:color w:val="005670"/>
              </w:rPr>
              <w:t>✓</w:t>
            </w:r>
          </w:p>
        </w:tc>
        <w:tc>
          <w:tcPr>
            <w:tcW w:w="481" w:type="dxa"/>
            <w:tcBorders>
              <w:top w:val="single" w:sz="2" w:space="0" w:color="D9D9D9"/>
              <w:bottom w:val="single" w:sz="2" w:space="0" w:color="D9D9D9"/>
              <w:right w:val="single" w:sz="12" w:space="0" w:color="FFFFFF"/>
            </w:tcBorders>
            <w:shd w:fill="F2F2F2" w:val="clear"/>
            <w:tcMar>
              <w:top w:w="28" w:type="dxa"/>
              <w:bottom w:w="28" w:type="dxa"/>
              <w:right w:w="28" w:type="dxa"/>
            </w:tcMar>
            <w:vAlign w:val="center"/>
          </w:tcPr>
          <w:p>
            <w:pPr>
              <w:pStyle w:val="TableContents"/>
              <w:bidi w:val="0"/>
              <w:spacing w:lineRule="auto" w:line="285" w:before="20" w:after="20"/>
              <w:ind w:left="0" w:right="0" w:hanging="0"/>
              <w:jc w:val="center"/>
              <w:rPr/>
            </w:pPr>
            <w:r>
              <w:rPr/>
              <w:drawing>
                <wp:inline distT="0" distB="0" distL="0" distR="0">
                  <wp:extent cx="173990" cy="173990"/>
                  <wp:effectExtent l="0" t="0" r="0" b="0"/>
                  <wp:docPr id="5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0" descr=""/>
                          <pic:cNvPicPr>
                            <a:picLocks noChangeAspect="1" noChangeArrowheads="1"/>
                          </pic:cNvPicPr>
                        </pic:nvPicPr>
                        <pic:blipFill>
                          <a:blip r:embed="rId41"/>
                          <a:stretch>
                            <a:fillRect/>
                          </a:stretch>
                        </pic:blipFill>
                        <pic:spPr bwMode="auto">
                          <a:xfrm>
                            <a:off x="0" y="0"/>
                            <a:ext cx="173990" cy="173990"/>
                          </a:xfrm>
                          <a:prstGeom prst="rect">
                            <a:avLst/>
                          </a:prstGeom>
                        </pic:spPr>
                      </pic:pic>
                    </a:graphicData>
                  </a:graphic>
                </wp:inline>
              </w:drawing>
            </w:r>
          </w:p>
          <w:p>
            <w:pPr>
              <w:pStyle w:val="TableContents"/>
              <w:bidi w:val="0"/>
              <w:spacing w:lineRule="auto" w:line="285" w:before="20" w:after="20"/>
              <w:ind w:left="0" w:right="0" w:hanging="0"/>
              <w:jc w:val="center"/>
              <w:rPr/>
            </w:pPr>
            <w:r>
              <w:rPr/>
              <w:drawing>
                <wp:inline distT="0" distB="0" distL="0" distR="0">
                  <wp:extent cx="128270" cy="179070"/>
                  <wp:effectExtent l="0" t="0" r="0" b="0"/>
                  <wp:docPr id="5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1" descr=""/>
                          <pic:cNvPicPr>
                            <a:picLocks noChangeAspect="1" noChangeArrowheads="1"/>
                          </pic:cNvPicPr>
                        </pic:nvPicPr>
                        <pic:blipFill>
                          <a:blip r:embed="rId42"/>
                          <a:stretch>
                            <a:fillRect/>
                          </a:stretch>
                        </pic:blipFill>
                        <pic:spPr bwMode="auto">
                          <a:xfrm>
                            <a:off x="0" y="0"/>
                            <a:ext cx="128270" cy="179070"/>
                          </a:xfrm>
                          <a:prstGeom prst="rect">
                            <a:avLst/>
                          </a:prstGeom>
                        </pic:spPr>
                      </pic:pic>
                    </a:graphicData>
                  </a:graphic>
                </wp:inline>
              </w:drawing>
            </w:r>
          </w:p>
        </w:tc>
        <w:tc>
          <w:tcPr>
            <w:tcW w:w="1081"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646"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20" w:after="20"/>
              <w:ind w:left="0" w:right="0" w:hanging="0"/>
              <w:jc w:val="center"/>
              <w:rPr/>
            </w:pPr>
            <w:r>
              <w:rPr/>
              <w:drawing>
                <wp:inline distT="0" distB="0" distL="0" distR="0">
                  <wp:extent cx="173990" cy="173990"/>
                  <wp:effectExtent l="0" t="0" r="0" b="0"/>
                  <wp:docPr id="5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2" descr=""/>
                          <pic:cNvPicPr>
                            <a:picLocks noChangeAspect="1" noChangeArrowheads="1"/>
                          </pic:cNvPicPr>
                        </pic:nvPicPr>
                        <pic:blipFill>
                          <a:blip r:embed="rId43"/>
                          <a:stretch>
                            <a:fillRect/>
                          </a:stretch>
                        </pic:blipFill>
                        <pic:spPr bwMode="auto">
                          <a:xfrm>
                            <a:off x="0" y="0"/>
                            <a:ext cx="173990" cy="173990"/>
                          </a:xfrm>
                          <a:prstGeom prst="rect">
                            <a:avLst/>
                          </a:prstGeom>
                        </pic:spPr>
                      </pic:pic>
                    </a:graphicData>
                  </a:graphic>
                </wp:inline>
              </w:drawing>
            </w:r>
          </w:p>
        </w:tc>
        <w:tc>
          <w:tcPr>
            <w:tcW w:w="1428" w:type="dxa"/>
            <w:gridSpan w:val="2"/>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1268" w:type="dxa"/>
            <w:tcBorders>
              <w:top w:val="single" w:sz="2" w:space="0" w:color="D9D9D9"/>
              <w:left w:val="single" w:sz="12" w:space="0" w:color="FFFFFF"/>
              <w:bottom w:val="single" w:sz="2" w:space="0" w:color="D9D9D9"/>
            </w:tcBorders>
            <w:shd w:fill="FFFFFF" w:val="clear"/>
            <w:tcMar>
              <w:top w:w="28" w:type="dxa"/>
              <w:left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b/>
                <w:sz w:val="16"/>
              </w:rPr>
            </w:pPr>
            <w:r>
              <w:rPr>
                <w:rFonts w:ascii="Arial;Helvetica;sans-serif" w:hAnsi="Arial;Helvetica;sans-serif"/>
                <w:b/>
                <w:sz w:val="16"/>
              </w:rPr>
              <w:t>0</w:t>
            </w:r>
          </w:p>
        </w:tc>
      </w:tr>
      <w:tr>
        <w:trPr/>
        <w:tc>
          <w:tcPr>
            <w:tcW w:w="735" w:type="dxa"/>
            <w:gridSpan w:val="2"/>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left"/>
              <w:rPr/>
            </w:pPr>
            <w:r>
              <w:rPr/>
              <w:drawing>
                <wp:inline distT="0" distB="0" distL="0" distR="0">
                  <wp:extent cx="402590" cy="534670"/>
                  <wp:effectExtent l="0" t="0" r="0" b="0"/>
                  <wp:docPr id="5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3" descr=""/>
                          <pic:cNvPicPr>
                            <a:picLocks noChangeAspect="1" noChangeArrowheads="1"/>
                          </pic:cNvPicPr>
                        </pic:nvPicPr>
                        <pic:blipFill>
                          <a:blip r:embed="rId44"/>
                          <a:stretch>
                            <a:fillRect/>
                          </a:stretch>
                        </pic:blipFill>
                        <pic:spPr bwMode="auto">
                          <a:xfrm>
                            <a:off x="0" y="0"/>
                            <a:ext cx="402590" cy="534670"/>
                          </a:xfrm>
                          <a:prstGeom prst="rect">
                            <a:avLst/>
                          </a:prstGeom>
                        </pic:spPr>
                      </pic:pic>
                    </a:graphicData>
                  </a:graphic>
                </wp:inline>
              </w:drawing>
            </w:r>
          </w:p>
        </w:tc>
        <w:tc>
          <w:tcPr>
            <w:tcW w:w="2375" w:type="dxa"/>
            <w:tcBorders>
              <w:top w:val="single" w:sz="2" w:space="0" w:color="D9D9D9"/>
              <w:bottom w:val="single" w:sz="2" w:space="0" w:color="D9D9D9"/>
            </w:tcBorders>
            <w:tcMar>
              <w:top w:w="28" w:type="dxa"/>
              <w:bottom w:w="28" w:type="dxa"/>
            </w:tcMar>
            <w:vAlign w:val="center"/>
          </w:tcPr>
          <w:p>
            <w:pPr>
              <w:pStyle w:val="TableContents"/>
              <w:bidi w:val="0"/>
              <w:spacing w:lineRule="atLeast" w:line="180" w:before="20" w:after="20"/>
              <w:ind w:left="0" w:right="0" w:hanging="0"/>
              <w:jc w:val="left"/>
              <w:rPr>
                <w:rFonts w:ascii="Arial;Helvetica;sans-serif" w:hAnsi="Arial;Helvetica;sans-serif"/>
                <w:b/>
                <w:color w:val="005670"/>
                <w:sz w:val="16"/>
              </w:rPr>
            </w:pPr>
            <w:r>
              <w:rPr>
                <w:rFonts w:ascii="Arial;Helvetica;sans-serif" w:hAnsi="Arial;Helvetica;sans-serif"/>
                <w:b/>
                <w:color w:val="005670"/>
                <w:sz w:val="16"/>
              </w:rPr>
              <w:t>Frederik W. Mohn</w:t>
            </w:r>
          </w:p>
          <w:p>
            <w:pPr>
              <w:pStyle w:val="TableContents"/>
              <w:bidi w:val="0"/>
              <w:spacing w:lineRule="atLeast" w:line="180" w:before="20" w:after="20"/>
              <w:ind w:left="0" w:right="0" w:hanging="0"/>
              <w:jc w:val="left"/>
              <w:rPr>
                <w:rFonts w:ascii="Arial;Helvetica;sans-serif" w:hAnsi="Arial;Helvetica;sans-serif"/>
                <w:sz w:val="16"/>
              </w:rPr>
            </w:pPr>
            <w:r>
              <w:rPr>
                <w:rFonts w:ascii="Arial;Helvetica;sans-serif" w:hAnsi="Arial;Helvetica;sans-serif"/>
                <w:sz w:val="16"/>
              </w:rPr>
              <w:t>Owner and Managing Director, Perestroika AS; former Director and Chair, Songa Offshore SE</w:t>
            </w:r>
          </w:p>
        </w:tc>
        <w:tc>
          <w:tcPr>
            <w:tcW w:w="407"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49</w:t>
            </w:r>
          </w:p>
        </w:tc>
        <w:tc>
          <w:tcPr>
            <w:tcW w:w="823"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2018</w:t>
            </w:r>
          </w:p>
        </w:tc>
        <w:tc>
          <w:tcPr>
            <w:tcW w:w="96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color w:val="005670"/>
              </w:rPr>
            </w:pPr>
            <w:r>
              <w:rPr>
                <w:color w:val="005670"/>
              </w:rPr>
              <w:t>✓</w:t>
            </w:r>
          </w:p>
        </w:tc>
        <w:tc>
          <w:tcPr>
            <w:tcW w:w="481" w:type="dxa"/>
            <w:tcBorders>
              <w:top w:val="single" w:sz="2" w:space="0" w:color="D9D9D9"/>
              <w:bottom w:val="single" w:sz="2" w:space="0" w:color="D9D9D9"/>
              <w:right w:val="single" w:sz="12" w:space="0" w:color="FFFFFF"/>
            </w:tcBorders>
            <w:shd w:fill="F2F2F2" w:val="clear"/>
            <w:tcMar>
              <w:top w:w="28" w:type="dxa"/>
              <w:bottom w:w="28" w:type="dxa"/>
              <w:right w:w="28" w:type="dxa"/>
            </w:tcMar>
            <w:vAlign w:val="center"/>
          </w:tcPr>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center"/>
              <w:rPr/>
            </w:pPr>
            <w:r>
              <w:rPr/>
              <w:t>​</w:t>
            </w:r>
          </w:p>
        </w:tc>
        <w:tc>
          <w:tcPr>
            <w:tcW w:w="1081"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646"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20" w:after="20"/>
              <w:ind w:left="0" w:right="0" w:hanging="0"/>
              <w:jc w:val="center"/>
              <w:rPr/>
            </w:pPr>
            <w:r>
              <w:rPr/>
              <w:drawing>
                <wp:inline distT="0" distB="0" distL="0" distR="0">
                  <wp:extent cx="173990" cy="173990"/>
                  <wp:effectExtent l="0" t="0" r="0" b="0"/>
                  <wp:docPr id="5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4" descr=""/>
                          <pic:cNvPicPr>
                            <a:picLocks noChangeAspect="1" noChangeArrowheads="1"/>
                          </pic:cNvPicPr>
                        </pic:nvPicPr>
                        <pic:blipFill>
                          <a:blip r:embed="rId45"/>
                          <a:stretch>
                            <a:fillRect/>
                          </a:stretch>
                        </pic:blipFill>
                        <pic:spPr bwMode="auto">
                          <a:xfrm>
                            <a:off x="0" y="0"/>
                            <a:ext cx="173990" cy="173990"/>
                          </a:xfrm>
                          <a:prstGeom prst="rect">
                            <a:avLst/>
                          </a:prstGeom>
                        </pic:spPr>
                      </pic:pic>
                    </a:graphicData>
                  </a:graphic>
                </wp:inline>
              </w:drawing>
            </w:r>
          </w:p>
        </w:tc>
        <w:tc>
          <w:tcPr>
            <w:tcW w:w="1428" w:type="dxa"/>
            <w:gridSpan w:val="2"/>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20" w:after="20"/>
              <w:ind w:left="0" w:right="0" w:hanging="0"/>
              <w:jc w:val="center"/>
              <w:rPr/>
            </w:pPr>
            <w:r>
              <w:rPr/>
              <w:drawing>
                <wp:inline distT="0" distB="0" distL="0" distR="0">
                  <wp:extent cx="173990" cy="173990"/>
                  <wp:effectExtent l="0" t="0" r="0" b="0"/>
                  <wp:docPr id="5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5" descr=""/>
                          <pic:cNvPicPr>
                            <a:picLocks noChangeAspect="1" noChangeArrowheads="1"/>
                          </pic:cNvPicPr>
                        </pic:nvPicPr>
                        <pic:blipFill>
                          <a:blip r:embed="rId46"/>
                          <a:stretch>
                            <a:fillRect/>
                          </a:stretch>
                        </pic:blipFill>
                        <pic:spPr bwMode="auto">
                          <a:xfrm>
                            <a:off x="0" y="0"/>
                            <a:ext cx="173990" cy="173990"/>
                          </a:xfrm>
                          <a:prstGeom prst="rect">
                            <a:avLst/>
                          </a:prstGeom>
                        </pic:spPr>
                      </pic:pic>
                    </a:graphicData>
                  </a:graphic>
                </wp:inline>
              </w:drawing>
            </w:r>
          </w:p>
        </w:tc>
        <w:tc>
          <w:tcPr>
            <w:tcW w:w="1268" w:type="dxa"/>
            <w:tcBorders>
              <w:top w:val="single" w:sz="2" w:space="0" w:color="D9D9D9"/>
              <w:left w:val="single" w:sz="12" w:space="0" w:color="FFFFFF"/>
              <w:bottom w:val="single" w:sz="2" w:space="0" w:color="D9D9D9"/>
            </w:tcBorders>
            <w:shd w:fill="FFFFFF" w:val="clear"/>
            <w:tcMar>
              <w:top w:w="28" w:type="dxa"/>
              <w:left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b/>
                <w:sz w:val="16"/>
              </w:rPr>
            </w:pPr>
            <w:r>
              <w:rPr>
                <w:rFonts w:ascii="Arial;Helvetica;sans-serif" w:hAnsi="Arial;Helvetica;sans-serif"/>
                <w:b/>
                <w:sz w:val="16"/>
              </w:rPr>
              <w:t>1</w:t>
            </w:r>
          </w:p>
        </w:tc>
      </w:tr>
      <w:tr>
        <w:trPr/>
        <w:tc>
          <w:tcPr>
            <w:tcW w:w="735" w:type="dxa"/>
            <w:gridSpan w:val="2"/>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left"/>
              <w:rPr/>
            </w:pPr>
            <w:r>
              <w:rPr/>
              <w:drawing>
                <wp:inline distT="0" distB="0" distL="0" distR="0">
                  <wp:extent cx="402590" cy="534670"/>
                  <wp:effectExtent l="0" t="0" r="0" b="0"/>
                  <wp:docPr id="5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6" descr=""/>
                          <pic:cNvPicPr>
                            <a:picLocks noChangeAspect="1" noChangeArrowheads="1"/>
                          </pic:cNvPicPr>
                        </pic:nvPicPr>
                        <pic:blipFill>
                          <a:blip r:embed="rId47"/>
                          <a:stretch>
                            <a:fillRect/>
                          </a:stretch>
                        </pic:blipFill>
                        <pic:spPr bwMode="auto">
                          <a:xfrm>
                            <a:off x="0" y="0"/>
                            <a:ext cx="402590" cy="534670"/>
                          </a:xfrm>
                          <a:prstGeom prst="rect">
                            <a:avLst/>
                          </a:prstGeom>
                        </pic:spPr>
                      </pic:pic>
                    </a:graphicData>
                  </a:graphic>
                </wp:inline>
              </w:drawing>
            </w:r>
          </w:p>
        </w:tc>
        <w:tc>
          <w:tcPr>
            <w:tcW w:w="2375" w:type="dxa"/>
            <w:tcBorders>
              <w:top w:val="single" w:sz="2" w:space="0" w:color="D9D9D9"/>
              <w:bottom w:val="single" w:sz="2" w:space="0" w:color="D9D9D9"/>
            </w:tcBorders>
            <w:tcMar>
              <w:top w:w="28" w:type="dxa"/>
              <w:bottom w:w="28" w:type="dxa"/>
            </w:tcMar>
            <w:vAlign w:val="center"/>
          </w:tcPr>
          <w:p>
            <w:pPr>
              <w:pStyle w:val="TableContents"/>
              <w:bidi w:val="0"/>
              <w:spacing w:lineRule="atLeast" w:line="180" w:before="20" w:after="20"/>
              <w:ind w:left="0" w:right="0" w:hanging="0"/>
              <w:jc w:val="left"/>
              <w:rPr>
                <w:rFonts w:ascii="Arial;Helvetica;sans-serif" w:hAnsi="Arial;Helvetica;sans-serif"/>
                <w:b/>
                <w:color w:val="005670"/>
                <w:sz w:val="16"/>
              </w:rPr>
            </w:pPr>
            <w:r>
              <w:rPr>
                <w:rFonts w:ascii="Arial;Helvetica;sans-serif" w:hAnsi="Arial;Helvetica;sans-serif"/>
                <w:b/>
                <w:color w:val="005670"/>
                <w:sz w:val="16"/>
              </w:rPr>
              <w:t>Jeremy D. Thigpen</w:t>
            </w:r>
          </w:p>
          <w:p>
            <w:pPr>
              <w:pStyle w:val="TableContents"/>
              <w:bidi w:val="0"/>
              <w:spacing w:lineRule="atLeast" w:line="180" w:before="20" w:after="20"/>
              <w:ind w:left="0" w:right="0" w:hanging="0"/>
              <w:jc w:val="left"/>
              <w:rPr>
                <w:rFonts w:ascii="Arial;Helvetica;sans-serif" w:hAnsi="Arial;Helvetica;sans-serif"/>
                <w:sz w:val="16"/>
              </w:rPr>
            </w:pPr>
            <w:r>
              <w:rPr>
                <w:rFonts w:ascii="Arial;Helvetica;sans-serif" w:hAnsi="Arial;Helvetica;sans-serif"/>
                <w:sz w:val="16"/>
              </w:rPr>
              <w:t>Executive Chair, Transocean Ltd.</w:t>
            </w:r>
          </w:p>
        </w:tc>
        <w:tc>
          <w:tcPr>
            <w:tcW w:w="407"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51</w:t>
            </w:r>
          </w:p>
        </w:tc>
        <w:tc>
          <w:tcPr>
            <w:tcW w:w="823"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sz w:val="16"/>
              </w:rPr>
            </w:pPr>
            <w:r>
              <w:rPr>
                <w:rFonts w:ascii="Arial;Helvetica;sans-serif" w:hAnsi="Arial;Helvetica;sans-serif"/>
                <w:sz w:val="16"/>
              </w:rPr>
              <w:t>2015</w:t>
            </w:r>
          </w:p>
        </w:tc>
        <w:tc>
          <w:tcPr>
            <w:tcW w:w="96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481" w:type="dxa"/>
            <w:tcBorders>
              <w:top w:val="single" w:sz="2" w:space="0" w:color="D9D9D9"/>
              <w:bottom w:val="single" w:sz="2" w:space="0" w:color="D9D9D9"/>
              <w:right w:val="single" w:sz="12" w:space="0" w:color="FFFFFF"/>
            </w:tcBorders>
            <w:shd w:fill="F2F2F2" w:val="clear"/>
            <w:tcMar>
              <w:top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1081"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646"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1428" w:type="dxa"/>
            <w:gridSpan w:val="2"/>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pPr>
            <w:r>
              <w:rPr/>
              <w:t>​</w:t>
            </w:r>
          </w:p>
        </w:tc>
        <w:tc>
          <w:tcPr>
            <w:tcW w:w="1268" w:type="dxa"/>
            <w:tcBorders>
              <w:top w:val="single" w:sz="2" w:space="0" w:color="D9D9D9"/>
              <w:left w:val="single" w:sz="12" w:space="0" w:color="FFFFFF"/>
              <w:bottom w:val="single" w:sz="2" w:space="0" w:color="D9D9D9"/>
            </w:tcBorders>
            <w:shd w:fill="FFFFFF" w:val="clear"/>
            <w:tcMar>
              <w:top w:w="28" w:type="dxa"/>
              <w:left w:w="28" w:type="dxa"/>
              <w:bottom w:w="28" w:type="dxa"/>
            </w:tcMar>
            <w:vAlign w:val="center"/>
          </w:tcPr>
          <w:p>
            <w:pPr>
              <w:pStyle w:val="TableContents"/>
              <w:bidi w:val="0"/>
              <w:spacing w:lineRule="auto" w:line="285" w:before="20" w:after="20"/>
              <w:ind w:left="0" w:right="0" w:hanging="0"/>
              <w:jc w:val="center"/>
              <w:rPr>
                <w:rFonts w:ascii="Arial;Helvetica;sans-serif" w:hAnsi="Arial;Helvetica;sans-serif"/>
                <w:b/>
                <w:sz w:val="18"/>
              </w:rPr>
            </w:pPr>
            <w:r>
              <w:rPr>
                <w:rFonts w:ascii="Arial;Helvetica;sans-serif" w:hAnsi="Arial;Helvetica;sans-serif"/>
                <w:b/>
                <w:sz w:val="18"/>
              </w:rPr>
              <w:t>0</w:t>
            </w:r>
          </w:p>
        </w:tc>
      </w:tr>
      <w:tr>
        <w:trPr/>
        <w:tc>
          <w:tcPr>
            <w:tcW w:w="620"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pPr>
            <w:r>
              <w:rPr/>
              <w:t>​</w:t>
            </w:r>
          </w:p>
        </w:tc>
        <w:tc>
          <w:tcPr>
            <w:tcW w:w="4681" w:type="dxa"/>
            <w:gridSpan w:val="5"/>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b/>
                <w:color w:val="4B4F54"/>
                <w:sz w:val="18"/>
              </w:rPr>
              <w:t xml:space="preserve">MEETINGS IN 2025: BOARD: </w:t>
            </w:r>
            <w:r>
              <w:rPr>
                <w:rFonts w:ascii="Arial;Helvetica;sans-serif" w:hAnsi="Arial;Helvetica;sans-serif"/>
                <w:b/>
                <w:color w:val="005670"/>
                <w:sz w:val="18"/>
              </w:rPr>
              <w:t>4</w:t>
              <w:br/>
            </w:r>
            <w:r>
              <w:rPr>
                <w:rFonts w:ascii="Arial;Helvetica;sans-serif" w:hAnsi="Arial;Helvetica;sans-serif"/>
                <w:b/>
                <w:color w:val="4B4F54"/>
                <w:sz w:val="18"/>
              </w:rPr>
              <w:t xml:space="preserve">BOARD AND COMMITTEES: </w:t>
            </w:r>
            <w:r>
              <w:rPr>
                <w:rFonts w:ascii="Arial;Helvetica;sans-serif" w:hAnsi="Arial;Helvetica;sans-serif"/>
                <w:b/>
                <w:color w:val="005670"/>
                <w:sz w:val="18"/>
              </w:rPr>
              <w:t>24</w:t>
            </w:r>
          </w:p>
        </w:tc>
        <w:tc>
          <w:tcPr>
            <w:tcW w:w="481" w:type="dxa"/>
            <w:tcBorders>
              <w:top w:val="single" w:sz="2" w:space="0" w:color="D9D9D9"/>
              <w:bottom w:val="single" w:sz="2" w:space="0" w:color="D9D9D9"/>
              <w:right w:val="single" w:sz="12" w:space="0" w:color="FFFFFF"/>
            </w:tcBorders>
            <w:shd w:fill="F2F2F2" w:val="clear"/>
            <w:tcMar>
              <w:top w:w="28" w:type="dxa"/>
              <w:bottom w:w="28" w:type="dxa"/>
              <w:right w:w="28" w:type="dxa"/>
            </w:tcMar>
            <w:vAlign w:val="center"/>
          </w:tcPr>
          <w:p>
            <w:pPr>
              <w:pStyle w:val="TableContents"/>
              <w:bidi w:val="0"/>
              <w:spacing w:lineRule="auto" w:line="285" w:before="0" w:after="0"/>
              <w:ind w:left="0" w:right="0" w:hanging="0"/>
              <w:jc w:val="center"/>
              <w:rPr>
                <w:rFonts w:ascii="Arial;Helvetica;sans-serif" w:hAnsi="Arial;Helvetica;sans-serif"/>
                <w:b/>
                <w:color w:val="005670"/>
                <w:sz w:val="18"/>
              </w:rPr>
            </w:pPr>
            <w:r>
              <w:rPr>
                <w:rFonts w:ascii="Arial;Helvetica;sans-serif" w:hAnsi="Arial;Helvetica;sans-serif"/>
                <w:b/>
                <w:color w:val="005670"/>
                <w:sz w:val="18"/>
              </w:rPr>
              <w:t>8</w:t>
            </w:r>
          </w:p>
        </w:tc>
        <w:tc>
          <w:tcPr>
            <w:tcW w:w="1081"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rFonts w:ascii="Arial;Helvetica;sans-serif" w:hAnsi="Arial;Helvetica;sans-serif"/>
                <w:b/>
                <w:color w:val="005670"/>
                <w:sz w:val="18"/>
              </w:rPr>
            </w:pPr>
            <w:r>
              <w:rPr>
                <w:rFonts w:ascii="Arial;Helvetica;sans-serif" w:hAnsi="Arial;Helvetica;sans-serif"/>
                <w:b/>
                <w:color w:val="005670"/>
                <w:sz w:val="18"/>
              </w:rPr>
              <w:t>4</w:t>
            </w:r>
          </w:p>
        </w:tc>
        <w:tc>
          <w:tcPr>
            <w:tcW w:w="646" w:type="dxa"/>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rFonts w:ascii="Arial;Helvetica;sans-serif" w:hAnsi="Arial;Helvetica;sans-serif"/>
                <w:b/>
                <w:color w:val="005670"/>
                <w:sz w:val="18"/>
              </w:rPr>
            </w:pPr>
            <w:r>
              <w:rPr>
                <w:rFonts w:ascii="Arial;Helvetica;sans-serif" w:hAnsi="Arial;Helvetica;sans-serif"/>
                <w:b/>
                <w:color w:val="005670"/>
                <w:sz w:val="18"/>
              </w:rPr>
              <w:t>4</w:t>
            </w:r>
          </w:p>
        </w:tc>
        <w:tc>
          <w:tcPr>
            <w:tcW w:w="1428" w:type="dxa"/>
            <w:gridSpan w:val="2"/>
            <w:tcBorders>
              <w:top w:val="single" w:sz="2" w:space="0" w:color="D9D9D9"/>
              <w:left w:val="single" w:sz="12" w:space="0" w:color="FFFFFF"/>
              <w:bottom w:val="single" w:sz="2" w:space="0" w:color="D9D9D9"/>
              <w:right w:val="single" w:sz="12" w:space="0" w:color="FFFFFF"/>
            </w:tcBorders>
            <w:shd w:fill="F2F2F2" w:val="clear"/>
            <w:tcMar>
              <w:top w:w="28" w:type="dxa"/>
              <w:left w:w="28" w:type="dxa"/>
              <w:bottom w:w="28" w:type="dxa"/>
              <w:right w:w="28" w:type="dxa"/>
            </w:tcMar>
            <w:vAlign w:val="center"/>
          </w:tcPr>
          <w:p>
            <w:pPr>
              <w:pStyle w:val="TableContents"/>
              <w:bidi w:val="0"/>
              <w:spacing w:lineRule="auto" w:line="285" w:before="0" w:after="0"/>
              <w:ind w:left="0" w:right="0" w:hanging="0"/>
              <w:jc w:val="center"/>
              <w:rPr>
                <w:rFonts w:ascii="Arial;Helvetica;sans-serif" w:hAnsi="Arial;Helvetica;sans-serif"/>
                <w:b/>
                <w:color w:val="005670"/>
                <w:sz w:val="18"/>
              </w:rPr>
            </w:pPr>
            <w:r>
              <w:rPr>
                <w:rFonts w:ascii="Arial;Helvetica;sans-serif" w:hAnsi="Arial;Helvetica;sans-serif"/>
                <w:b/>
                <w:color w:val="005670"/>
                <w:sz w:val="18"/>
              </w:rPr>
              <w:t>4</w:t>
            </w:r>
          </w:p>
        </w:tc>
        <w:tc>
          <w:tcPr>
            <w:tcW w:w="1268" w:type="dxa"/>
            <w:tcBorders>
              <w:top w:val="single" w:sz="2" w:space="0" w:color="D9D9D9"/>
              <w:left w:val="single" w:sz="12" w:space="0" w:color="FFFFFF"/>
              <w:bottom w:val="single" w:sz="2" w:space="0" w:color="D9D9D9"/>
            </w:tcBorders>
            <w:shd w:fill="FFFFFF"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46"/>
        <w:gridCol w:w="1080"/>
        <w:gridCol w:w="109"/>
        <w:gridCol w:w="331"/>
        <w:gridCol w:w="1174"/>
        <w:gridCol w:w="109"/>
        <w:gridCol w:w="273"/>
        <w:gridCol w:w="2155"/>
        <w:gridCol w:w="109"/>
        <w:gridCol w:w="109"/>
        <w:gridCol w:w="316"/>
        <w:gridCol w:w="4094"/>
      </w:tblGrid>
      <w:tr>
        <w:trPr/>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80"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1174"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273" w:type="dxa"/>
            <w:tcBorders/>
            <w:vAlign w:val="center"/>
          </w:tcPr>
          <w:p>
            <w:pPr>
              <w:pStyle w:val="TableContents"/>
              <w:bidi w:val="0"/>
              <w:spacing w:before="0" w:after="283"/>
              <w:ind w:left="0" w:right="0" w:hanging="0"/>
              <w:jc w:val="left"/>
              <w:rPr>
                <w:sz w:val="4"/>
                <w:szCs w:val="4"/>
              </w:rPr>
            </w:pPr>
            <w:r>
              <w:rPr>
                <w:sz w:val="4"/>
                <w:szCs w:val="4"/>
              </w:rPr>
            </w:r>
          </w:p>
        </w:tc>
        <w:tc>
          <w:tcPr>
            <w:tcW w:w="2155"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4094" w:type="dxa"/>
            <w:tcBorders/>
            <w:vAlign w:val="center"/>
          </w:tcPr>
          <w:p>
            <w:pPr>
              <w:pStyle w:val="TableContents"/>
              <w:bidi w:val="0"/>
              <w:spacing w:lineRule="auto" w:line="285" w:before="0" w:after="0"/>
              <w:ind w:left="0" w:right="0" w:hanging="0"/>
              <w:jc w:val="both"/>
              <w:rPr/>
            </w:pPr>
            <w:r>
              <w:rPr/>
              <w:t>​</w:t>
            </w:r>
          </w:p>
        </w:tc>
      </w:tr>
      <w:tr>
        <w:trPr/>
        <w:tc>
          <w:tcPr>
            <w:tcW w:w="346" w:type="dxa"/>
            <w:tcBorders/>
            <w:vAlign w:val="center"/>
          </w:tcPr>
          <w:p>
            <w:pPr>
              <w:pStyle w:val="TableContents"/>
              <w:bidi w:val="0"/>
              <w:spacing w:lineRule="auto" w:line="285" w:before="40" w:after="0"/>
              <w:ind w:left="0" w:right="0" w:hanging="0"/>
              <w:jc w:val="left"/>
              <w:rPr/>
            </w:pPr>
            <w:r>
              <w:rPr/>
              <w:drawing>
                <wp:inline distT="0" distB="0" distL="0" distR="0">
                  <wp:extent cx="155575" cy="155575"/>
                  <wp:effectExtent l="0" t="0" r="0" b="0"/>
                  <wp:docPr id="5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7" descr=""/>
                          <pic:cNvPicPr>
                            <a:picLocks noChangeAspect="1" noChangeArrowheads="1"/>
                          </pic:cNvPicPr>
                        </pic:nvPicPr>
                        <pic:blipFill>
                          <a:blip r:embed="rId48"/>
                          <a:stretch>
                            <a:fillRect/>
                          </a:stretch>
                        </pic:blipFill>
                        <pic:spPr bwMode="auto">
                          <a:xfrm>
                            <a:off x="0" y="0"/>
                            <a:ext cx="155575" cy="155575"/>
                          </a:xfrm>
                          <a:prstGeom prst="rect">
                            <a:avLst/>
                          </a:prstGeom>
                        </pic:spPr>
                      </pic:pic>
                    </a:graphicData>
                  </a:graphic>
                </wp:inline>
              </w:drawing>
            </w:r>
          </w:p>
        </w:tc>
        <w:tc>
          <w:tcPr>
            <w:tcW w:w="1080" w:type="dxa"/>
            <w:tcBorders/>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Committee Chair</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both"/>
              <w:rPr/>
            </w:pPr>
            <w:r>
              <w:rPr/>
              <w:t>​</w:t>
            </w:r>
          </w:p>
        </w:tc>
        <w:tc>
          <w:tcPr>
            <w:tcW w:w="331" w:type="dxa"/>
            <w:tcBorders>
              <w:left w:val="single" w:sz="2" w:space="0" w:color="D9D9D9"/>
            </w:tcBorders>
            <w:tcMar>
              <w:left w:w="100" w:type="dxa"/>
            </w:tcMar>
            <w:vAlign w:val="center"/>
          </w:tcPr>
          <w:p>
            <w:pPr>
              <w:pStyle w:val="TableContents"/>
              <w:bidi w:val="0"/>
              <w:spacing w:lineRule="auto" w:line="285" w:before="40" w:after="0"/>
              <w:ind w:left="0" w:right="0" w:hanging="0"/>
              <w:jc w:val="left"/>
              <w:rPr/>
            </w:pPr>
            <w:r>
              <w:rPr/>
              <w:drawing>
                <wp:inline distT="0" distB="0" distL="0" distR="0">
                  <wp:extent cx="155575" cy="155575"/>
                  <wp:effectExtent l="0" t="0" r="0" b="0"/>
                  <wp:docPr id="5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8" descr=""/>
                          <pic:cNvPicPr>
                            <a:picLocks noChangeAspect="1" noChangeArrowheads="1"/>
                          </pic:cNvPicPr>
                        </pic:nvPicPr>
                        <pic:blipFill>
                          <a:blip r:embed="rId49"/>
                          <a:stretch>
                            <a:fillRect/>
                          </a:stretch>
                        </pic:blipFill>
                        <pic:spPr bwMode="auto">
                          <a:xfrm>
                            <a:off x="0" y="0"/>
                            <a:ext cx="155575" cy="155575"/>
                          </a:xfrm>
                          <a:prstGeom prst="rect">
                            <a:avLst/>
                          </a:prstGeom>
                        </pic:spPr>
                      </pic:pic>
                    </a:graphicData>
                  </a:graphic>
                </wp:inline>
              </w:drawing>
            </w:r>
          </w:p>
        </w:tc>
        <w:tc>
          <w:tcPr>
            <w:tcW w:w="1174" w:type="dxa"/>
            <w:tcBorders/>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Committee Member</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both"/>
              <w:rPr/>
            </w:pPr>
            <w:r>
              <w:rPr/>
              <w:t>​</w:t>
            </w:r>
          </w:p>
        </w:tc>
        <w:tc>
          <w:tcPr>
            <w:tcW w:w="273" w:type="dxa"/>
            <w:tcBorders>
              <w:left w:val="single" w:sz="2" w:space="0" w:color="D9D9D9"/>
            </w:tcBorders>
            <w:tcMar>
              <w:left w:w="100" w:type="dxa"/>
            </w:tcMar>
            <w:vAlign w:val="center"/>
          </w:tcPr>
          <w:p>
            <w:pPr>
              <w:pStyle w:val="TableContents"/>
              <w:bidi w:val="0"/>
              <w:spacing w:lineRule="auto" w:line="285" w:before="40" w:after="0"/>
              <w:ind w:left="0" w:right="0" w:hanging="0"/>
              <w:jc w:val="left"/>
              <w:rPr/>
            </w:pPr>
            <w:r>
              <w:rPr/>
              <w:drawing>
                <wp:inline distT="0" distB="0" distL="0" distR="0">
                  <wp:extent cx="118745" cy="173990"/>
                  <wp:effectExtent l="0" t="0" r="0" b="0"/>
                  <wp:docPr id="6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9" descr=""/>
                          <pic:cNvPicPr>
                            <a:picLocks noChangeAspect="1" noChangeArrowheads="1"/>
                          </pic:cNvPicPr>
                        </pic:nvPicPr>
                        <pic:blipFill>
                          <a:blip r:embed="rId50"/>
                          <a:stretch>
                            <a:fillRect/>
                          </a:stretch>
                        </pic:blipFill>
                        <pic:spPr bwMode="auto">
                          <a:xfrm>
                            <a:off x="0" y="0"/>
                            <a:ext cx="118745" cy="173990"/>
                          </a:xfrm>
                          <a:prstGeom prst="rect">
                            <a:avLst/>
                          </a:prstGeom>
                        </pic:spPr>
                      </pic:pic>
                    </a:graphicData>
                  </a:graphic>
                </wp:inline>
              </w:drawing>
            </w:r>
          </w:p>
        </w:tc>
        <w:tc>
          <w:tcPr>
            <w:tcW w:w="2155" w:type="dxa"/>
            <w:tcBorders/>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Audit Committee financial expert (SEC and NYSE)</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both"/>
              <w:rPr/>
            </w:pPr>
            <w:r>
              <w:rPr/>
              <w:t>​</w:t>
            </w:r>
          </w:p>
        </w:tc>
        <w:tc>
          <w:tcPr>
            <w:tcW w:w="109" w:type="dxa"/>
            <w:tcBorders>
              <w:left w:val="single" w:sz="2" w:space="0" w:color="D9D9D9"/>
            </w:tcBorders>
            <w:tcMar>
              <w:left w:w="100" w:type="dxa"/>
            </w:tcMar>
            <w:vAlign w:val="center"/>
          </w:tcPr>
          <w:p>
            <w:pPr>
              <w:pStyle w:val="TableContents"/>
              <w:bidi w:val="0"/>
              <w:spacing w:lineRule="auto" w:line="285" w:before="0" w:after="0"/>
              <w:ind w:left="0" w:right="0" w:hanging="0"/>
              <w:jc w:val="both"/>
              <w:rPr/>
            </w:pPr>
            <w:r>
              <w:rPr/>
              <w:t>​</w:t>
            </w:r>
          </w:p>
        </w:tc>
        <w:tc>
          <w:tcPr>
            <w:tcW w:w="316" w:type="dxa"/>
            <w:tcBorders/>
            <w:vAlign w:val="center"/>
          </w:tcPr>
          <w:p>
            <w:pPr>
              <w:pStyle w:val="TableContents"/>
              <w:bidi w:val="0"/>
              <w:spacing w:lineRule="auto" w:line="285" w:before="0" w:after="0"/>
              <w:ind w:left="0" w:right="0" w:hanging="0"/>
              <w:jc w:val="both"/>
              <w:rPr>
                <w:color w:val="005670"/>
              </w:rPr>
            </w:pPr>
            <w:r>
              <w:rPr>
                <w:color w:val="005670"/>
              </w:rPr>
              <w:t>✓</w:t>
            </w:r>
          </w:p>
        </w:tc>
        <w:tc>
          <w:tcPr>
            <w:tcW w:w="4094" w:type="dxa"/>
            <w:tcBorders/>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Independent, as determined by the Board of Directors in accordance with applicable rules and regulations</w:t>
            </w:r>
          </w:p>
        </w:tc>
      </w:tr>
    </w:tbl>
    <w:p>
      <w:pPr>
        <w:pStyle w:val="TextBody"/>
        <w:pBdr/>
        <w:bidi w:val="0"/>
        <w:spacing w:lineRule="auto" w:line="240" w:before="120" w:after="40"/>
        <w:ind w:left="0" w:right="0" w:hanging="187"/>
        <w:jc w:val="left"/>
        <w:rPr>
          <w:rFonts w:ascii="Arial;Helvetica;sans-serif" w:hAnsi="Arial;Helvetica;sans-serif"/>
          <w:sz w:val="16"/>
        </w:rPr>
      </w:pPr>
      <w:r>
        <w:rPr>
          <w:rFonts w:ascii="Arial;Helvetica;sans-serif" w:hAnsi="Arial;Helvetica;sans-serif"/>
          <w:sz w:val="15"/>
        </w:rPr>
        <w:t>(1)</w:t>
      </w:r>
      <w:r>
        <w:rPr>
          <w:rFonts w:ascii="Arial;Helvetica;sans-serif" w:hAnsi="Arial;Helvetica;sans-serif"/>
          <w:sz w:val="16"/>
        </w:rPr>
        <w:t xml:space="preserve"> As of March 4, 2026.</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P-7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290" w:type="dxa"/>
        <w:jc w:val="left"/>
        <w:tblInd w:w="0" w:type="dxa"/>
        <w:tblLayout w:type="fixed"/>
        <w:tblCellMar>
          <w:top w:w="0" w:type="dxa"/>
          <w:left w:w="0" w:type="dxa"/>
          <w:bottom w:w="0" w:type="dxa"/>
          <w:right w:w="0" w:type="dxa"/>
        </w:tblCellMar>
      </w:tblPr>
      <w:tblGrid>
        <w:gridCol w:w="3136"/>
        <w:gridCol w:w="154"/>
      </w:tblGrid>
      <w:tr>
        <w:trPr/>
        <w:tc>
          <w:tcPr>
            <w:tcW w:w="3136"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3136" w:type="dxa"/>
            <w:tcBorders>
              <w:top w:val="single" w:sz="2" w:space="0" w:color="000000"/>
              <w:left w:val="single" w:sz="2" w:space="0" w:color="000000"/>
              <w:bottom w:val="single" w:sz="12" w:space="0" w:color="D9D9D9"/>
            </w:tcBorders>
            <w:shd w:fill="005670" w:val="clear"/>
            <w:tcMar>
              <w:top w:w="28" w:type="dxa"/>
              <w:left w:w="103" w:type="dxa"/>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PROXY STATEMENT SUMMARY</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ECA44A"/>
          <w:sz w:val="28"/>
        </w:rPr>
      </w:pPr>
      <w:bookmarkStart w:id="18" w:name="GOVERNANCEHL"/>
      <w:bookmarkStart w:id="19" w:name="GOVERN_501369"/>
      <w:bookmarkStart w:id="20" w:name="_759762e3_e53d_49e5_972e_ed5c7574e2ce"/>
      <w:bookmarkEnd w:id="18"/>
      <w:bookmarkEnd w:id="19"/>
      <w:bookmarkEnd w:id="20"/>
      <w:r>
        <w:rPr>
          <w:rFonts w:ascii="Arial;Helvetica;sans-serif" w:hAnsi="Arial;Helvetica;sans-serif"/>
          <w:b/>
          <w:color w:val="ECA44A"/>
          <w:sz w:val="28"/>
        </w:rPr>
        <w:t>GOVERNANCE HIGHLIGHTS</w:t>
      </w:r>
    </w:p>
    <w:p>
      <w:pPr>
        <w:pStyle w:val="TextBody"/>
        <w:bidi w:val="0"/>
        <w:spacing w:lineRule="auto" w:line="285" w:before="200" w:after="200"/>
        <w:ind w:left="0" w:right="0" w:hanging="0"/>
        <w:jc w:val="both"/>
        <w:rPr>
          <w:rFonts w:ascii="Arial;Helvetica;sans-serif" w:hAnsi="Arial;Helvetica;sans-serif"/>
          <w:sz w:val="20"/>
        </w:rPr>
      </w:pPr>
      <w:r>
        <w:rPr>
          <w:rFonts w:ascii="Arial;Helvetica;sans-serif" w:hAnsi="Arial;Helvetica;sans-serif"/>
          <w:sz w:val="20"/>
        </w:rPr>
        <w:t>Our Board of Directors believes that strong corporate governance practices promote long-term shareholder interests and strengthen Board and management accountability. The Board continues to monitor evolving governance standards and enhance our governance practices to serve Transocean shareholders. Key features of the Company’s corporate governance program include:</w:t>
      </w:r>
    </w:p>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Highly independent Board of Directors</w:t>
            </w:r>
          </w:p>
        </w:tc>
      </w:tr>
    </w:tbl>
    <w:tbl>
      <w:tblPr>
        <w:tblW w:w="2706" w:type="dxa"/>
        <w:jc w:val="left"/>
        <w:tblInd w:w="0" w:type="dxa"/>
        <w:tblLayout w:type="fixed"/>
        <w:tblCellMar>
          <w:top w:w="28" w:type="dxa"/>
          <w:left w:w="28" w:type="dxa"/>
          <w:bottom w:w="28" w:type="dxa"/>
          <w:right w:w="28" w:type="dxa"/>
        </w:tblCellMar>
      </w:tblPr>
      <w:tblGrid>
        <w:gridCol w:w="124"/>
        <w:gridCol w:w="256"/>
        <w:gridCol w:w="2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23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Independent Committees</w:t>
            </w:r>
          </w:p>
        </w:tc>
      </w:tr>
    </w:tbl>
    <w:tbl>
      <w:tblPr>
        <w:tblW w:w="2676" w:type="dxa"/>
        <w:jc w:val="left"/>
        <w:tblInd w:w="0" w:type="dxa"/>
        <w:tblLayout w:type="fixed"/>
        <w:tblCellMar>
          <w:top w:w="28" w:type="dxa"/>
          <w:left w:w="28" w:type="dxa"/>
          <w:bottom w:w="28" w:type="dxa"/>
          <w:right w:w="28" w:type="dxa"/>
        </w:tblCellMar>
      </w:tblPr>
      <w:tblGrid>
        <w:gridCol w:w="124"/>
        <w:gridCol w:w="256"/>
        <w:gridCol w:w="2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22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 director elections</w:t>
            </w:r>
          </w:p>
        </w:tc>
      </w:tr>
    </w:tbl>
    <w:tbl>
      <w:tblPr>
        <w:tblW w:w="4221" w:type="dxa"/>
        <w:jc w:val="left"/>
        <w:tblInd w:w="0" w:type="dxa"/>
        <w:tblLayout w:type="fixed"/>
        <w:tblCellMar>
          <w:top w:w="28" w:type="dxa"/>
          <w:left w:w="28" w:type="dxa"/>
          <w:bottom w:w="28" w:type="dxa"/>
          <w:right w:w="28" w:type="dxa"/>
        </w:tblCellMar>
      </w:tblPr>
      <w:tblGrid>
        <w:gridCol w:w="124"/>
        <w:gridCol w:w="256"/>
        <w:gridCol w:w="3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38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One share, one vote – no dual-class stock</w:t>
            </w:r>
          </w:p>
        </w:tc>
      </w:tr>
    </w:tbl>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37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Shareholder right to call special meetings</w:t>
            </w:r>
          </w:p>
        </w:tc>
      </w:tr>
    </w:tbl>
    <w:tbl>
      <w:tblPr>
        <w:tblW w:w="2796" w:type="dxa"/>
        <w:jc w:val="left"/>
        <w:tblInd w:w="0" w:type="dxa"/>
        <w:tblLayout w:type="fixed"/>
        <w:tblCellMar>
          <w:top w:w="28" w:type="dxa"/>
          <w:left w:w="28" w:type="dxa"/>
          <w:bottom w:w="28" w:type="dxa"/>
          <w:right w:w="28" w:type="dxa"/>
        </w:tblCellMar>
      </w:tblPr>
      <w:tblGrid>
        <w:gridCol w:w="124"/>
        <w:gridCol w:w="25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Shareholder proxy access</w:t>
            </w:r>
          </w:p>
        </w:tc>
      </w:tr>
    </w:tbl>
    <w:tbl>
      <w:tblPr>
        <w:tblW w:w="9306" w:type="dxa"/>
        <w:jc w:val="left"/>
        <w:tblInd w:w="0" w:type="dxa"/>
        <w:tblLayout w:type="fixed"/>
        <w:tblCellMar>
          <w:top w:w="28" w:type="dxa"/>
          <w:left w:w="28" w:type="dxa"/>
          <w:bottom w:w="28" w:type="dxa"/>
          <w:right w:w="28" w:type="dxa"/>
        </w:tblCellMar>
      </w:tblPr>
      <w:tblGrid>
        <w:gridCol w:w="124"/>
        <w:gridCol w:w="25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 performance evaluations of the Board of Directors, Board Committees and individual directors</w:t>
            </w:r>
          </w:p>
        </w:tc>
      </w:tr>
    </w:tbl>
    <w:tbl>
      <w:tblPr>
        <w:tblW w:w="3201" w:type="dxa"/>
        <w:jc w:val="left"/>
        <w:tblInd w:w="0" w:type="dxa"/>
        <w:tblLayout w:type="fixed"/>
        <w:tblCellMar>
          <w:top w:w="28" w:type="dxa"/>
          <w:left w:w="28" w:type="dxa"/>
          <w:bottom w:w="28" w:type="dxa"/>
          <w:right w:w="28" w:type="dxa"/>
        </w:tblCellMar>
      </w:tblPr>
      <w:tblGrid>
        <w:gridCol w:w="124"/>
        <w:gridCol w:w="256"/>
        <w:gridCol w:w="2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28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Retirement age and term limits</w:t>
            </w:r>
          </w:p>
        </w:tc>
      </w:tr>
    </w:tbl>
    <w:tbl>
      <w:tblPr>
        <w:tblW w:w="1701" w:type="dxa"/>
        <w:jc w:val="left"/>
        <w:tblInd w:w="0" w:type="dxa"/>
        <w:tblLayout w:type="fixed"/>
        <w:tblCellMar>
          <w:top w:w="28" w:type="dxa"/>
          <w:left w:w="28" w:type="dxa"/>
          <w:bottom w:w="28" w:type="dxa"/>
          <w:right w:w="28" w:type="dxa"/>
        </w:tblCellMar>
      </w:tblPr>
      <w:tblGrid>
        <w:gridCol w:w="124"/>
        <w:gridCol w:w="256"/>
        <w:gridCol w:w="1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13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poison pill</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hedging or pledging Company stock by directors or executives</w:t>
            </w:r>
          </w:p>
        </w:tc>
      </w:tr>
    </w:tbl>
    <w:tbl>
      <w:tblPr>
        <w:tblW w:w="3246" w:type="dxa"/>
        <w:jc w:val="left"/>
        <w:tblInd w:w="0" w:type="dxa"/>
        <w:tblLayout w:type="fixed"/>
        <w:tblCellMar>
          <w:top w:w="28" w:type="dxa"/>
          <w:left w:w="28" w:type="dxa"/>
          <w:bottom w:w="28" w:type="dxa"/>
          <w:right w:w="28" w:type="dxa"/>
        </w:tblCellMar>
      </w:tblPr>
      <w:tblGrid>
        <w:gridCol w:w="124"/>
        <w:gridCol w:w="256"/>
        <w:gridCol w:w="2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28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blank check preferred stock</w:t>
            </w:r>
          </w:p>
        </w:tc>
      </w:tr>
    </w:tbl>
    <w:p>
      <w:pPr>
        <w:pStyle w:val="TextBody"/>
        <w:bidi w:val="0"/>
        <w:spacing w:lineRule="auto" w:line="285" w:before="20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ACTIVE SHAREHOLDER ENGAGEMENT PROGRAM</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As part of our ongoing shareholder engagement program, our Board of Directors and management team are committed to meeting with our shareholders and incorporating their feedback into our decision-making processes. Since our last Annual General Meeting, we invited certain large shareholders to meet with us to discuss key strategic initiatives, as well as recent operational and financial performance; our commitment to environmental sustainability and strong human capital management practices; our approach to board composition; and our executive compensation program. In addition, during 2025, we participated in 14 investor conferences, as well as direct one-on-one meetings and non-deal road shows with equity analysts. Our President and Chief Executive Officer, Chief Financial Officer, Chief Legal Officer, Chief Commercial Officer, other executives and Investor Relations team participated in many of these engagements. All feedback received during our engagements is shared directly with the Board of Directors and has helped inform disclosures and policies on governance, compensation, sustainability and information security.</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KEY FEATURES OF EXECUTIVE COMPENSATION PROGRAM</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Our executive compensation program reflects our commitment to retain and attract highly qualified executives and align our executives’ pay with performance. The elements of our program are designed to motivate our executives to achieve our overall business objectives, create sustainable shareholder value in a cost-effective manner and reward our management team for delivering superior financial, safety and operational performance, each of which is important to the long-term success of the Company. Our executive compensation program includes features that align the interests of our senior management with those of our shareholders and does not include features that may result in misalignment.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P-8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290" w:type="dxa"/>
        <w:jc w:val="left"/>
        <w:tblInd w:w="0" w:type="dxa"/>
        <w:tblLayout w:type="fixed"/>
        <w:tblCellMar>
          <w:top w:w="0" w:type="dxa"/>
          <w:left w:w="0" w:type="dxa"/>
          <w:bottom w:w="0" w:type="dxa"/>
          <w:right w:w="0" w:type="dxa"/>
        </w:tblCellMar>
      </w:tblPr>
      <w:tblGrid>
        <w:gridCol w:w="124"/>
        <w:gridCol w:w="3166"/>
      </w:tblGrid>
      <w:tr>
        <w:trPr/>
        <w:tc>
          <w:tcPr>
            <w:tcW w:w="124" w:type="dxa"/>
            <w:tcBorders/>
            <w:vAlign w:val="center"/>
          </w:tcPr>
          <w:p>
            <w:pPr>
              <w:pStyle w:val="TableContents"/>
              <w:bidi w:val="0"/>
              <w:spacing w:lineRule="auto" w:line="285" w:before="0" w:after="0"/>
              <w:ind w:left="0" w:right="0" w:hanging="0"/>
              <w:jc w:val="both"/>
              <w:rPr/>
            </w:pPr>
            <w:r>
              <w:rPr/>
              <w:t>​</w:t>
            </w:r>
          </w:p>
        </w:tc>
        <w:tc>
          <w:tcPr>
            <w:tcW w:w="3166" w:type="dxa"/>
            <w:tcBorders/>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16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PROXY STATEMENT SUMMARY</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173"/>
        <w:gridCol w:w="1923"/>
        <w:gridCol w:w="346"/>
        <w:gridCol w:w="346"/>
        <w:gridCol w:w="2473"/>
        <w:gridCol w:w="2944"/>
      </w:tblGrid>
      <w:tr>
        <w:trPr/>
        <w:tc>
          <w:tcPr>
            <w:tcW w:w="2173" w:type="dxa"/>
            <w:tcBorders/>
            <w:vAlign w:val="center"/>
          </w:tcPr>
          <w:p>
            <w:pPr>
              <w:pStyle w:val="TableContents"/>
              <w:bidi w:val="0"/>
              <w:spacing w:lineRule="auto" w:line="285" w:before="0" w:after="0"/>
              <w:ind w:left="0" w:right="0" w:hanging="0"/>
              <w:jc w:val="both"/>
              <w:rPr/>
            </w:pPr>
            <w:r>
              <w:rPr/>
              <w:t>​</w:t>
            </w:r>
          </w:p>
        </w:tc>
        <w:tc>
          <w:tcPr>
            <w:tcW w:w="1923"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2473" w:type="dxa"/>
            <w:tcBorders/>
            <w:vAlign w:val="center"/>
          </w:tcPr>
          <w:p>
            <w:pPr>
              <w:pStyle w:val="TableContents"/>
              <w:bidi w:val="0"/>
              <w:spacing w:lineRule="auto" w:line="285" w:before="0" w:after="0"/>
              <w:ind w:left="0" w:right="0" w:hanging="0"/>
              <w:jc w:val="both"/>
              <w:rPr/>
            </w:pPr>
            <w:r>
              <w:rPr/>
              <w:t>​</w:t>
            </w:r>
          </w:p>
        </w:tc>
        <w:tc>
          <w:tcPr>
            <w:tcW w:w="2944" w:type="dxa"/>
            <w:tcBorders/>
            <w:vAlign w:val="center"/>
          </w:tcPr>
          <w:p>
            <w:pPr>
              <w:pStyle w:val="TableContents"/>
              <w:bidi w:val="0"/>
              <w:spacing w:lineRule="auto" w:line="285" w:before="0" w:after="0"/>
              <w:ind w:left="0" w:right="0" w:hanging="0"/>
              <w:jc w:val="both"/>
              <w:rPr/>
            </w:pPr>
            <w:r>
              <w:rPr/>
              <w:t>​</w:t>
            </w:r>
          </w:p>
        </w:tc>
      </w:tr>
      <w:tr>
        <w:trPr/>
        <w:tc>
          <w:tcPr>
            <w:tcW w:w="4096" w:type="dxa"/>
            <w:gridSpan w:val="2"/>
            <w:tcBorders>
              <w:bottom w:val="single" w:sz="12" w:space="0" w:color="ECA44A"/>
            </w:tcBorders>
            <w:tcMar>
              <w:bottom w:w="28" w:type="dxa"/>
            </w:tcMar>
            <w:vAlign w:val="center"/>
          </w:tcPr>
          <w:p>
            <w:pPr>
              <w:pStyle w:val="TableContents"/>
              <w:pBdr/>
              <w:bidi w:val="0"/>
              <w:spacing w:lineRule="auto" w:line="304" w:before="120" w:after="0"/>
              <w:ind w:left="0" w:right="0" w:hanging="0"/>
              <w:jc w:val="left"/>
              <w:rPr>
                <w:rFonts w:ascii="Arial;Helvetica;sans-serif" w:hAnsi="Arial;Helvetica;sans-serif"/>
                <w:b/>
                <w:color w:val="4B4F54"/>
                <w:sz w:val="20"/>
              </w:rPr>
            </w:pPr>
            <w:r>
              <w:rPr>
                <w:rFonts w:ascii="Arial;Helvetica;sans-serif" w:hAnsi="Arial;Helvetica;sans-serif"/>
                <w:b/>
                <w:color w:val="4B4F54"/>
                <w:sz w:val="20"/>
              </w:rPr>
              <w:t>WHAT WE DO</w:t>
            </w:r>
          </w:p>
        </w:tc>
        <w:tc>
          <w:tcPr>
            <w:tcW w:w="346" w:type="dxa"/>
            <w:tcBorders>
              <w:right w:val="single" w:sz="2" w:space="0" w:color="D9D9D9"/>
            </w:tcBorders>
            <w:tcMar>
              <w:right w:w="28" w:type="dxa"/>
            </w:tcMar>
            <w:vAlign w:val="center"/>
          </w:tcPr>
          <w:p>
            <w:pPr>
              <w:pStyle w:val="TableContents"/>
              <w:bidi w:val="0"/>
              <w:spacing w:lineRule="auto" w:line="285" w:before="0" w:after="0"/>
              <w:ind w:left="0" w:right="0" w:hanging="0"/>
              <w:jc w:val="both"/>
              <w:rPr/>
            </w:pPr>
            <w:r>
              <w:rPr/>
              <w:t>  ​ ​ ​</w:t>
            </w:r>
          </w:p>
        </w:tc>
        <w:tc>
          <w:tcPr>
            <w:tcW w:w="346" w:type="dxa"/>
            <w:tcBorders>
              <w:left w:val="single" w:sz="2" w:space="0" w:color="D9D9D9"/>
            </w:tcBorders>
            <w:tcMar>
              <w:left w:w="28" w:type="dxa"/>
            </w:tcMar>
            <w:vAlign w:val="center"/>
          </w:tcPr>
          <w:p>
            <w:pPr>
              <w:pStyle w:val="TableContents"/>
              <w:bidi w:val="0"/>
              <w:spacing w:lineRule="auto" w:line="285" w:before="0" w:after="0"/>
              <w:ind w:left="0" w:right="0" w:hanging="0"/>
              <w:jc w:val="both"/>
              <w:rPr/>
            </w:pPr>
            <w:r>
              <w:rPr/>
              <w:t>  ​ ​ ​</w:t>
            </w:r>
          </w:p>
        </w:tc>
        <w:tc>
          <w:tcPr>
            <w:tcW w:w="5417" w:type="dxa"/>
            <w:gridSpan w:val="2"/>
            <w:tcBorders>
              <w:bottom w:val="single" w:sz="12" w:space="0" w:color="ECA44A"/>
            </w:tcBorders>
            <w:tcMar>
              <w:bottom w:w="28" w:type="dxa"/>
            </w:tcMar>
            <w:vAlign w:val="center"/>
          </w:tcPr>
          <w:p>
            <w:pPr>
              <w:pStyle w:val="TableContents"/>
              <w:pBdr/>
              <w:bidi w:val="0"/>
              <w:spacing w:lineRule="auto" w:line="304" w:before="120" w:after="0"/>
              <w:ind w:left="0" w:right="0" w:hanging="0"/>
              <w:jc w:val="left"/>
              <w:rPr>
                <w:rFonts w:ascii="Arial;Helvetica;sans-serif" w:hAnsi="Arial;Helvetica;sans-serif"/>
                <w:b/>
                <w:color w:val="4B4F54"/>
                <w:sz w:val="20"/>
              </w:rPr>
            </w:pPr>
            <w:r>
              <w:rPr>
                <w:rFonts w:ascii="Arial;Helvetica;sans-serif" w:hAnsi="Arial;Helvetica;sans-serif"/>
                <w:b/>
                <w:color w:val="4B4F54"/>
                <w:sz w:val="20"/>
              </w:rPr>
              <w:t>WHAT WE DON’T DO</w:t>
            </w:r>
          </w:p>
        </w:tc>
      </w:tr>
      <w:tr>
        <w:trPr/>
        <w:tc>
          <w:tcPr>
            <w:tcW w:w="4096" w:type="dxa"/>
            <w:gridSpan w:val="2"/>
            <w:tcBorders>
              <w:top w:val="single" w:sz="12" w:space="0" w:color="ECA44A"/>
            </w:tcBorders>
            <w:tcMar>
              <w:top w:w="28" w:type="dxa"/>
            </w:tcMar>
            <w:vAlign w:val="center"/>
          </w:tcPr>
          <w:p>
            <w:pPr>
              <w:pStyle w:val="TableContents"/>
              <w:pBdr/>
              <w:bidi w:val="0"/>
              <w:spacing w:lineRule="atLeast" w:line="220" w:before="120" w:after="120"/>
              <w:ind w:left="0" w:right="0" w:hanging="360"/>
              <w:jc w:val="left"/>
              <w:rPr/>
            </w:pPr>
            <w:r>
              <w:rPr>
                <w:color w:val="00556F"/>
              </w:rPr>
              <w:t>✓</w:t>
            </w:r>
            <w:r>
              <w:rPr/>
              <w:t>    </w:t>
            </w:r>
            <w:r>
              <w:rPr>
                <w:rFonts w:ascii="Arial;Helvetica;sans-serif" w:hAnsi="Arial;Helvetica;sans-serif"/>
                <w:sz w:val="20"/>
              </w:rPr>
              <w:t>Conduct an annual review of our compensation strategy, including a review of our compensation-related risk profile</w:t>
            </w:r>
          </w:p>
          <w:p>
            <w:pPr>
              <w:pStyle w:val="TableContents"/>
              <w:pBdr/>
              <w:bidi w:val="0"/>
              <w:spacing w:lineRule="atLeast" w:line="220" w:before="120" w:after="120"/>
              <w:ind w:left="0" w:right="0" w:hanging="360"/>
              <w:jc w:val="left"/>
              <w:rPr/>
            </w:pPr>
            <w:r>
              <w:rPr>
                <w:color w:val="00556F"/>
              </w:rPr>
              <w:t>✓</w:t>
            </w:r>
            <w:r>
              <w:rPr/>
              <w:t>    </w:t>
            </w:r>
            <w:r>
              <w:rPr>
                <w:rFonts w:ascii="Arial;Helvetica;sans-serif" w:hAnsi="Arial;Helvetica;sans-serif"/>
                <w:sz w:val="20"/>
              </w:rPr>
              <w:t>Seek shareholder feedback annually on our executive compensation program through an advisory vote</w:t>
            </w:r>
          </w:p>
          <w:p>
            <w:pPr>
              <w:pStyle w:val="TableContents"/>
              <w:pBdr/>
              <w:bidi w:val="0"/>
              <w:spacing w:lineRule="atLeast" w:line="220" w:before="120" w:after="120"/>
              <w:ind w:left="0" w:right="0" w:hanging="360"/>
              <w:jc w:val="left"/>
              <w:rPr/>
            </w:pPr>
            <w:r>
              <w:rPr>
                <w:color w:val="00556F"/>
              </w:rPr>
              <w:t>✓</w:t>
            </w:r>
            <w:r>
              <w:rPr/>
              <w:t>    </w:t>
            </w:r>
            <w:r>
              <w:rPr>
                <w:rFonts w:ascii="Arial;Helvetica;sans-serif" w:hAnsi="Arial;Helvetica;sans-serif"/>
                <w:sz w:val="20"/>
              </w:rPr>
              <w:t>Mandate meaningful share ownership requirements for our executives</w:t>
            </w:r>
          </w:p>
          <w:p>
            <w:pPr>
              <w:pStyle w:val="TableContents"/>
              <w:pBdr/>
              <w:bidi w:val="0"/>
              <w:spacing w:lineRule="atLeast" w:line="220" w:before="120" w:after="120"/>
              <w:ind w:left="0" w:right="0" w:hanging="360"/>
              <w:jc w:val="left"/>
              <w:rPr/>
            </w:pPr>
            <w:r>
              <w:rPr>
                <w:color w:val="00556F"/>
              </w:rPr>
              <w:t>✓</w:t>
            </w:r>
            <w:r>
              <w:rPr/>
              <w:t>    </w:t>
            </w:r>
            <w:r>
              <w:rPr>
                <w:rFonts w:ascii="Arial;Helvetica;sans-serif" w:hAnsi="Arial;Helvetica;sans-serif"/>
                <w:sz w:val="20"/>
              </w:rPr>
              <w:t>Maintain a clawback policy in accordance with SEC and NYSE requirements providing for the recovery of erroneously awarded incentive-based compensation (cash and equity) in the case of an accounting restatement</w:t>
            </w:r>
          </w:p>
          <w:p>
            <w:pPr>
              <w:pStyle w:val="TableContents"/>
              <w:pBdr/>
              <w:bidi w:val="0"/>
              <w:spacing w:lineRule="atLeast" w:line="220" w:before="120" w:after="120"/>
              <w:ind w:left="0" w:right="0" w:hanging="360"/>
              <w:jc w:val="left"/>
              <w:rPr/>
            </w:pPr>
            <w:r>
              <w:rPr>
                <w:color w:val="00556F"/>
              </w:rPr>
              <w:t>✓</w:t>
            </w:r>
            <w:r>
              <w:rPr/>
              <w:t>    </w:t>
            </w:r>
            <w:r>
              <w:rPr>
                <w:rFonts w:ascii="Arial;Helvetica;sans-serif" w:hAnsi="Arial;Helvetica;sans-serif"/>
                <w:sz w:val="20"/>
              </w:rPr>
              <w:t>Allow for outstanding equity awards to be forfeited for violation of human resource or legal compliance and ethics policies, including the Company’s Code of Integrity</w:t>
            </w:r>
          </w:p>
          <w:p>
            <w:pPr>
              <w:pStyle w:val="TableContents"/>
              <w:pBdr/>
              <w:bidi w:val="0"/>
              <w:spacing w:lineRule="atLeast" w:line="220" w:before="120" w:after="120"/>
              <w:ind w:left="0" w:right="0" w:hanging="360"/>
              <w:jc w:val="left"/>
              <w:rPr/>
            </w:pPr>
            <w:r>
              <w:rPr>
                <w:color w:val="00556F"/>
              </w:rPr>
              <w:t>✓</w:t>
            </w:r>
            <w:r>
              <w:rPr/>
              <w:t>    </w:t>
            </w:r>
            <w:r>
              <w:rPr>
                <w:rFonts w:ascii="Arial;Helvetica;sans-serif" w:hAnsi="Arial;Helvetica;sans-serif"/>
                <w:sz w:val="20"/>
              </w:rPr>
              <w:t>Base incentive performance on quantitative, formulaic metrics</w:t>
            </w:r>
          </w:p>
          <w:p>
            <w:pPr>
              <w:pStyle w:val="TableContents"/>
              <w:pBdr/>
              <w:bidi w:val="0"/>
              <w:spacing w:lineRule="atLeast" w:line="220" w:before="120" w:after="120"/>
              <w:ind w:left="0" w:right="0" w:hanging="360"/>
              <w:jc w:val="left"/>
              <w:rPr/>
            </w:pPr>
            <w:r>
              <w:rPr>
                <w:color w:val="00556F"/>
              </w:rPr>
              <w:t>✓</w:t>
            </w:r>
            <w:r>
              <w:rPr/>
              <w:t>    </w:t>
            </w:r>
            <w:r>
              <w:rPr>
                <w:rFonts w:ascii="Arial;Helvetica;sans-serif" w:hAnsi="Arial;Helvetica;sans-serif"/>
                <w:sz w:val="20"/>
              </w:rPr>
              <w:t>Maintain compensation plans that are weighted significantly toward variable pay to align our executive compensation with long-term shareholder interests</w:t>
            </w:r>
          </w:p>
          <w:p>
            <w:pPr>
              <w:pStyle w:val="TableContents"/>
              <w:pBdr/>
              <w:bidi w:val="0"/>
              <w:spacing w:lineRule="atLeast" w:line="220" w:before="120" w:after="120"/>
              <w:ind w:left="0" w:right="0" w:hanging="360"/>
              <w:jc w:val="left"/>
              <w:rPr/>
            </w:pPr>
            <w:r>
              <w:rPr>
                <w:color w:val="00556F"/>
              </w:rPr>
              <w:t>✓</w:t>
            </w:r>
            <w:r>
              <w:rPr/>
              <w:t>    </w:t>
            </w:r>
            <w:r>
              <w:rPr>
                <w:rFonts w:ascii="Arial;Helvetica;sans-serif" w:hAnsi="Arial;Helvetica;sans-serif"/>
                <w:sz w:val="20"/>
              </w:rPr>
              <w:t>Utilize multiple measurement periods and metrics for incentive compensation</w:t>
            </w:r>
          </w:p>
          <w:p>
            <w:pPr>
              <w:pStyle w:val="TableContents"/>
              <w:pBdr/>
              <w:bidi w:val="0"/>
              <w:spacing w:lineRule="auto" w:line="304" w:before="120" w:after="120"/>
              <w:ind w:left="0" w:right="0" w:hanging="360"/>
              <w:jc w:val="left"/>
              <w:rPr/>
            </w:pPr>
            <w:r>
              <w:rPr>
                <w:color w:val="00556F"/>
              </w:rPr>
              <w:t>✓</w:t>
            </w:r>
            <w:r>
              <w:rPr/>
              <w:t>    </w:t>
            </w:r>
            <w:r>
              <w:rPr>
                <w:rFonts w:ascii="Arial;Helvetica;sans-serif" w:hAnsi="Arial;Helvetica;sans-serif"/>
                <w:sz w:val="20"/>
              </w:rPr>
              <w:t>Link long-term incentive compensation to relative performance metrics</w:t>
            </w:r>
          </w:p>
          <w:p>
            <w:pPr>
              <w:pStyle w:val="TableContents"/>
              <w:pBdr/>
              <w:bidi w:val="0"/>
              <w:spacing w:lineRule="auto" w:line="304" w:before="120" w:after="120"/>
              <w:ind w:left="0" w:right="0" w:hanging="360"/>
              <w:jc w:val="left"/>
              <w:rPr/>
            </w:pPr>
            <w:r>
              <w:rPr>
                <w:color w:val="00556F"/>
              </w:rPr>
              <w:t>✓</w:t>
            </w:r>
            <w:r>
              <w:rPr/>
              <w:t>    </w:t>
            </w:r>
            <w:r>
              <w:rPr>
                <w:rFonts w:ascii="Arial;Helvetica;sans-serif" w:hAnsi="Arial;Helvetica;sans-serif"/>
                <w:sz w:val="20"/>
              </w:rPr>
              <w:t>Deliver 100% of long-term incentives in equity, at least 50% of which is in performance-based awards</w:t>
            </w:r>
          </w:p>
          <w:p>
            <w:pPr>
              <w:pStyle w:val="TableContents"/>
              <w:pBdr/>
              <w:bidi w:val="0"/>
              <w:spacing w:lineRule="auto" w:line="304" w:before="120" w:after="120"/>
              <w:ind w:left="0" w:right="0" w:hanging="360"/>
              <w:jc w:val="left"/>
              <w:rPr/>
            </w:pPr>
            <w:r>
              <w:rPr>
                <w:color w:val="00556F"/>
              </w:rPr>
              <w:t>✓</w:t>
            </w:r>
            <w:r>
              <w:rPr/>
              <w:t>    </w:t>
            </w:r>
            <w:r>
              <w:rPr>
                <w:rFonts w:ascii="Arial;Helvetica;sans-serif" w:hAnsi="Arial;Helvetica;sans-serif"/>
                <w:sz w:val="20"/>
              </w:rPr>
              <w:t>Cap the overall Performance Unit (“PSU”) payouts to prevent unintended windfalls</w:t>
            </w:r>
          </w:p>
          <w:p>
            <w:pPr>
              <w:pStyle w:val="TableContents"/>
              <w:pBdr/>
              <w:bidi w:val="0"/>
              <w:spacing w:lineRule="auto" w:line="304" w:before="120" w:after="120"/>
              <w:ind w:left="0" w:right="0" w:hanging="360"/>
              <w:jc w:val="left"/>
              <w:rPr/>
            </w:pPr>
            <w:r>
              <w:rPr>
                <w:color w:val="00556F"/>
              </w:rPr>
              <w:t>✓</w:t>
            </w:r>
            <w:r>
              <w:rPr/>
              <w:t>    </w:t>
            </w:r>
            <w:r>
              <w:rPr>
                <w:rFonts w:ascii="Arial;Helvetica;sans-serif" w:hAnsi="Arial;Helvetica;sans-serif"/>
                <w:sz w:val="20"/>
              </w:rPr>
              <w:t>Retain an independent consultant who reports only to our Compensation Committee (not management)</w:t>
            </w:r>
          </w:p>
          <w:p>
            <w:pPr>
              <w:pStyle w:val="TableContents"/>
              <w:pBdr/>
              <w:bidi w:val="0"/>
              <w:spacing w:lineRule="auto" w:line="304" w:before="120" w:after="120"/>
              <w:ind w:left="0" w:right="0" w:hanging="0"/>
              <w:jc w:val="left"/>
              <w:rPr/>
            </w:pPr>
            <w:r>
              <w:rPr>
                <w:color w:val="00556F"/>
              </w:rPr>
              <w:t>✓</w:t>
            </w:r>
            <w:r>
              <w:rPr/>
              <w:t>    </w:t>
            </w:r>
            <w:r>
              <w:rPr>
                <w:rFonts w:ascii="Arial;Helvetica;sans-serif" w:hAnsi="Arial;Helvetica;sans-serif"/>
                <w:sz w:val="20"/>
              </w:rPr>
              <w:t>Maintain double trigger change-in-control provisions</w:t>
            </w:r>
          </w:p>
        </w:tc>
        <w:tc>
          <w:tcPr>
            <w:tcW w:w="346" w:type="dxa"/>
            <w:tcBorders>
              <w:right w:val="single" w:sz="2" w:space="0" w:color="D9D9D9"/>
            </w:tcBorders>
            <w:tcMar>
              <w:right w:w="28" w:type="dxa"/>
            </w:tcMar>
            <w:vAlign w:val="center"/>
          </w:tcPr>
          <w:p>
            <w:pPr>
              <w:pStyle w:val="TableContents"/>
              <w:bidi w:val="0"/>
              <w:spacing w:lineRule="auto" w:line="285" w:before="0" w:after="0"/>
              <w:ind w:left="0" w:right="0" w:hanging="0"/>
              <w:jc w:val="both"/>
              <w:rPr/>
            </w:pPr>
            <w:r>
              <w:rPr/>
              <w:t>​</w:t>
            </w:r>
          </w:p>
        </w:tc>
        <w:tc>
          <w:tcPr>
            <w:tcW w:w="346" w:type="dxa"/>
            <w:tcBorders>
              <w:left w:val="single" w:sz="2" w:space="0" w:color="D9D9D9"/>
            </w:tcBorders>
            <w:tcMar>
              <w:left w:w="28" w:type="dxa"/>
            </w:tcMar>
            <w:vAlign w:val="center"/>
          </w:tcPr>
          <w:p>
            <w:pPr>
              <w:pStyle w:val="TableContents"/>
              <w:bidi w:val="0"/>
              <w:spacing w:lineRule="auto" w:line="285" w:before="0" w:after="0"/>
              <w:ind w:left="0" w:right="0" w:hanging="0"/>
              <w:jc w:val="both"/>
              <w:rPr/>
            </w:pPr>
            <w:r>
              <w:rPr/>
              <w:t>​</w:t>
            </w:r>
          </w:p>
        </w:tc>
        <w:tc>
          <w:tcPr>
            <w:tcW w:w="5417" w:type="dxa"/>
            <w:gridSpan w:val="2"/>
            <w:tcBorders/>
            <w:vAlign w:val="center"/>
          </w:tcPr>
          <w:p>
            <w:pPr>
              <w:pStyle w:val="TableContents"/>
              <w:pBdr/>
              <w:bidi w:val="0"/>
              <w:spacing w:lineRule="auto" w:line="304" w:before="120" w:after="120"/>
              <w:ind w:left="0" w:right="0" w:hanging="360"/>
              <w:jc w:val="left"/>
              <w:rPr/>
            </w:pPr>
            <w:r>
              <w:rPr>
                <w:color w:val="4B4F54"/>
              </w:rPr>
              <w:t>✕  ​ ​</w:t>
            </w:r>
            <w:r>
              <w:rPr>
                <w:rFonts w:ascii="Arial;Helvetica;sans-serif" w:hAnsi="Arial;Helvetica;sans-serif"/>
                <w:sz w:val="20"/>
              </w:rPr>
              <w:t>Allow our executives to hedge, sell short or hold derivative instruments tied to our shares (other than derivative instruments issued by us)</w:t>
            </w:r>
          </w:p>
          <w:p>
            <w:pPr>
              <w:pStyle w:val="TableContents"/>
              <w:pBdr/>
              <w:bidi w:val="0"/>
              <w:spacing w:lineRule="auto" w:line="304" w:before="120" w:after="120"/>
              <w:ind w:left="0" w:right="0" w:hanging="360"/>
              <w:jc w:val="left"/>
              <w:rPr/>
            </w:pPr>
            <w:r>
              <w:rPr>
                <w:color w:val="4B4F54"/>
              </w:rPr>
              <w:t>✕  ​ ​</w:t>
            </w:r>
            <w:r>
              <w:rPr>
                <w:rFonts w:ascii="Arial;Helvetica;sans-serif" w:hAnsi="Arial;Helvetica;sans-serif"/>
                <w:sz w:val="20"/>
              </w:rPr>
              <w:t>Allow our executives or directors to pledge Company shares</w:t>
            </w:r>
          </w:p>
          <w:p>
            <w:pPr>
              <w:pStyle w:val="TableContents"/>
              <w:pBdr/>
              <w:bidi w:val="0"/>
              <w:spacing w:lineRule="auto" w:line="304" w:before="120" w:after="120"/>
              <w:ind w:left="0" w:right="0" w:hanging="360"/>
              <w:jc w:val="left"/>
              <w:rPr/>
            </w:pPr>
            <w:r>
              <w:rPr>
                <w:color w:val="4B4F54"/>
              </w:rPr>
              <w:t>✕  ​ ​</w:t>
            </w:r>
            <w:r>
              <w:rPr>
                <w:rFonts w:ascii="Arial;Helvetica;sans-serif" w:hAnsi="Arial;Helvetica;sans-serif"/>
                <w:sz w:val="20"/>
              </w:rPr>
              <w:t>Allow unearned performance-based full value awards and/or stock options to be counted towards executive stock ownership requirements</w:t>
            </w:r>
          </w:p>
          <w:p>
            <w:pPr>
              <w:pStyle w:val="TableContents"/>
              <w:pBdr/>
              <w:bidi w:val="0"/>
              <w:spacing w:lineRule="auto" w:line="304" w:before="120" w:after="120"/>
              <w:ind w:left="0" w:right="0" w:hanging="360"/>
              <w:jc w:val="left"/>
              <w:rPr/>
            </w:pPr>
            <w:r>
              <w:rPr>
                <w:color w:val="4B4F54"/>
              </w:rPr>
              <w:t>✕  ​ ​</w:t>
            </w:r>
            <w:r>
              <w:rPr>
                <w:rFonts w:ascii="Arial;Helvetica;sans-serif" w:hAnsi="Arial;Helvetica;sans-serif"/>
                <w:sz w:val="20"/>
              </w:rPr>
              <w:t>Have pre-arranged individual severance agreements or special change-in-control compensation agreements with any Executive Officers; however, to the extent permitted under Swiss law, our executives are eligible for severance and change-in-control provisions pursuant to our policies, in exchange for covenants that protect the Company</w:t>
            </w:r>
          </w:p>
          <w:p>
            <w:pPr>
              <w:pStyle w:val="TableContents"/>
              <w:pBdr/>
              <w:bidi w:val="0"/>
              <w:spacing w:lineRule="auto" w:line="304" w:before="120" w:after="120"/>
              <w:ind w:left="0" w:right="0" w:hanging="360"/>
              <w:jc w:val="left"/>
              <w:rPr/>
            </w:pPr>
            <w:r>
              <w:rPr>
                <w:color w:val="4B4F54"/>
              </w:rPr>
              <w:t>✕  ​ ​</w:t>
            </w:r>
            <w:r>
              <w:rPr>
                <w:rFonts w:ascii="Arial;Helvetica;sans-serif" w:hAnsi="Arial;Helvetica;sans-serif"/>
                <w:sz w:val="20"/>
              </w:rPr>
              <w:t>Provide gross-ups for severance payments</w:t>
            </w:r>
          </w:p>
          <w:p>
            <w:pPr>
              <w:pStyle w:val="TableContents"/>
              <w:pBdr/>
              <w:bidi w:val="0"/>
              <w:spacing w:lineRule="auto" w:line="304" w:before="120" w:after="120"/>
              <w:ind w:left="0" w:right="0" w:hanging="360"/>
              <w:jc w:val="left"/>
              <w:rPr/>
            </w:pPr>
            <w:r>
              <w:rPr>
                <w:color w:val="4B4F54"/>
              </w:rPr>
              <w:t>✕  ​ ​</w:t>
            </w:r>
            <w:r>
              <w:rPr>
                <w:rFonts w:ascii="Arial;Helvetica;sans-serif" w:hAnsi="Arial;Helvetica;sans-serif"/>
                <w:sz w:val="20"/>
              </w:rPr>
              <w:t>Guarantee salary increases, non-performance based bonuses or unrestricted equity compensation</w:t>
            </w:r>
          </w:p>
          <w:p>
            <w:pPr>
              <w:pStyle w:val="TableContents"/>
              <w:pBdr/>
              <w:bidi w:val="0"/>
              <w:spacing w:lineRule="auto" w:line="304" w:before="120" w:after="120"/>
              <w:ind w:left="0" w:right="0" w:hanging="360"/>
              <w:jc w:val="left"/>
              <w:rPr/>
            </w:pPr>
            <w:r>
              <w:rPr>
                <w:color w:val="4B4F54"/>
              </w:rPr>
              <w:t>✕  ​ ​</w:t>
            </w:r>
            <w:r>
              <w:rPr>
                <w:rFonts w:ascii="Arial;Helvetica;sans-serif" w:hAnsi="Arial;Helvetica;sans-serif"/>
                <w:sz w:val="20"/>
              </w:rPr>
              <w:t>Provide any payments or reimbursements for tax equalization</w:t>
            </w:r>
          </w:p>
          <w:p>
            <w:pPr>
              <w:pStyle w:val="TableContents"/>
              <w:pBdr/>
              <w:bidi w:val="0"/>
              <w:spacing w:lineRule="auto" w:line="304" w:before="120" w:after="120"/>
              <w:ind w:left="0" w:right="0" w:hanging="360"/>
              <w:jc w:val="left"/>
              <w:rPr/>
            </w:pPr>
            <w:r>
              <w:rPr>
                <w:color w:val="4B4F54"/>
              </w:rPr>
              <w:t>✕  ​ ​</w:t>
            </w:r>
            <w:r>
              <w:rPr>
                <w:rFonts w:ascii="Arial;Helvetica;sans-serif" w:hAnsi="Arial;Helvetica;sans-serif"/>
                <w:sz w:val="20"/>
              </w:rPr>
              <w:t>Pay dividends or dividend equivalents on performance-based equity that has not vested</w:t>
            </w:r>
          </w:p>
          <w:p>
            <w:pPr>
              <w:pStyle w:val="TableContents"/>
              <w:pBdr/>
              <w:bidi w:val="0"/>
              <w:spacing w:lineRule="auto" w:line="304" w:before="120" w:after="120"/>
              <w:ind w:left="0" w:right="0" w:hanging="360"/>
              <w:jc w:val="left"/>
              <w:rPr/>
            </w:pPr>
            <w:r>
              <w:rPr>
                <w:color w:val="4B4F54"/>
              </w:rPr>
              <w:t>✕  ​ ​</w:t>
            </w:r>
            <w:r>
              <w:rPr>
                <w:rFonts w:ascii="Arial;Helvetica;sans-serif" w:hAnsi="Arial;Helvetica;sans-serif"/>
                <w:sz w:val="20"/>
              </w:rPr>
              <w:t>Offer executive perquisites</w:t>
            </w:r>
          </w:p>
        </w:tc>
      </w:tr>
    </w:tbl>
    <w:p>
      <w:pPr>
        <w:pStyle w:val="TextBody"/>
        <w:bidi w:val="0"/>
        <w:spacing w:lineRule="auto" w:line="285" w:before="0" w:after="200"/>
        <w:ind w:left="0" w:right="0" w:hanging="0"/>
        <w:jc w:val="both"/>
        <w:rPr/>
      </w:pPr>
      <w:r>
        <w:rPr/>
        <w:t>​</w:t>
      </w:r>
    </w:p>
    <w:p>
      <w:pPr>
        <w:pStyle w:val="TextBody"/>
        <w:pBdr/>
        <w:bidi w:val="0"/>
        <w:spacing w:lineRule="auto" w:line="285" w:before="0" w:after="0"/>
        <w:ind w:left="360" w:right="0" w:hanging="36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P-9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Arial;Helvetica;sans-serif" w:hAnsi="Arial;Helvetica;sans-serif"/>
          <w:b/>
          <w:color w:val="ECA44A"/>
          <w:sz w:val="40"/>
        </w:rPr>
      </w:pPr>
      <w:bookmarkStart w:id="21" w:name="INVITATIONTO2025AGM"/>
      <w:bookmarkStart w:id="22" w:name="INVITATIONTO2024AGM"/>
      <w:bookmarkStart w:id="23" w:name="INVITATIONTO2023AGM"/>
      <w:bookmarkStart w:id="24" w:name="_01254d6a_e5fc_477e_8a48_cc7711ec0adb"/>
      <w:bookmarkEnd w:id="21"/>
      <w:bookmarkEnd w:id="22"/>
      <w:bookmarkEnd w:id="23"/>
      <w:bookmarkEnd w:id="24"/>
      <w:r>
        <w:rPr>
          <w:rFonts w:ascii="Arial;Helvetica;sans-serif" w:hAnsi="Arial;Helvetica;sans-serif"/>
          <w:b/>
          <w:color w:val="ECA44A"/>
          <w:sz w:val="40"/>
        </w:rPr>
        <w:t>INVITATION TO 2026 ANNUAL GENERAL MEETING OF TRANSOCEAN LTD.</w:t>
      </w:r>
    </w:p>
    <w:tbl>
      <w:tblPr>
        <w:tblW w:w="4161" w:type="dxa"/>
        <w:jc w:val="left"/>
        <w:tblInd w:w="0" w:type="dxa"/>
        <w:tblLayout w:type="fixed"/>
        <w:tblCellMar>
          <w:top w:w="0" w:type="dxa"/>
          <w:left w:w="0" w:type="dxa"/>
          <w:bottom w:w="0" w:type="dxa"/>
          <w:right w:w="0" w:type="dxa"/>
        </w:tblCellMar>
      </w:tblPr>
      <w:tblGrid>
        <w:gridCol w:w="1966"/>
        <w:gridCol w:w="109"/>
        <w:gridCol w:w="2086"/>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2086" w:type="dxa"/>
            <w:tcBorders/>
            <w:vAlign w:val="center"/>
          </w:tcPr>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tc>
      </w:tr>
      <w:tr>
        <w:trPr/>
        <w:tc>
          <w:tcPr>
            <w:tcW w:w="1966" w:type="dxa"/>
            <w:tcBorders/>
            <w:vAlign w:val="center"/>
          </w:tcPr>
          <w:p>
            <w:pPr>
              <w:pStyle w:val="TableContents"/>
              <w:bidi w:val="0"/>
              <w:spacing w:lineRule="auto" w:line="285" w:before="120" w:after="0"/>
              <w:ind w:left="0" w:right="0" w:hanging="0"/>
              <w:jc w:val="center"/>
              <w:rPr>
                <w:color w:val="4B4F54"/>
              </w:rPr>
            </w:pPr>
            <w:r>
              <w:rPr>
                <w:color w:val="4B4F54"/>
              </w:rPr>
              <w:drawing>
                <wp:inline distT="0" distB="0" distL="0" distR="0">
                  <wp:extent cx="311150" cy="301625"/>
                  <wp:effectExtent l="0" t="0" r="0" b="0"/>
                  <wp:docPr id="6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0" descr=""/>
                          <pic:cNvPicPr>
                            <a:picLocks noChangeAspect="1" noChangeArrowheads="1"/>
                          </pic:cNvPicPr>
                        </pic:nvPicPr>
                        <pic:blipFill>
                          <a:blip r:embed="rId51"/>
                          <a:stretch>
                            <a:fillRect/>
                          </a:stretch>
                        </pic:blipFill>
                        <pic:spPr bwMode="auto">
                          <a:xfrm>
                            <a:off x="0" y="0"/>
                            <a:ext cx="311150" cy="301625"/>
                          </a:xfrm>
                          <a:prstGeom prst="rect">
                            <a:avLst/>
                          </a:prstGeom>
                        </pic:spPr>
                      </pic:pic>
                    </a:graphicData>
                  </a:graphic>
                </wp:inline>
              </w:drawing>
            </w:r>
          </w:p>
        </w:tc>
        <w:tc>
          <w:tcPr>
            <w:tcW w:w="109" w:type="dxa"/>
            <w:tcBorders/>
            <w:vAlign w:val="center"/>
          </w:tcPr>
          <w:p>
            <w:pPr>
              <w:pStyle w:val="TableContents"/>
              <w:bidi w:val="0"/>
              <w:spacing w:lineRule="auto" w:line="285" w:before="120" w:after="0"/>
              <w:ind w:left="0" w:right="0" w:hanging="0"/>
              <w:jc w:val="both"/>
              <w:rPr/>
            </w:pPr>
            <w:r>
              <w:rPr/>
              <w:t>​</w:t>
            </w:r>
          </w:p>
        </w:tc>
        <w:tc>
          <w:tcPr>
            <w:tcW w:w="2086" w:type="dxa"/>
            <w:tcBorders/>
            <w:vAlign w:val="center"/>
          </w:tcPr>
          <w:p>
            <w:pPr>
              <w:pStyle w:val="TableContents"/>
              <w:bidi w:val="0"/>
              <w:spacing w:lineRule="auto" w:line="285" w:before="120" w:after="0"/>
              <w:ind w:left="0" w:right="0" w:hanging="0"/>
              <w:jc w:val="center"/>
              <w:rPr>
                <w:color w:val="4B4F54"/>
              </w:rPr>
            </w:pPr>
            <w:r>
              <w:rPr>
                <w:color w:val="4B4F54"/>
              </w:rPr>
              <w:drawing>
                <wp:inline distT="0" distB="0" distL="0" distR="0">
                  <wp:extent cx="223520" cy="301625"/>
                  <wp:effectExtent l="0" t="0" r="0" b="0"/>
                  <wp:docPr id="6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1" descr=""/>
                          <pic:cNvPicPr>
                            <a:picLocks noChangeAspect="1" noChangeArrowheads="1"/>
                          </pic:cNvPicPr>
                        </pic:nvPicPr>
                        <pic:blipFill>
                          <a:blip r:embed="rId52"/>
                          <a:stretch>
                            <a:fillRect/>
                          </a:stretch>
                        </pic:blipFill>
                        <pic:spPr bwMode="auto">
                          <a:xfrm>
                            <a:off x="0" y="0"/>
                            <a:ext cx="223520" cy="301625"/>
                          </a:xfrm>
                          <a:prstGeom prst="rect">
                            <a:avLst/>
                          </a:prstGeom>
                        </pic:spPr>
                      </pic:pic>
                    </a:graphicData>
                  </a:graphic>
                </wp:inline>
              </w:drawing>
            </w:r>
          </w:p>
        </w:tc>
      </w:tr>
      <w:tr>
        <w:trPr/>
        <w:tc>
          <w:tcPr>
            <w:tcW w:w="196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9"/>
              </w:rPr>
            </w:pPr>
            <w:r>
              <w:rPr>
                <w:rFonts w:ascii="Arial;Helvetica;sans-serif" w:hAnsi="Arial;Helvetica;sans-serif"/>
                <w:b/>
                <w:color w:val="4B4F54"/>
                <w:sz w:val="19"/>
              </w:rPr>
              <w:t>WHEN</w:t>
            </w:r>
          </w:p>
        </w:tc>
        <w:tc>
          <w:tcPr>
            <w:tcW w:w="109"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08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9"/>
              </w:rPr>
            </w:pPr>
            <w:r>
              <w:rPr>
                <w:rFonts w:ascii="Arial;Helvetica;sans-serif" w:hAnsi="Arial;Helvetica;sans-serif"/>
                <w:b/>
                <w:color w:val="4B4F54"/>
                <w:sz w:val="19"/>
              </w:rPr>
              <w:t>WHERE</w:t>
            </w:r>
          </w:p>
        </w:tc>
      </w:tr>
      <w:tr>
        <w:trPr/>
        <w:tc>
          <w:tcPr>
            <w:tcW w:w="1966" w:type="dxa"/>
            <w:tcBorders/>
            <w:vAlign w:val="center"/>
          </w:tcPr>
          <w:p>
            <w:pPr>
              <w:pStyle w:val="TableContents"/>
              <w:bidi w:val="0"/>
              <w:spacing w:lineRule="auto" w:line="285" w:before="80" w:after="0"/>
              <w:ind w:left="0" w:right="0" w:hanging="0"/>
              <w:jc w:val="center"/>
              <w:rPr>
                <w:rFonts w:ascii="Arial;Helvetica;sans-serif" w:hAnsi="Arial;Helvetica;sans-serif"/>
                <w:sz w:val="20"/>
              </w:rPr>
            </w:pPr>
            <w:r>
              <w:rPr>
                <w:rFonts w:ascii="Arial;Helvetica;sans-serif" w:hAnsi="Arial;Helvetica;sans-serif"/>
                <w:sz w:val="20"/>
              </w:rPr>
              <w:t>Friday, May 22, 2026</w:t>
            </w:r>
          </w:p>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8:00 a.m. Swiss time</w:t>
            </w:r>
          </w:p>
        </w:tc>
        <w:tc>
          <w:tcPr>
            <w:tcW w:w="109" w:type="dxa"/>
            <w:tcBorders/>
            <w:vAlign w:val="center"/>
          </w:tcPr>
          <w:p>
            <w:pPr>
              <w:pStyle w:val="TableContents"/>
              <w:bidi w:val="0"/>
              <w:spacing w:lineRule="auto" w:line="285" w:before="0" w:after="0"/>
              <w:ind w:left="0" w:right="0" w:hanging="0"/>
              <w:jc w:val="both"/>
              <w:rPr/>
            </w:pPr>
            <w:r>
              <w:rPr/>
              <w:t>​</w:t>
            </w:r>
          </w:p>
        </w:tc>
        <w:tc>
          <w:tcPr>
            <w:tcW w:w="2086" w:type="dxa"/>
            <w:tcBorders/>
            <w:vAlign w:val="center"/>
          </w:tcPr>
          <w:p>
            <w:pPr>
              <w:pStyle w:val="TableContents"/>
              <w:bidi w:val="0"/>
              <w:spacing w:lineRule="auto" w:line="285" w:before="80" w:after="0"/>
              <w:ind w:left="0" w:right="0" w:hanging="0"/>
              <w:jc w:val="center"/>
              <w:rPr>
                <w:rFonts w:ascii="Arial;Helvetica;sans-serif" w:hAnsi="Arial;Helvetica;sans-serif"/>
                <w:sz w:val="20"/>
              </w:rPr>
            </w:pPr>
            <w:r>
              <w:rPr>
                <w:rFonts w:ascii="Arial;Helvetica;sans-serif" w:hAnsi="Arial;Helvetica;sans-serif"/>
                <w:sz w:val="20"/>
              </w:rPr>
              <w:t>Parkhotel Zug</w:t>
            </w:r>
          </w:p>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Industriestrasse 14</w:t>
            </w:r>
          </w:p>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6302 Zug, Switzerland</w:t>
            </w:r>
          </w:p>
        </w:tc>
      </w:tr>
    </w:tbl>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b/>
          <w:color w:val="ECA44A"/>
          <w:sz w:val="28"/>
        </w:rPr>
      </w:pPr>
      <w:r>
        <w:rPr>
          <w:rFonts w:ascii="Arial;Helvetica;sans-serif" w:hAnsi="Arial;Helvetica;sans-serif"/>
          <w:b/>
          <w:color w:val="ECA44A"/>
          <w:sz w:val="28"/>
        </w:rPr>
        <w:t>AGENDA ITEMS</w:t>
      </w:r>
    </w:p>
    <w:tbl>
      <w:tblPr>
        <w:tblW w:w="10205" w:type="dxa"/>
        <w:jc w:val="left"/>
        <w:tblInd w:w="0" w:type="dxa"/>
        <w:tblLayout w:type="fixed"/>
        <w:tblCellMar>
          <w:top w:w="0" w:type="dxa"/>
          <w:left w:w="0" w:type="dxa"/>
          <w:bottom w:w="0" w:type="dxa"/>
          <w:right w:w="0" w:type="dxa"/>
        </w:tblCellMar>
      </w:tblPr>
      <w:tblGrid>
        <w:gridCol w:w="511"/>
        <w:gridCol w:w="109"/>
        <w:gridCol w:w="4238"/>
        <w:gridCol w:w="109"/>
        <w:gridCol w:w="3357"/>
        <w:gridCol w:w="109"/>
        <w:gridCol w:w="641"/>
        <w:gridCol w:w="1131"/>
      </w:tblGrid>
      <w:tr>
        <w:trPr/>
        <w:tc>
          <w:tcPr>
            <w:tcW w:w="51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61925" cy="29210"/>
                      <wp:effectExtent l="0" t="0" r="0" b="0"/>
                      <wp:wrapNone/>
                      <wp:docPr id="63" name="Frame12"/>
                      <a:graphic xmlns:a="http://schemas.openxmlformats.org/drawingml/2006/main">
                        <a:graphicData uri="http://schemas.microsoft.com/office/word/2010/wordprocessingShape">
                          <wps:wsp>
                            <wps:cNvSpPr txBox="1"/>
                            <wps:spPr>
                              <a:xfrm>
                                <a:off x="0" y="0"/>
                                <a:ext cx="1619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lineRule="auto" w:line="285" w:before="0" w:after="0"/>
              <w:ind w:left="0" w:right="0" w:hanging="0"/>
              <w:jc w:val="both"/>
              <w:rPr/>
            </w:pPr>
            <w:r>
              <w:rPr/>
              <w:t>​</w:t>
            </w:r>
          </w:p>
        </w:tc>
        <w:tc>
          <w:tcPr>
            <w:tcW w:w="423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45565" cy="29210"/>
                      <wp:effectExtent l="0" t="0" r="0" b="0"/>
                      <wp:wrapNone/>
                      <wp:docPr id="64" name="Frame13"/>
                      <a:graphic xmlns:a="http://schemas.openxmlformats.org/drawingml/2006/main">
                        <a:graphicData uri="http://schemas.microsoft.com/office/word/2010/wordprocessingShape">
                          <wps:wsp>
                            <wps:cNvSpPr txBox="1"/>
                            <wps:spPr>
                              <a:xfrm>
                                <a:off x="0" y="0"/>
                                <a:ext cx="13455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lineRule="auto" w:line="285" w:before="0" w:after="0"/>
              <w:ind w:left="0" w:right="0" w:hanging="0"/>
              <w:jc w:val="both"/>
              <w:rPr/>
            </w:pPr>
            <w:r>
              <w:rPr/>
              <w:t>​</w:t>
            </w:r>
          </w:p>
        </w:tc>
        <w:tc>
          <w:tcPr>
            <w:tcW w:w="335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065530" cy="29210"/>
                      <wp:effectExtent l="0" t="0" r="0" b="0"/>
                      <wp:wrapNone/>
                      <wp:docPr id="65" name="Frame14"/>
                      <a:graphic xmlns:a="http://schemas.openxmlformats.org/drawingml/2006/main">
                        <a:graphicData uri="http://schemas.microsoft.com/office/word/2010/wordprocessingShape">
                          <wps:wsp>
                            <wps:cNvSpPr txBox="1"/>
                            <wps:spPr>
                              <a:xfrm>
                                <a:off x="0" y="0"/>
                                <a:ext cx="10655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lineRule="auto" w:line="285" w:before="0" w:after="0"/>
              <w:ind w:left="0" w:right="0" w:hanging="0"/>
              <w:jc w:val="both"/>
              <w:rPr/>
            </w:pPr>
            <w:r>
              <w:rPr/>
              <w:t>​</w:t>
            </w:r>
          </w:p>
        </w:tc>
        <w:tc>
          <w:tcPr>
            <w:tcW w:w="1772"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62610" cy="29210"/>
                      <wp:effectExtent l="0" t="0" r="0" b="0"/>
                      <wp:wrapNone/>
                      <wp:docPr id="66" name="Frame15"/>
                      <a:graphic xmlns:a="http://schemas.openxmlformats.org/drawingml/2006/main">
                        <a:graphicData uri="http://schemas.microsoft.com/office/word/2010/wordprocessingShape">
                          <wps:wsp>
                            <wps:cNvSpPr txBox="1"/>
                            <wps:spPr>
                              <a:xfrm>
                                <a:off x="0" y="0"/>
                                <a:ext cx="562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11" w:type="dxa"/>
            <w:tcBorders>
              <w:bottom w:val="single" w:sz="12" w:space="0" w:color="ECA44A"/>
            </w:tcBorders>
            <w:tcMar>
              <w:bottom w:w="28" w:type="dxa"/>
            </w:tcMar>
            <w:vAlign w:val="center"/>
          </w:tcPr>
          <w:p>
            <w:pPr>
              <w:pStyle w:val="TableHeading"/>
              <w:bidi w:val="0"/>
              <w:spacing w:lineRule="auto" w:line="285" w:before="0" w:after="40"/>
              <w:ind w:left="0" w:right="0" w:hanging="0"/>
              <w:jc w:val="center"/>
              <w:rPr>
                <w:rFonts w:ascii="Arial;Helvetica;sans-serif" w:hAnsi="Arial;Helvetica;sans-serif"/>
                <w:b/>
                <w:color w:val="4B4F54"/>
                <w:sz w:val="17"/>
              </w:rPr>
            </w:pPr>
            <w:r>
              <w:rPr>
                <w:rFonts w:ascii="Arial;Helvetica;sans-serif" w:hAnsi="Arial;Helvetica;sans-serif"/>
                <w:b/>
                <w:color w:val="4B4F54"/>
                <w:sz w:val="17"/>
              </w:rPr>
              <w:t>ITEM</w:t>
            </w:r>
          </w:p>
        </w:tc>
        <w:tc>
          <w:tcPr>
            <w:tcW w:w="109" w:type="dxa"/>
            <w:tcBorders/>
            <w:vAlign w:val="center"/>
          </w:tcPr>
          <w:p>
            <w:pPr>
              <w:pStyle w:val="TableHeading"/>
              <w:bidi w:val="0"/>
              <w:spacing w:lineRule="auto" w:line="285" w:before="0" w:after="0"/>
              <w:ind w:left="0" w:right="0" w:hanging="0"/>
              <w:jc w:val="both"/>
              <w:rPr>
                <w:color w:val="4B4F54"/>
              </w:rPr>
            </w:pPr>
            <w:r>
              <w:rPr>
                <w:color w:val="4B4F54"/>
              </w:rPr>
              <w:t>​</w:t>
            </w:r>
          </w:p>
        </w:tc>
        <w:tc>
          <w:tcPr>
            <w:tcW w:w="4238" w:type="dxa"/>
            <w:tcBorders>
              <w:bottom w:val="single" w:sz="12" w:space="0" w:color="ECA44A"/>
            </w:tcBorders>
            <w:tcMar>
              <w:bottom w:w="28" w:type="dxa"/>
            </w:tcMar>
            <w:vAlign w:val="center"/>
          </w:tcPr>
          <w:p>
            <w:pPr>
              <w:pStyle w:val="TableHeading"/>
              <w:bidi w:val="0"/>
              <w:spacing w:lineRule="auto" w:line="285" w:before="0" w:after="40"/>
              <w:ind w:left="0" w:right="0" w:hanging="0"/>
              <w:jc w:val="both"/>
              <w:rPr>
                <w:rFonts w:ascii="Arial;Helvetica;sans-serif" w:hAnsi="Arial;Helvetica;sans-serif"/>
                <w:b/>
                <w:color w:val="4B4F54"/>
                <w:sz w:val="17"/>
              </w:rPr>
            </w:pPr>
            <w:r>
              <w:rPr>
                <w:rFonts w:ascii="Arial;Helvetica;sans-serif" w:hAnsi="Arial;Helvetica;sans-serif"/>
                <w:b/>
                <w:color w:val="4B4F54"/>
                <w:sz w:val="17"/>
              </w:rPr>
              <w:t>DESCRIPTION</w:t>
            </w:r>
          </w:p>
        </w:tc>
        <w:tc>
          <w:tcPr>
            <w:tcW w:w="109" w:type="dxa"/>
            <w:tcBorders/>
            <w:vAlign w:val="center"/>
          </w:tcPr>
          <w:p>
            <w:pPr>
              <w:pStyle w:val="TableHeading"/>
              <w:bidi w:val="0"/>
              <w:spacing w:lineRule="auto" w:line="285" w:before="0" w:after="0"/>
              <w:ind w:left="0" w:right="0" w:hanging="0"/>
              <w:jc w:val="both"/>
              <w:rPr>
                <w:color w:val="4B4F54"/>
              </w:rPr>
            </w:pPr>
            <w:r>
              <w:rPr>
                <w:color w:val="4B4F54"/>
              </w:rPr>
              <w:t>​</w:t>
            </w:r>
          </w:p>
        </w:tc>
        <w:tc>
          <w:tcPr>
            <w:tcW w:w="3357" w:type="dxa"/>
            <w:tcBorders>
              <w:bottom w:val="single" w:sz="12" w:space="0" w:color="ECA44A"/>
            </w:tcBorders>
            <w:tcMar>
              <w:bottom w:w="28" w:type="dxa"/>
            </w:tcMar>
            <w:vAlign w:val="center"/>
          </w:tcPr>
          <w:p>
            <w:pPr>
              <w:pStyle w:val="TableHeading"/>
              <w:bidi w:val="0"/>
              <w:spacing w:lineRule="auto" w:line="285" w:before="0" w:after="40"/>
              <w:ind w:left="0" w:right="0" w:hanging="0"/>
              <w:jc w:val="both"/>
              <w:rPr>
                <w:rFonts w:ascii="Arial;Helvetica;sans-serif" w:hAnsi="Arial;Helvetica;sans-serif"/>
                <w:b/>
                <w:color w:val="4B4F54"/>
                <w:sz w:val="17"/>
              </w:rPr>
            </w:pPr>
            <w:r>
              <w:rPr>
                <w:rFonts w:ascii="Arial;Helvetica;sans-serif" w:hAnsi="Arial;Helvetica;sans-serif"/>
                <w:b/>
                <w:color w:val="4B4F54"/>
                <w:sz w:val="17"/>
              </w:rPr>
              <w:t>PROPOSAL OF THE BOARD OF DIRECTORS</w:t>
            </w:r>
          </w:p>
        </w:tc>
        <w:tc>
          <w:tcPr>
            <w:tcW w:w="109" w:type="dxa"/>
            <w:tcBorders/>
            <w:vAlign w:val="center"/>
          </w:tcPr>
          <w:p>
            <w:pPr>
              <w:pStyle w:val="TableHeading"/>
              <w:bidi w:val="0"/>
              <w:spacing w:lineRule="auto" w:line="285" w:before="0" w:after="0"/>
              <w:ind w:left="0" w:right="0" w:hanging="0"/>
              <w:jc w:val="both"/>
              <w:rPr>
                <w:color w:val="4B4F54"/>
              </w:rPr>
            </w:pPr>
            <w:r>
              <w:rPr>
                <w:color w:val="4B4F54"/>
              </w:rPr>
              <w:t>​</w:t>
            </w:r>
          </w:p>
        </w:tc>
        <w:tc>
          <w:tcPr>
            <w:tcW w:w="1772" w:type="dxa"/>
            <w:gridSpan w:val="2"/>
            <w:tcBorders>
              <w:bottom w:val="single" w:sz="12" w:space="0" w:color="ECA44A"/>
            </w:tcBorders>
            <w:tcMar>
              <w:bottom w:w="28" w:type="dxa"/>
            </w:tcMar>
            <w:vAlign w:val="center"/>
          </w:tcPr>
          <w:p>
            <w:pPr>
              <w:pStyle w:val="TableHeading"/>
              <w:bidi w:val="0"/>
              <w:spacing w:lineRule="auto" w:line="285" w:before="0" w:after="40"/>
              <w:ind w:left="0" w:right="0" w:hanging="0"/>
              <w:jc w:val="center"/>
              <w:rPr>
                <w:rFonts w:ascii="Arial;Helvetica;sans-serif" w:hAnsi="Arial;Helvetica;sans-serif"/>
                <w:b/>
                <w:color w:val="4B4F54"/>
                <w:sz w:val="17"/>
              </w:rPr>
            </w:pPr>
            <w:r>
              <w:rPr>
                <w:rFonts w:ascii="Arial;Helvetica;sans-serif" w:hAnsi="Arial;Helvetica;sans-serif"/>
                <w:b/>
                <w:color w:val="4B4F54"/>
                <w:sz w:val="17"/>
              </w:rPr>
              <w:t>BOARD</w:t>
              <w:br/>
              <w:t>RECOMMENDATION</w:t>
            </w:r>
          </w:p>
        </w:tc>
      </w:tr>
      <w:tr>
        <w:trPr/>
        <w:tc>
          <w:tcPr>
            <w:tcW w:w="511" w:type="dxa"/>
            <w:tcBorders>
              <w:top w:val="single" w:sz="12" w:space="0" w:color="ECA44A"/>
            </w:tcBorders>
            <w:tcMar>
              <w:top w:w="28" w:type="dxa"/>
            </w:tcMar>
            <w:vAlign w:val="center"/>
          </w:tcPr>
          <w:p>
            <w:pPr>
              <w:pStyle w:val="TableContents"/>
              <w:bidi w:val="0"/>
              <w:spacing w:lineRule="auto" w:line="285" w:before="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1</w:t>
            </w:r>
          </w:p>
        </w:tc>
        <w:tc>
          <w:tcPr>
            <w:tcW w:w="109" w:type="dxa"/>
            <w:tcBorders/>
            <w:vAlign w:val="center"/>
          </w:tcPr>
          <w:p>
            <w:pPr>
              <w:pStyle w:val="TableContents"/>
              <w:bidi w:val="0"/>
              <w:spacing w:lineRule="auto" w:line="285" w:before="40" w:after="0"/>
              <w:ind w:left="0" w:right="0" w:hanging="0"/>
              <w:jc w:val="both"/>
              <w:rPr/>
            </w:pPr>
            <w:r>
              <w:rPr/>
              <w:t>​</w:t>
            </w:r>
          </w:p>
        </w:tc>
        <w:tc>
          <w:tcPr>
            <w:tcW w:w="4238" w:type="dxa"/>
            <w:tcBorders>
              <w:top w:val="single" w:sz="12" w:space="0" w:color="ECA44A"/>
            </w:tcBorders>
            <w:tcMar>
              <w:top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Approval of (A) the 2025 Annual Report, Including the Audited Consolidated Financial Statements of Transocean Ltd. for Fiscal Year 2025, and the Audited Statutory Financial Statements of Transocean Ltd. for Fiscal Year 2025; and Advisory Votes to Approve (B) the Swiss Statutory Compensation Report for Fiscal Year 2025 and (C) the Swiss Statutory Report on Non-Financial Matters for Fiscal Year 2025</w:t>
            </w:r>
          </w:p>
        </w:tc>
        <w:tc>
          <w:tcPr>
            <w:tcW w:w="109" w:type="dxa"/>
            <w:tcBorders/>
            <w:vAlign w:val="center"/>
          </w:tcPr>
          <w:p>
            <w:pPr>
              <w:pStyle w:val="TableContents"/>
              <w:bidi w:val="0"/>
              <w:spacing w:lineRule="auto" w:line="285" w:before="40" w:after="0"/>
              <w:ind w:left="0" w:right="0" w:hanging="0"/>
              <w:jc w:val="left"/>
              <w:rPr/>
            </w:pPr>
            <w:r>
              <w:rPr/>
              <w:t>​</w:t>
            </w:r>
          </w:p>
        </w:tc>
        <w:tc>
          <w:tcPr>
            <w:tcW w:w="3357" w:type="dxa"/>
            <w:tcBorders>
              <w:top w:val="single" w:sz="12" w:space="0" w:color="ECA44A"/>
            </w:tcBorders>
            <w:tcMar>
              <w:top w:w="28" w:type="dxa"/>
            </w:tcMar>
            <w:vAlign w:val="center"/>
          </w:tcPr>
          <w:p>
            <w:pPr>
              <w:pStyle w:val="TableContents"/>
              <w:bidi w:val="0"/>
              <w:spacing w:lineRule="auto" w:line="285" w:before="4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641" w:type="dxa"/>
            <w:tcBorders>
              <w:top w:val="single" w:sz="12" w:space="0" w:color="ECA44A"/>
            </w:tcBorders>
            <w:tcMar>
              <w:top w:w="28" w:type="dxa"/>
            </w:tcMar>
            <w:vAlign w:val="center"/>
          </w:tcPr>
          <w:p>
            <w:pPr>
              <w:pStyle w:val="TableContents"/>
              <w:bidi w:val="0"/>
              <w:spacing w:lineRule="auto" w:line="285" w:before="40" w:after="0"/>
              <w:ind w:left="0" w:right="0" w:hanging="0"/>
              <w:jc w:val="right"/>
              <w:rPr>
                <w:color w:val="005670"/>
              </w:rPr>
            </w:pPr>
            <w:r>
              <w:rPr>
                <w:color w:val="005670"/>
              </w:rPr>
              <w:t>​</w:t>
            </w:r>
          </w:p>
        </w:tc>
        <w:tc>
          <w:tcPr>
            <w:tcW w:w="1131" w:type="dxa"/>
            <w:tcBorders>
              <w:top w:val="single" w:sz="12" w:space="0" w:color="ECA44A"/>
            </w:tcBorders>
            <w:tcMar>
              <w:top w:w="28" w:type="dxa"/>
            </w:tcMar>
            <w:vAlign w:val="center"/>
          </w:tcPr>
          <w:p>
            <w:pPr>
              <w:pStyle w:val="TableContents"/>
              <w:bidi w:val="0"/>
              <w:spacing w:lineRule="auto" w:line="285" w:before="180" w:after="0"/>
              <w:ind w:left="0" w:right="0" w:hanging="0"/>
              <w:jc w:val="left"/>
              <w:rPr>
                <w:color w:val="005670"/>
              </w:rPr>
            </w:pPr>
            <w:r>
              <w:rPr>
                <w:color w:val="005670"/>
              </w:rPr>
              <w:t>​</w:t>
            </w:r>
          </w:p>
        </w:tc>
      </w:tr>
      <w:tr>
        <w:trPr/>
        <w:tc>
          <w:tcPr>
            <w:tcW w:w="511" w:type="dxa"/>
            <w:tcBorders/>
            <w:vAlign w:val="center"/>
          </w:tcPr>
          <w:p>
            <w:pPr>
              <w:pStyle w:val="TableContents"/>
              <w:bidi w:val="0"/>
              <w:spacing w:lineRule="auto" w:line="285" w:before="40" w:after="0"/>
              <w:ind w:left="0" w:right="0" w:hanging="0"/>
              <w:jc w:val="right"/>
              <w:rPr>
                <w:rFonts w:ascii="Arial;Helvetica;sans-serif" w:hAnsi="Arial;Helvetica;sans-serif"/>
                <w:b/>
                <w:color w:val="005670"/>
                <w:sz w:val="28"/>
              </w:rPr>
            </w:pPr>
            <w:r>
              <w:rPr>
                <w:rFonts w:ascii="Arial;Helvetica;sans-serif" w:hAnsi="Arial;Helvetica;sans-serif"/>
                <w:b/>
                <w:color w:val="005670"/>
                <w:sz w:val="28"/>
              </w:rPr>
              <w:t>1A</w:t>
            </w:r>
          </w:p>
        </w:tc>
        <w:tc>
          <w:tcPr>
            <w:tcW w:w="109" w:type="dxa"/>
            <w:tcBorders/>
            <w:vAlign w:val="center"/>
          </w:tcPr>
          <w:p>
            <w:pPr>
              <w:pStyle w:val="TableContents"/>
              <w:bidi w:val="0"/>
              <w:spacing w:lineRule="auto" w:line="285" w:before="40" w:after="0"/>
              <w:ind w:left="0" w:right="0" w:hanging="0"/>
              <w:jc w:val="both"/>
              <w:rPr/>
            </w:pPr>
            <w:r>
              <w:rPr/>
              <w:t>​</w:t>
            </w:r>
          </w:p>
        </w:tc>
        <w:tc>
          <w:tcPr>
            <w:tcW w:w="4238"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Approval of the 2025 Annual Report, Including the Audited Consolidated Financial Statements of Transocean Ltd. for Fiscal Year 2025 and the Audited Statutory Financial Statements of Transocean Ltd. for Fiscal Year 2025</w:t>
            </w:r>
          </w:p>
        </w:tc>
        <w:tc>
          <w:tcPr>
            <w:tcW w:w="109"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40" w:after="0"/>
              <w:ind w:left="0" w:right="0" w:hanging="0"/>
              <w:jc w:val="left"/>
              <w:rPr/>
            </w:pPr>
            <w:r>
              <w:rPr/>
              <w:t>​</w:t>
            </w:r>
          </w:p>
        </w:tc>
        <w:tc>
          <w:tcPr>
            <w:tcW w:w="3357"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The Board of Directors proposes that the 2025 Annual Report, including the audited consolidated financial statements of Transocean Ltd. for fiscal year 2025 and the audited statutory financial statements of Transocean Ltd. for fiscal year 2025, be approved.</w:t>
            </w:r>
          </w:p>
        </w:tc>
        <w:tc>
          <w:tcPr>
            <w:tcW w:w="109"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41"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40" w:after="0"/>
              <w:ind w:left="0" w:right="0" w:hanging="0"/>
              <w:jc w:val="right"/>
              <w:rPr>
                <w:color w:val="005670"/>
              </w:rPr>
            </w:pPr>
            <w:r>
              <w:rPr>
                <w:color w:val="005670"/>
              </w:rPr>
              <w:t xml:space="preserve">✓ </w:t>
            </w:r>
          </w:p>
        </w:tc>
        <w:tc>
          <w:tcPr>
            <w:tcW w:w="1131"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18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r>
      <w:tr>
        <w:trPr/>
        <w:tc>
          <w:tcPr>
            <w:tcW w:w="511" w:type="dxa"/>
            <w:tcBorders/>
            <w:vAlign w:val="center"/>
          </w:tcPr>
          <w:p>
            <w:pPr>
              <w:pStyle w:val="TableContents"/>
              <w:bidi w:val="0"/>
              <w:spacing w:lineRule="auto" w:line="285" w:before="40" w:after="0"/>
              <w:ind w:left="0" w:right="0" w:hanging="0"/>
              <w:jc w:val="right"/>
              <w:rPr>
                <w:rFonts w:ascii="Arial;Helvetica;sans-serif" w:hAnsi="Arial;Helvetica;sans-serif"/>
                <w:b/>
                <w:color w:val="005670"/>
                <w:sz w:val="28"/>
              </w:rPr>
            </w:pPr>
            <w:r>
              <w:rPr>
                <w:rFonts w:ascii="Arial;Helvetica;sans-serif" w:hAnsi="Arial;Helvetica;sans-serif"/>
                <w:b/>
                <w:color w:val="005670"/>
                <w:sz w:val="28"/>
              </w:rPr>
              <w:t>1B</w:t>
            </w:r>
          </w:p>
        </w:tc>
        <w:tc>
          <w:tcPr>
            <w:tcW w:w="109" w:type="dxa"/>
            <w:tcBorders/>
            <w:vAlign w:val="center"/>
          </w:tcPr>
          <w:p>
            <w:pPr>
              <w:pStyle w:val="TableContents"/>
              <w:bidi w:val="0"/>
              <w:spacing w:lineRule="auto" w:line="285" w:before="40" w:after="0"/>
              <w:ind w:left="0" w:right="0" w:hanging="0"/>
              <w:jc w:val="both"/>
              <w:rPr/>
            </w:pPr>
            <w:r>
              <w:rPr/>
              <w:t>​</w:t>
            </w:r>
          </w:p>
        </w:tc>
        <w:tc>
          <w:tcPr>
            <w:tcW w:w="4238"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Advisory Vote to Approve the Swiss Statutory Compensation Report for Fiscal Year 2025</w:t>
            </w:r>
          </w:p>
        </w:tc>
        <w:tc>
          <w:tcPr>
            <w:tcW w:w="109"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40" w:after="0"/>
              <w:ind w:left="0" w:right="0" w:hanging="0"/>
              <w:jc w:val="left"/>
              <w:rPr/>
            </w:pPr>
            <w:r>
              <w:rPr/>
              <w:t>​</w:t>
            </w:r>
          </w:p>
        </w:tc>
        <w:tc>
          <w:tcPr>
            <w:tcW w:w="3357"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The Board of Directors proposes that the Company’s Swiss Statutory Compensation Report for the fiscal year ended December 31, 2025, be approved on an advisory basis.</w:t>
            </w:r>
          </w:p>
        </w:tc>
        <w:tc>
          <w:tcPr>
            <w:tcW w:w="109"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41"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40" w:after="0"/>
              <w:ind w:left="0" w:right="0" w:hanging="0"/>
              <w:jc w:val="right"/>
              <w:rPr>
                <w:color w:val="005670"/>
              </w:rPr>
            </w:pPr>
            <w:r>
              <w:rPr>
                <w:color w:val="005670"/>
              </w:rPr>
              <w:t xml:space="preserve">✓ </w:t>
            </w:r>
          </w:p>
        </w:tc>
        <w:tc>
          <w:tcPr>
            <w:tcW w:w="1131"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18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r>
      <w:tr>
        <w:trPr/>
        <w:tc>
          <w:tcPr>
            <w:tcW w:w="511" w:type="dxa"/>
            <w:tcBorders/>
            <w:vAlign w:val="center"/>
          </w:tcPr>
          <w:p>
            <w:pPr>
              <w:pStyle w:val="TableContents"/>
              <w:bidi w:val="0"/>
              <w:spacing w:lineRule="auto" w:line="285" w:before="40" w:after="0"/>
              <w:ind w:left="0" w:right="0" w:hanging="0"/>
              <w:jc w:val="right"/>
              <w:rPr>
                <w:rFonts w:ascii="Arial;Helvetica;sans-serif" w:hAnsi="Arial;Helvetica;sans-serif"/>
                <w:b/>
                <w:color w:val="005670"/>
                <w:sz w:val="28"/>
              </w:rPr>
            </w:pPr>
            <w:r>
              <w:rPr>
                <w:rFonts w:ascii="Arial;Helvetica;sans-serif" w:hAnsi="Arial;Helvetica;sans-serif"/>
                <w:b/>
                <w:color w:val="005670"/>
                <w:sz w:val="28"/>
              </w:rPr>
              <w:t>1C</w:t>
            </w:r>
          </w:p>
        </w:tc>
        <w:tc>
          <w:tcPr>
            <w:tcW w:w="109" w:type="dxa"/>
            <w:tcBorders/>
            <w:vAlign w:val="center"/>
          </w:tcPr>
          <w:p>
            <w:pPr>
              <w:pStyle w:val="TableContents"/>
              <w:bidi w:val="0"/>
              <w:spacing w:lineRule="auto" w:line="285" w:before="40" w:after="0"/>
              <w:ind w:left="0" w:right="0" w:hanging="0"/>
              <w:jc w:val="both"/>
              <w:rPr/>
            </w:pPr>
            <w:r>
              <w:rPr/>
              <w:t>​</w:t>
            </w:r>
          </w:p>
        </w:tc>
        <w:tc>
          <w:tcPr>
            <w:tcW w:w="4238" w:type="dxa"/>
            <w:tcBorders>
              <w:top w:val="single" w:sz="2" w:space="0" w:color="E7E6E6"/>
            </w:tcBorders>
            <w:tcMar>
              <w:top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Advisory Vote to Approve the Swiss Statutory Report on Non-Financial Matters for Fiscal Year 2025</w:t>
            </w:r>
          </w:p>
        </w:tc>
        <w:tc>
          <w:tcPr>
            <w:tcW w:w="109" w:type="dxa"/>
            <w:tcBorders>
              <w:top w:val="single" w:sz="2" w:space="0" w:color="E7E6E6"/>
            </w:tcBorders>
            <w:tcMar>
              <w:top w:w="28" w:type="dxa"/>
            </w:tcMar>
            <w:vAlign w:val="center"/>
          </w:tcPr>
          <w:p>
            <w:pPr>
              <w:pStyle w:val="TableContents"/>
              <w:bidi w:val="0"/>
              <w:spacing w:lineRule="auto" w:line="285" w:before="40" w:after="0"/>
              <w:ind w:left="0" w:right="0" w:hanging="0"/>
              <w:jc w:val="left"/>
              <w:rPr/>
            </w:pPr>
            <w:r>
              <w:rPr/>
              <w:t>​</w:t>
            </w:r>
          </w:p>
        </w:tc>
        <w:tc>
          <w:tcPr>
            <w:tcW w:w="3357" w:type="dxa"/>
            <w:tcBorders>
              <w:top w:val="single" w:sz="2" w:space="0" w:color="E7E6E6"/>
            </w:tcBorders>
            <w:tcMar>
              <w:top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The Board of Directors proposes that the Company’s Swiss Statutory Report on Non-Financial Matters for fiscal year ended December 31, 2025, be approved on an advisory basis.</w:t>
            </w:r>
          </w:p>
        </w:tc>
        <w:tc>
          <w:tcPr>
            <w:tcW w:w="109" w:type="dxa"/>
            <w:tcBorders>
              <w:top w:val="single" w:sz="2" w:space="0" w:color="E7E6E6"/>
            </w:tcBorders>
            <w:tcMar>
              <w:top w:w="28" w:type="dxa"/>
            </w:tcMar>
            <w:vAlign w:val="center"/>
          </w:tcPr>
          <w:p>
            <w:pPr>
              <w:pStyle w:val="TableContents"/>
              <w:bidi w:val="0"/>
              <w:spacing w:lineRule="auto" w:line="285" w:before="0" w:after="0"/>
              <w:ind w:left="0" w:right="0" w:hanging="0"/>
              <w:jc w:val="both"/>
              <w:rPr/>
            </w:pPr>
            <w:r>
              <w:rPr/>
              <w:t>​</w:t>
            </w:r>
          </w:p>
        </w:tc>
        <w:tc>
          <w:tcPr>
            <w:tcW w:w="641" w:type="dxa"/>
            <w:tcBorders>
              <w:top w:val="single" w:sz="2" w:space="0" w:color="E7E6E6"/>
            </w:tcBorders>
            <w:tcMar>
              <w:top w:w="28" w:type="dxa"/>
            </w:tcMar>
            <w:vAlign w:val="center"/>
          </w:tcPr>
          <w:p>
            <w:pPr>
              <w:pStyle w:val="TableContents"/>
              <w:bidi w:val="0"/>
              <w:spacing w:lineRule="auto" w:line="285" w:before="40" w:after="0"/>
              <w:ind w:left="0" w:right="0" w:hanging="0"/>
              <w:jc w:val="right"/>
              <w:rPr>
                <w:color w:val="005670"/>
              </w:rPr>
            </w:pPr>
            <w:r>
              <w:rPr>
                <w:color w:val="005670"/>
              </w:rPr>
              <w:t xml:space="preserve">✓ </w:t>
            </w:r>
          </w:p>
        </w:tc>
        <w:tc>
          <w:tcPr>
            <w:tcW w:w="1131" w:type="dxa"/>
            <w:tcBorders>
              <w:top w:val="single" w:sz="2" w:space="0" w:color="E7E6E6"/>
            </w:tcBorders>
            <w:tcMar>
              <w:top w:w="28" w:type="dxa"/>
            </w:tcMar>
            <w:vAlign w:val="center"/>
          </w:tcPr>
          <w:p>
            <w:pPr>
              <w:pStyle w:val="TableContents"/>
              <w:bidi w:val="0"/>
              <w:spacing w:lineRule="auto" w:line="285" w:before="18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r>
      <w:tr>
        <w:trPr/>
        <w:tc>
          <w:tcPr>
            <w:tcW w:w="511" w:type="dxa"/>
            <w:tcBorders>
              <w:bottom w:val="single" w:sz="2" w:space="0" w:color="E7E6E6"/>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E7E6E6"/>
            </w:tcBorders>
            <w:tcMar>
              <w:bottom w:w="28" w:type="dxa"/>
            </w:tcMar>
            <w:vAlign w:val="center"/>
          </w:tcPr>
          <w:p>
            <w:pPr>
              <w:pStyle w:val="TableContents"/>
              <w:bidi w:val="0"/>
              <w:spacing w:lineRule="auto" w:line="285" w:before="0" w:after="0"/>
              <w:ind w:left="0" w:right="0" w:hanging="0"/>
              <w:jc w:val="both"/>
              <w:rPr/>
            </w:pPr>
            <w:r>
              <w:rPr/>
              <w:t>​</w:t>
            </w:r>
          </w:p>
        </w:tc>
        <w:tc>
          <w:tcPr>
            <w:tcW w:w="4238" w:type="dxa"/>
            <w:tcBorders>
              <w:bottom w:val="single" w:sz="2" w:space="0" w:color="E7E6E6"/>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E7E6E6"/>
            </w:tcBorders>
            <w:tcMar>
              <w:bottom w:w="28" w:type="dxa"/>
            </w:tcMar>
            <w:vAlign w:val="center"/>
          </w:tcPr>
          <w:p>
            <w:pPr>
              <w:pStyle w:val="TableContents"/>
              <w:bidi w:val="0"/>
              <w:spacing w:lineRule="auto" w:line="285" w:before="0" w:after="0"/>
              <w:ind w:left="0" w:right="0" w:hanging="0"/>
              <w:jc w:val="both"/>
              <w:rPr/>
            </w:pPr>
            <w:r>
              <w:rPr/>
              <w:t>​</w:t>
            </w:r>
          </w:p>
        </w:tc>
        <w:tc>
          <w:tcPr>
            <w:tcW w:w="3357" w:type="dxa"/>
            <w:tcBorders>
              <w:bottom w:val="single" w:sz="2" w:space="0" w:color="E7E6E6"/>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E7E6E6"/>
            </w:tcBorders>
            <w:tcMar>
              <w:bottom w:w="28" w:type="dxa"/>
            </w:tcMar>
            <w:vAlign w:val="center"/>
          </w:tcPr>
          <w:p>
            <w:pPr>
              <w:pStyle w:val="TableContents"/>
              <w:bidi w:val="0"/>
              <w:spacing w:lineRule="auto" w:line="285" w:before="0" w:after="0"/>
              <w:ind w:left="0" w:right="0" w:hanging="0"/>
              <w:jc w:val="both"/>
              <w:rPr/>
            </w:pPr>
            <w:r>
              <w:rPr/>
              <w:t>​</w:t>
            </w:r>
          </w:p>
        </w:tc>
        <w:tc>
          <w:tcPr>
            <w:tcW w:w="1772" w:type="dxa"/>
            <w:gridSpan w:val="2"/>
            <w:tcBorders/>
            <w:vAlign w:val="center"/>
          </w:tcPr>
          <w:p>
            <w:pPr>
              <w:pStyle w:val="TableContents"/>
              <w:bidi w:val="0"/>
              <w:spacing w:lineRule="auto" w:line="285" w:before="0" w:after="0"/>
              <w:ind w:left="0" w:right="0" w:hanging="0"/>
              <w:jc w:val="both"/>
              <w:rPr/>
            </w:pPr>
            <w:r>
              <w:rPr/>
              <w:t>​</w:t>
            </w:r>
          </w:p>
        </w:tc>
      </w:tr>
      <w:tr>
        <w:trPr/>
        <w:tc>
          <w:tcPr>
            <w:tcW w:w="511"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2</w:t>
            </w:r>
          </w:p>
        </w:tc>
        <w:tc>
          <w:tcPr>
            <w:tcW w:w="109"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4238"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Discharge of the Members of the Board of Directors and the Executive Management Team from Liability for Activities During Fiscal Year 2025</w:t>
            </w:r>
          </w:p>
        </w:tc>
        <w:tc>
          <w:tcPr>
            <w:tcW w:w="109"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0" w:after="0"/>
              <w:ind w:left="0" w:right="0" w:hanging="0"/>
              <w:jc w:val="left"/>
              <w:rPr/>
            </w:pPr>
            <w:r>
              <w:rPr/>
              <w:t>​</w:t>
            </w:r>
          </w:p>
        </w:tc>
        <w:tc>
          <w:tcPr>
            <w:tcW w:w="3357"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The Board of Directors proposes that the members of the Board of Directors and Messrs. Keelan I. Adamson, R. Thaddeus Vayda, and Jeremy D. Thigpen, who served as members of our Executive Management Team in 2025, be discharged from liability for activities during fiscal year 2025.</w:t>
            </w:r>
          </w:p>
        </w:tc>
        <w:tc>
          <w:tcPr>
            <w:tcW w:w="109"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41"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40" w:after="0"/>
              <w:ind w:left="0" w:right="0" w:hanging="0"/>
              <w:jc w:val="right"/>
              <w:rPr>
                <w:color w:val="005670"/>
              </w:rPr>
            </w:pPr>
            <w:r>
              <w:rPr>
                <w:color w:val="005670"/>
              </w:rPr>
              <w:t xml:space="preserve">✓ </w:t>
            </w:r>
          </w:p>
        </w:tc>
        <w:tc>
          <w:tcPr>
            <w:tcW w:w="1131"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18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r>
      <w:tr>
        <w:trPr/>
        <w:tc>
          <w:tcPr>
            <w:tcW w:w="511"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109"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4238"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40" w:after="0"/>
              <w:ind w:left="0" w:right="0" w:hanging="0"/>
              <w:jc w:val="left"/>
              <w:rPr/>
            </w:pPr>
            <w:r>
              <w:rPr/>
              <w:t>​</w:t>
            </w:r>
          </w:p>
        </w:tc>
        <w:tc>
          <w:tcPr>
            <w:tcW w:w="109"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0" w:after="0"/>
              <w:ind w:left="0" w:right="0" w:hanging="0"/>
              <w:jc w:val="left"/>
              <w:rPr/>
            </w:pPr>
            <w:r>
              <w:rPr/>
              <w:t>​</w:t>
            </w:r>
          </w:p>
        </w:tc>
        <w:tc>
          <w:tcPr>
            <w:tcW w:w="3357"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0" w:after="200"/>
              <w:ind w:left="0" w:right="0" w:hanging="0"/>
              <w:jc w:val="left"/>
              <w:rPr/>
            </w:pPr>
            <w:r>
              <w:rPr/>
              <w:t>​</w:t>
            </w:r>
          </w:p>
        </w:tc>
        <w:tc>
          <w:tcPr>
            <w:tcW w:w="109"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41"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40" w:after="0"/>
              <w:ind w:left="0" w:right="0" w:hanging="0"/>
              <w:jc w:val="right"/>
              <w:rPr>
                <w:color w:val="005670"/>
              </w:rPr>
            </w:pPr>
            <w:r>
              <w:rPr>
                <w:color w:val="005670"/>
              </w:rPr>
              <w:t>​</w:t>
            </w:r>
          </w:p>
        </w:tc>
        <w:tc>
          <w:tcPr>
            <w:tcW w:w="1131"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180" w:after="0"/>
              <w:ind w:left="0" w:right="0" w:hanging="0"/>
              <w:jc w:val="left"/>
              <w:rPr>
                <w:color w:val="005670"/>
              </w:rPr>
            </w:pPr>
            <w:r>
              <w:rPr>
                <w:color w:val="005670"/>
              </w:rPr>
              <w:t>​</w:t>
            </w:r>
          </w:p>
        </w:tc>
      </w:tr>
    </w:tbl>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P-10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25" w:name="_8199859b_5368_4275_b476_2ea0817644fa"/>
      <w:bookmarkStart w:id="26" w:name="_e58679e1_237a_4ce6_a180_ca890e2e455d"/>
      <w:bookmarkStart w:id="27" w:name="_8199859b_5368_4275_b476_2ea0817644fa"/>
      <w:bookmarkStart w:id="28" w:name="_e58679e1_237a_4ce6_a180_ca890e2e455d"/>
      <w:bookmarkEnd w:id="27"/>
      <w:bookmarkEnd w:id="28"/>
    </w:p>
    <w:tbl>
      <w:tblPr>
        <w:tblW w:w="7205" w:type="dxa"/>
        <w:jc w:val="left"/>
        <w:tblInd w:w="0" w:type="dxa"/>
        <w:tblLayout w:type="fixed"/>
        <w:tblCellMar>
          <w:top w:w="0" w:type="dxa"/>
          <w:left w:w="0" w:type="dxa"/>
          <w:bottom w:w="0" w:type="dxa"/>
          <w:right w:w="0" w:type="dxa"/>
        </w:tblCellMar>
      </w:tblPr>
      <w:tblGrid>
        <w:gridCol w:w="124"/>
        <w:gridCol w:w="7081"/>
      </w:tblGrid>
      <w:tr>
        <w:trPr/>
        <w:tc>
          <w:tcPr>
            <w:tcW w:w="124" w:type="dxa"/>
            <w:tcBorders/>
            <w:vAlign w:val="center"/>
          </w:tcPr>
          <w:p>
            <w:pPr>
              <w:pStyle w:val="TableContents"/>
              <w:bidi w:val="0"/>
              <w:spacing w:lineRule="auto" w:line="285" w:before="0" w:after="0"/>
              <w:ind w:left="0" w:right="0" w:hanging="0"/>
              <w:jc w:val="both"/>
              <w:rPr/>
            </w:pPr>
            <w:r>
              <w:rPr/>
              <w:t>​</w:t>
            </w:r>
          </w:p>
        </w:tc>
        <w:tc>
          <w:tcPr>
            <w:tcW w:w="7081" w:type="dxa"/>
            <w:tcBorders/>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08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INVITATION TO 2026 ANNUAL GENERAL MEETING OF TRANSOCEAN LTD.</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11"/>
        <w:gridCol w:w="109"/>
        <w:gridCol w:w="1685"/>
        <w:gridCol w:w="109"/>
        <w:gridCol w:w="1813"/>
        <w:gridCol w:w="60"/>
        <w:gridCol w:w="150"/>
        <w:gridCol w:w="1594"/>
        <w:gridCol w:w="109"/>
        <w:gridCol w:w="659"/>
        <w:gridCol w:w="1067"/>
        <w:gridCol w:w="109"/>
        <w:gridCol w:w="109"/>
        <w:gridCol w:w="109"/>
        <w:gridCol w:w="109"/>
        <w:gridCol w:w="873"/>
        <w:gridCol w:w="109"/>
        <w:gridCol w:w="921"/>
      </w:tblGrid>
      <w:tr>
        <w:trPr/>
        <w:tc>
          <w:tcPr>
            <w:tcW w:w="51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61925" cy="29210"/>
                      <wp:effectExtent l="0" t="0" r="0" b="0"/>
                      <wp:wrapNone/>
                      <wp:docPr id="67" name="Frame16"/>
                      <a:graphic xmlns:a="http://schemas.openxmlformats.org/drawingml/2006/main">
                        <a:graphicData uri="http://schemas.microsoft.com/office/word/2010/wordprocessingShape">
                          <wps:wsp>
                            <wps:cNvSpPr txBox="1"/>
                            <wps:spPr>
                              <a:xfrm>
                                <a:off x="0" y="0"/>
                                <a:ext cx="1619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lineRule="auto" w:line="285" w:before="0" w:after="0"/>
              <w:ind w:left="0" w:right="0" w:hanging="0"/>
              <w:jc w:val="both"/>
              <w:rPr/>
            </w:pPr>
            <w:r>
              <w:rPr/>
              <w:t>​</w:t>
            </w:r>
          </w:p>
        </w:tc>
        <w:tc>
          <w:tcPr>
            <w:tcW w:w="168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34670" cy="29210"/>
                      <wp:effectExtent l="0" t="0" r="0" b="0"/>
                      <wp:wrapNone/>
                      <wp:docPr id="68" name="Frame17"/>
                      <a:graphic xmlns:a="http://schemas.openxmlformats.org/drawingml/2006/main">
                        <a:graphicData uri="http://schemas.microsoft.com/office/word/2010/wordprocessingShape">
                          <wps:wsp>
                            <wps:cNvSpPr txBox="1"/>
                            <wps:spPr>
                              <a:xfrm>
                                <a:off x="0" y="0"/>
                                <a:ext cx="5346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lineRule="auto" w:line="285" w:before="0" w:after="0"/>
              <w:ind w:left="0" w:right="0" w:hanging="0"/>
              <w:jc w:val="both"/>
              <w:rPr/>
            </w:pPr>
            <w:r>
              <w:rPr/>
              <w:t>​</w:t>
            </w:r>
          </w:p>
        </w:tc>
        <w:tc>
          <w:tcPr>
            <w:tcW w:w="3617" w:type="dxa"/>
            <w:gridSpan w:val="4"/>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148080" cy="29210"/>
                      <wp:effectExtent l="0" t="0" r="0" b="0"/>
                      <wp:wrapNone/>
                      <wp:docPr id="69" name="Frame18"/>
                      <a:graphic xmlns:a="http://schemas.openxmlformats.org/drawingml/2006/main">
                        <a:graphicData uri="http://schemas.microsoft.com/office/word/2010/wordprocessingShape">
                          <wps:wsp>
                            <wps:cNvSpPr txBox="1"/>
                            <wps:spPr>
                              <a:xfrm>
                                <a:off x="0" y="0"/>
                                <a:ext cx="11480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lineRule="auto" w:line="285" w:before="0" w:after="0"/>
              <w:ind w:left="0" w:right="0" w:hanging="0"/>
              <w:jc w:val="both"/>
              <w:rPr/>
            </w:pPr>
            <w:r>
              <w:rPr/>
              <w:t>​</w:t>
            </w:r>
          </w:p>
        </w:tc>
        <w:tc>
          <w:tcPr>
            <w:tcW w:w="1726"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48005" cy="29210"/>
                      <wp:effectExtent l="0" t="0" r="0" b="0"/>
                      <wp:wrapNone/>
                      <wp:docPr id="70" name="Frame19"/>
                      <a:graphic xmlns:a="http://schemas.openxmlformats.org/drawingml/2006/main">
                        <a:graphicData uri="http://schemas.microsoft.com/office/word/2010/wordprocessingShape">
                          <wps:wsp>
                            <wps:cNvSpPr txBox="1"/>
                            <wps:spPr>
                              <a:xfrm>
                                <a:off x="0" y="0"/>
                                <a:ext cx="5480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7"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8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bottom w:val="single" w:sz="12" w:space="0" w:color="ECA44A"/>
            </w:tcBorders>
            <w:tcMar>
              <w:bottom w:w="28" w:type="dxa"/>
            </w:tcMar>
            <w:vAlign w:val="center"/>
          </w:tcPr>
          <w:p>
            <w:pPr>
              <w:pStyle w:val="TableHeading"/>
              <w:bidi w:val="0"/>
              <w:spacing w:lineRule="auto" w:line="285" w:before="0" w:after="40"/>
              <w:ind w:left="0" w:right="0" w:hanging="0"/>
              <w:jc w:val="center"/>
              <w:rPr>
                <w:rFonts w:ascii="Arial;Helvetica;sans-serif" w:hAnsi="Arial;Helvetica;sans-serif"/>
                <w:b/>
                <w:color w:val="4B4F54"/>
                <w:sz w:val="17"/>
              </w:rPr>
            </w:pPr>
            <w:r>
              <w:rPr>
                <w:rFonts w:ascii="Arial;Helvetica;sans-serif" w:hAnsi="Arial;Helvetica;sans-serif"/>
                <w:b/>
                <w:color w:val="4B4F54"/>
                <w:sz w:val="17"/>
              </w:rPr>
              <w:t>ITEM</w:t>
            </w:r>
          </w:p>
        </w:tc>
        <w:tc>
          <w:tcPr>
            <w:tcW w:w="109" w:type="dxa"/>
            <w:tcBorders/>
            <w:vAlign w:val="center"/>
          </w:tcPr>
          <w:p>
            <w:pPr>
              <w:pStyle w:val="TableHeading"/>
              <w:bidi w:val="0"/>
              <w:spacing w:lineRule="auto" w:line="285" w:before="0" w:after="0"/>
              <w:ind w:left="0" w:right="0" w:hanging="0"/>
              <w:jc w:val="both"/>
              <w:rPr>
                <w:color w:val="4B4F54"/>
              </w:rPr>
            </w:pPr>
            <w:r>
              <w:rPr>
                <w:color w:val="4B4F54"/>
              </w:rPr>
              <w:t>​</w:t>
            </w:r>
          </w:p>
        </w:tc>
        <w:tc>
          <w:tcPr>
            <w:tcW w:w="1685" w:type="dxa"/>
            <w:tcBorders>
              <w:bottom w:val="single" w:sz="12" w:space="0" w:color="ECA44A"/>
            </w:tcBorders>
            <w:tcMar>
              <w:bottom w:w="28" w:type="dxa"/>
            </w:tcMar>
            <w:vAlign w:val="center"/>
          </w:tcPr>
          <w:p>
            <w:pPr>
              <w:pStyle w:val="TableHeading"/>
              <w:bidi w:val="0"/>
              <w:spacing w:lineRule="auto" w:line="285" w:before="0" w:after="40"/>
              <w:ind w:left="0" w:right="0" w:hanging="0"/>
              <w:jc w:val="both"/>
              <w:rPr>
                <w:rFonts w:ascii="Arial;Helvetica;sans-serif" w:hAnsi="Arial;Helvetica;sans-serif"/>
                <w:b/>
                <w:color w:val="4B4F54"/>
                <w:sz w:val="17"/>
              </w:rPr>
            </w:pPr>
            <w:r>
              <w:rPr>
                <w:rFonts w:ascii="Arial;Helvetica;sans-serif" w:hAnsi="Arial;Helvetica;sans-serif"/>
                <w:b/>
                <w:color w:val="4B4F54"/>
                <w:sz w:val="17"/>
              </w:rPr>
              <w:t>DESCRIPTION</w:t>
            </w:r>
          </w:p>
        </w:tc>
        <w:tc>
          <w:tcPr>
            <w:tcW w:w="109" w:type="dxa"/>
            <w:tcBorders/>
            <w:vAlign w:val="center"/>
          </w:tcPr>
          <w:p>
            <w:pPr>
              <w:pStyle w:val="TableHeading"/>
              <w:bidi w:val="0"/>
              <w:spacing w:lineRule="auto" w:line="285" w:before="0" w:after="0"/>
              <w:ind w:left="0" w:right="0" w:hanging="0"/>
              <w:jc w:val="both"/>
              <w:rPr>
                <w:color w:val="4B4F54"/>
              </w:rPr>
            </w:pPr>
            <w:r>
              <w:rPr>
                <w:color w:val="4B4F54"/>
              </w:rPr>
              <w:t>​</w:t>
            </w:r>
          </w:p>
        </w:tc>
        <w:tc>
          <w:tcPr>
            <w:tcW w:w="3617" w:type="dxa"/>
            <w:gridSpan w:val="4"/>
            <w:tcBorders>
              <w:bottom w:val="single" w:sz="12" w:space="0" w:color="ECA44A"/>
            </w:tcBorders>
            <w:tcMar>
              <w:bottom w:w="28" w:type="dxa"/>
            </w:tcMar>
            <w:vAlign w:val="center"/>
          </w:tcPr>
          <w:p>
            <w:pPr>
              <w:pStyle w:val="TableHeading"/>
              <w:bidi w:val="0"/>
              <w:spacing w:lineRule="auto" w:line="285" w:before="0" w:after="40"/>
              <w:ind w:left="0" w:right="0" w:hanging="0"/>
              <w:jc w:val="both"/>
              <w:rPr>
                <w:rFonts w:ascii="Arial;Helvetica;sans-serif" w:hAnsi="Arial;Helvetica;sans-serif"/>
                <w:b/>
                <w:color w:val="4B4F54"/>
                <w:sz w:val="17"/>
              </w:rPr>
            </w:pPr>
            <w:r>
              <w:rPr>
                <w:rFonts w:ascii="Arial;Helvetica;sans-serif" w:hAnsi="Arial;Helvetica;sans-serif"/>
                <w:b/>
                <w:color w:val="4B4F54"/>
                <w:sz w:val="17"/>
              </w:rPr>
              <w:t>PROPOSAL OF THE BOARD OF DIRECTORS</w:t>
            </w:r>
          </w:p>
        </w:tc>
        <w:tc>
          <w:tcPr>
            <w:tcW w:w="109" w:type="dxa"/>
            <w:tcBorders/>
            <w:vAlign w:val="center"/>
          </w:tcPr>
          <w:p>
            <w:pPr>
              <w:pStyle w:val="TableHeading"/>
              <w:bidi w:val="0"/>
              <w:spacing w:lineRule="auto" w:line="285" w:before="0" w:after="0"/>
              <w:ind w:left="0" w:right="0" w:hanging="0"/>
              <w:jc w:val="both"/>
              <w:rPr>
                <w:color w:val="4B4F54"/>
              </w:rPr>
            </w:pPr>
            <w:r>
              <w:rPr>
                <w:color w:val="4B4F54"/>
              </w:rPr>
              <w:t>​</w:t>
            </w:r>
          </w:p>
        </w:tc>
        <w:tc>
          <w:tcPr>
            <w:tcW w:w="1726" w:type="dxa"/>
            <w:gridSpan w:val="2"/>
            <w:tcBorders>
              <w:bottom w:val="single" w:sz="12" w:space="0" w:color="ECA44A"/>
            </w:tcBorders>
            <w:tcMar>
              <w:bottom w:w="28" w:type="dxa"/>
            </w:tcMar>
            <w:vAlign w:val="center"/>
          </w:tcPr>
          <w:p>
            <w:pPr>
              <w:pStyle w:val="TableHeading"/>
              <w:bidi w:val="0"/>
              <w:spacing w:lineRule="auto" w:line="285" w:before="0" w:after="40"/>
              <w:ind w:left="0" w:right="0" w:hanging="0"/>
              <w:jc w:val="center"/>
              <w:rPr>
                <w:rFonts w:ascii="Arial;Helvetica;sans-serif" w:hAnsi="Arial;Helvetica;sans-serif"/>
                <w:b/>
                <w:color w:val="4B4F54"/>
                <w:sz w:val="17"/>
              </w:rPr>
            </w:pPr>
            <w:r>
              <w:rPr>
                <w:rFonts w:ascii="Arial;Helvetica;sans-serif" w:hAnsi="Arial;Helvetica;sans-serif"/>
                <w:b/>
                <w:color w:val="4B4F54"/>
                <w:sz w:val="17"/>
              </w:rPr>
              <w:t>BOARD</w:t>
              <w:br/>
              <w:t>RECOMMENDATION</w:t>
            </w:r>
          </w:p>
        </w:tc>
        <w:tc>
          <w:tcPr>
            <w:tcW w:w="327"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8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top w:val="single" w:sz="2" w:space="0" w:color="E7E6E6"/>
            </w:tcBorders>
            <w:tcMar>
              <w:top w:w="28" w:type="dxa"/>
            </w:tcMar>
            <w:vAlign w:val="center"/>
          </w:tcPr>
          <w:p>
            <w:pPr>
              <w:pStyle w:val="TableContents"/>
              <w:bidi w:val="0"/>
              <w:spacing w:lineRule="auto" w:line="285" w:before="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3</w:t>
            </w:r>
          </w:p>
        </w:tc>
        <w:tc>
          <w:tcPr>
            <w:tcW w:w="109" w:type="dxa"/>
            <w:tcBorders>
              <w:top w:val="single" w:sz="2" w:space="0" w:color="E7E6E6"/>
            </w:tcBorders>
            <w:tcMar>
              <w:top w:w="28" w:type="dxa"/>
            </w:tcMar>
            <w:vAlign w:val="center"/>
          </w:tcPr>
          <w:p>
            <w:pPr>
              <w:pStyle w:val="TableContents"/>
              <w:bidi w:val="0"/>
              <w:spacing w:lineRule="auto" w:line="285" w:before="0" w:after="0"/>
              <w:ind w:left="0" w:right="0" w:hanging="0"/>
              <w:jc w:val="both"/>
              <w:rPr/>
            </w:pPr>
            <w:r>
              <w:rPr/>
              <w:t>​</w:t>
            </w:r>
          </w:p>
        </w:tc>
        <w:tc>
          <w:tcPr>
            <w:tcW w:w="1685" w:type="dxa"/>
            <w:tcBorders>
              <w:top w:val="single" w:sz="2" w:space="0" w:color="E7E6E6"/>
            </w:tcBorders>
            <w:tcMar>
              <w:top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Appropriation of the Accumulated Losses for Fiscal Year 2025</w:t>
            </w:r>
          </w:p>
        </w:tc>
        <w:tc>
          <w:tcPr>
            <w:tcW w:w="109" w:type="dxa"/>
            <w:tcBorders>
              <w:top w:val="single" w:sz="2" w:space="0" w:color="E7E6E6"/>
            </w:tcBorders>
            <w:tcMar>
              <w:top w:w="28" w:type="dxa"/>
            </w:tcMar>
            <w:vAlign w:val="center"/>
          </w:tcPr>
          <w:p>
            <w:pPr>
              <w:pStyle w:val="TableContents"/>
              <w:bidi w:val="0"/>
              <w:spacing w:lineRule="auto" w:line="285" w:before="0" w:after="0"/>
              <w:ind w:left="0" w:right="0" w:hanging="0"/>
              <w:jc w:val="left"/>
              <w:rPr/>
            </w:pPr>
            <w:r>
              <w:rPr/>
              <w:t>​</w:t>
            </w:r>
          </w:p>
        </w:tc>
        <w:tc>
          <w:tcPr>
            <w:tcW w:w="3617" w:type="dxa"/>
            <w:gridSpan w:val="4"/>
            <w:tcBorders>
              <w:top w:val="single" w:sz="2" w:space="0" w:color="E7E6E6"/>
            </w:tcBorders>
            <w:tcMar>
              <w:top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The Board of Directors proposes that the accumulated losses of the Company be carried forward.</w:t>
            </w:r>
          </w:p>
        </w:tc>
        <w:tc>
          <w:tcPr>
            <w:tcW w:w="109" w:type="dxa"/>
            <w:tcBorders>
              <w:top w:val="single" w:sz="2" w:space="0" w:color="E7E6E6"/>
            </w:tcBorders>
            <w:tcMar>
              <w:top w:w="28" w:type="dxa"/>
            </w:tcMar>
            <w:vAlign w:val="center"/>
          </w:tcPr>
          <w:p>
            <w:pPr>
              <w:pStyle w:val="TableContents"/>
              <w:bidi w:val="0"/>
              <w:spacing w:lineRule="auto" w:line="285" w:before="0" w:after="0"/>
              <w:ind w:left="0" w:right="0" w:hanging="0"/>
              <w:jc w:val="both"/>
              <w:rPr/>
            </w:pPr>
            <w:r>
              <w:rPr/>
              <w:t>​</w:t>
            </w:r>
          </w:p>
        </w:tc>
        <w:tc>
          <w:tcPr>
            <w:tcW w:w="659" w:type="dxa"/>
            <w:tcBorders>
              <w:top w:val="single" w:sz="2" w:space="0" w:color="E7E6E6"/>
            </w:tcBorders>
            <w:tcMar>
              <w:top w:w="28" w:type="dxa"/>
            </w:tcMar>
            <w:vAlign w:val="center"/>
          </w:tcPr>
          <w:p>
            <w:pPr>
              <w:pStyle w:val="TableContents"/>
              <w:bidi w:val="0"/>
              <w:spacing w:lineRule="auto" w:line="285" w:before="40" w:after="0"/>
              <w:ind w:left="0" w:right="0" w:hanging="0"/>
              <w:jc w:val="right"/>
              <w:rPr>
                <w:color w:val="005670"/>
              </w:rPr>
            </w:pPr>
            <w:r>
              <w:rPr>
                <w:color w:val="005670"/>
              </w:rPr>
              <w:t xml:space="preserve">✓ </w:t>
            </w:r>
          </w:p>
        </w:tc>
        <w:tc>
          <w:tcPr>
            <w:tcW w:w="1067" w:type="dxa"/>
            <w:tcBorders>
              <w:top w:val="single" w:sz="2" w:space="0" w:color="E7E6E6"/>
            </w:tcBorders>
            <w:tcMar>
              <w:top w:w="28" w:type="dxa"/>
            </w:tcMar>
            <w:vAlign w:val="center"/>
          </w:tcPr>
          <w:p>
            <w:pPr>
              <w:pStyle w:val="TableContents"/>
              <w:bidi w:val="0"/>
              <w:spacing w:lineRule="auto" w:line="285" w:before="18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c>
          <w:tcPr>
            <w:tcW w:w="327"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8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vAlign w:val="center"/>
          </w:tcPr>
          <w:p>
            <w:pPr>
              <w:pStyle w:val="TableContents"/>
              <w:bidi w:val="0"/>
              <w:spacing w:lineRule="auto" w:line="285" w:before="0" w:after="0"/>
              <w:ind w:left="0" w:right="0" w:hanging="0"/>
              <w:jc w:val="center"/>
              <w:rPr>
                <w:color w:val="005670"/>
              </w:rPr>
            </w:pPr>
            <w:r>
              <w:rPr>
                <w:color w:val="005670"/>
              </w:rPr>
              <w:t>​</w:t>
            </w:r>
          </w:p>
        </w:tc>
        <w:tc>
          <w:tcPr>
            <w:tcW w:w="109" w:type="dxa"/>
            <w:tcBorders/>
            <w:vAlign w:val="center"/>
          </w:tcPr>
          <w:p>
            <w:pPr>
              <w:pStyle w:val="TableContents"/>
              <w:bidi w:val="0"/>
              <w:spacing w:lineRule="auto" w:line="285" w:before="0" w:after="0"/>
              <w:ind w:left="0" w:right="0" w:hanging="0"/>
              <w:jc w:val="both"/>
              <w:rPr/>
            </w:pPr>
            <w:r>
              <w:rPr/>
              <w:t>​</w:t>
            </w:r>
          </w:p>
        </w:tc>
        <w:tc>
          <w:tcPr>
            <w:tcW w:w="1685" w:type="dxa"/>
            <w:tcBorders/>
            <w:vAlign w:val="center"/>
          </w:tcPr>
          <w:p>
            <w:pPr>
              <w:pStyle w:val="TableContents"/>
              <w:bidi w:val="0"/>
              <w:spacing w:lineRule="auto" w:line="285" w:before="0" w:after="20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73" w:type="dxa"/>
            <w:gridSpan w:val="2"/>
            <w:tcBorders>
              <w:bottom w:val="single" w:sz="12" w:space="0" w:color="ECA44A"/>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4B4F54"/>
                <w:sz w:val="17"/>
              </w:rPr>
            </w:pPr>
            <w:r>
              <w:rPr>
                <w:rFonts w:ascii="Arial;Helvetica;sans-serif" w:hAnsi="Arial;Helvetica;sans-serif"/>
                <w:b/>
                <w:color w:val="4B4F54"/>
                <w:sz w:val="17"/>
              </w:rPr>
              <w:t>APPROPRIATION OF</w:t>
              <w:br/>
              <w:t>ACCUMULATED LOSSES</w:t>
            </w:r>
          </w:p>
        </w:tc>
        <w:tc>
          <w:tcPr>
            <w:tcW w:w="150" w:type="dxa"/>
            <w:tcBorders/>
            <w:vAlign w:val="center"/>
          </w:tcPr>
          <w:p>
            <w:pPr>
              <w:pStyle w:val="TableContents"/>
              <w:bidi w:val="0"/>
              <w:spacing w:lineRule="auto" w:line="285" w:before="20" w:after="0"/>
              <w:ind w:left="0" w:right="0" w:hanging="0"/>
              <w:jc w:val="left"/>
              <w:rPr/>
            </w:pPr>
            <w:r>
              <w:rPr/>
              <w:t>​</w:t>
            </w:r>
          </w:p>
        </w:tc>
        <w:tc>
          <w:tcPr>
            <w:tcW w:w="1594" w:type="dxa"/>
            <w:tcBorders/>
            <w:vAlign w:val="center"/>
          </w:tcPr>
          <w:p>
            <w:pPr>
              <w:pStyle w:val="TableContents"/>
              <w:bidi w:val="0"/>
              <w:spacing w:lineRule="auto" w:line="285" w:before="20" w:after="0"/>
              <w:ind w:left="0" w:right="0" w:hanging="0"/>
              <w:jc w:val="center"/>
              <w:rPr>
                <w:rFonts w:ascii="Arial;Helvetica;sans-serif" w:hAnsi="Arial;Helvetica;sans-serif"/>
                <w:sz w:val="16"/>
              </w:rPr>
            </w:pPr>
            <w:r>
              <w:rPr>
                <w:rFonts w:ascii="Arial;Helvetica;sans-serif" w:hAnsi="Arial;Helvetica;sans-serif"/>
                <w:b/>
                <w:color w:val="4B4F54"/>
                <w:sz w:val="17"/>
              </w:rPr>
              <w:t>IN U.S. $</w:t>
            </w:r>
            <w:r>
              <w:rPr>
                <w:rFonts w:ascii="Arial;Helvetica;sans-serif" w:hAnsi="Arial;Helvetica;sans-serif"/>
                <w:color w:val="4B4F54"/>
                <w:sz w:val="17"/>
              </w:rPr>
              <w:br/>
            </w:r>
            <w:r>
              <w:rPr>
                <w:rFonts w:ascii="Arial;Helvetica;sans-serif" w:hAnsi="Arial;Helvetica;sans-serif"/>
                <w:b/>
                <w:color w:val="4B4F54"/>
                <w:sz w:val="17"/>
              </w:rPr>
              <w:t>THOUSANDS</w:t>
            </w:r>
          </w:p>
        </w:tc>
        <w:tc>
          <w:tcPr>
            <w:tcW w:w="109" w:type="dxa"/>
            <w:tcBorders/>
            <w:vAlign w:val="center"/>
          </w:tcPr>
          <w:p>
            <w:pPr>
              <w:pStyle w:val="TableContents"/>
              <w:bidi w:val="0"/>
              <w:spacing w:lineRule="auto" w:line="285" w:before="0" w:after="0"/>
              <w:ind w:left="0" w:right="0" w:hanging="0"/>
              <w:jc w:val="both"/>
              <w:rPr/>
            </w:pPr>
            <w:r>
              <w:rPr/>
              <w:t>​</w:t>
            </w:r>
          </w:p>
        </w:tc>
        <w:tc>
          <w:tcPr>
            <w:tcW w:w="1726" w:type="dxa"/>
            <w:gridSpan w:val="2"/>
            <w:tcBorders/>
            <w:vAlign w:val="center"/>
          </w:tcPr>
          <w:p>
            <w:pPr>
              <w:pStyle w:val="TableContents"/>
              <w:bidi w:val="0"/>
              <w:spacing w:lineRule="auto" w:line="285" w:before="40" w:after="0"/>
              <w:ind w:left="0" w:right="0" w:hanging="0"/>
              <w:jc w:val="center"/>
              <w:rPr>
                <w:color w:val="005670"/>
              </w:rPr>
            </w:pPr>
            <w:r>
              <w:rPr>
                <w:color w:val="005670"/>
              </w:rPr>
              <w:t>​</w:t>
            </w:r>
          </w:p>
        </w:tc>
        <w:tc>
          <w:tcPr>
            <w:tcW w:w="327"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8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vAlign w:val="center"/>
          </w:tcPr>
          <w:p>
            <w:pPr>
              <w:pStyle w:val="TableContents"/>
              <w:bidi w:val="0"/>
              <w:spacing w:lineRule="auto" w:line="285" w:before="0" w:after="0"/>
              <w:ind w:left="0" w:right="0" w:hanging="0"/>
              <w:jc w:val="center"/>
              <w:rPr>
                <w:color w:val="005670"/>
              </w:rPr>
            </w:pPr>
            <w:r>
              <w:rPr>
                <w:color w:val="005670"/>
              </w:rPr>
              <w:t>​</w:t>
            </w:r>
          </w:p>
        </w:tc>
        <w:tc>
          <w:tcPr>
            <w:tcW w:w="109" w:type="dxa"/>
            <w:tcBorders/>
            <w:vAlign w:val="center"/>
          </w:tcPr>
          <w:p>
            <w:pPr>
              <w:pStyle w:val="TableContents"/>
              <w:bidi w:val="0"/>
              <w:spacing w:lineRule="auto" w:line="285" w:before="0" w:after="0"/>
              <w:ind w:left="0" w:right="0" w:hanging="0"/>
              <w:jc w:val="both"/>
              <w:rPr/>
            </w:pPr>
            <w:r>
              <w:rPr/>
              <w:t>​</w:t>
            </w:r>
          </w:p>
        </w:tc>
        <w:tc>
          <w:tcPr>
            <w:tcW w:w="1685" w:type="dxa"/>
            <w:tcBorders/>
            <w:vAlign w:val="center"/>
          </w:tcPr>
          <w:p>
            <w:pPr>
              <w:pStyle w:val="TableContents"/>
              <w:bidi w:val="0"/>
              <w:spacing w:lineRule="auto" w:line="285" w:before="0" w:after="20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73" w:type="dxa"/>
            <w:gridSpan w:val="2"/>
            <w:tcBorders>
              <w:bottom w:val="single" w:sz="2" w:space="0" w:color="D9D9D9"/>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Accumulated losses brought forward from previous years</w:t>
            </w:r>
          </w:p>
        </w:tc>
        <w:tc>
          <w:tcPr>
            <w:tcW w:w="150" w:type="dxa"/>
            <w:tcBorders>
              <w:bottom w:val="single" w:sz="2" w:space="0" w:color="D9D9D9"/>
            </w:tcBorders>
            <w:tcMar>
              <w:bottom w:w="28" w:type="dxa"/>
            </w:tcMar>
            <w:vAlign w:val="center"/>
          </w:tcPr>
          <w:p>
            <w:pPr>
              <w:pStyle w:val="TableContents"/>
              <w:bidi w:val="0"/>
              <w:spacing w:lineRule="auto" w:line="285" w:before="0" w:after="0"/>
              <w:ind w:left="0" w:right="0" w:hanging="0"/>
              <w:jc w:val="left"/>
              <w:rPr/>
            </w:pPr>
            <w:r>
              <w:rPr/>
              <w:t>​</w:t>
            </w:r>
          </w:p>
        </w:tc>
        <w:tc>
          <w:tcPr>
            <w:tcW w:w="1594"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(12,641,547)</w:t>
            </w:r>
          </w:p>
        </w:tc>
        <w:tc>
          <w:tcPr>
            <w:tcW w:w="109" w:type="dxa"/>
            <w:tcBorders/>
            <w:vAlign w:val="center"/>
          </w:tcPr>
          <w:p>
            <w:pPr>
              <w:pStyle w:val="TableContents"/>
              <w:bidi w:val="0"/>
              <w:spacing w:lineRule="auto" w:line="285" w:before="0" w:after="0"/>
              <w:ind w:left="0" w:right="0" w:hanging="0"/>
              <w:jc w:val="both"/>
              <w:rPr/>
            </w:pPr>
            <w:r>
              <w:rPr/>
              <w:t>​</w:t>
            </w:r>
          </w:p>
        </w:tc>
        <w:tc>
          <w:tcPr>
            <w:tcW w:w="1726" w:type="dxa"/>
            <w:gridSpan w:val="2"/>
            <w:tcBorders/>
            <w:vAlign w:val="center"/>
          </w:tcPr>
          <w:p>
            <w:pPr>
              <w:pStyle w:val="TableContents"/>
              <w:bidi w:val="0"/>
              <w:spacing w:lineRule="auto" w:line="285" w:before="0" w:after="0"/>
              <w:ind w:left="0" w:right="0" w:hanging="0"/>
              <w:jc w:val="center"/>
              <w:rPr>
                <w:color w:val="005670"/>
              </w:rPr>
            </w:pPr>
            <w:r>
              <w:rPr>
                <w:color w:val="005670"/>
              </w:rPr>
              <w:t>​</w:t>
            </w:r>
          </w:p>
        </w:tc>
        <w:tc>
          <w:tcPr>
            <w:tcW w:w="327"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8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vAlign w:val="center"/>
          </w:tcPr>
          <w:p>
            <w:pPr>
              <w:pStyle w:val="TableContents"/>
              <w:bidi w:val="0"/>
              <w:spacing w:lineRule="auto" w:line="285" w:before="0" w:after="0"/>
              <w:ind w:left="0" w:right="0" w:hanging="0"/>
              <w:jc w:val="center"/>
              <w:rPr>
                <w:color w:val="005670"/>
              </w:rPr>
            </w:pPr>
            <w:r>
              <w:rPr>
                <w:color w:val="005670"/>
              </w:rPr>
              <w:t>​</w:t>
            </w:r>
          </w:p>
        </w:tc>
        <w:tc>
          <w:tcPr>
            <w:tcW w:w="109" w:type="dxa"/>
            <w:tcBorders/>
            <w:vAlign w:val="center"/>
          </w:tcPr>
          <w:p>
            <w:pPr>
              <w:pStyle w:val="TableContents"/>
              <w:bidi w:val="0"/>
              <w:spacing w:lineRule="auto" w:line="285" w:before="0" w:after="0"/>
              <w:ind w:left="0" w:right="0" w:hanging="0"/>
              <w:jc w:val="both"/>
              <w:rPr/>
            </w:pPr>
            <w:r>
              <w:rPr/>
              <w:t>​</w:t>
            </w:r>
          </w:p>
        </w:tc>
        <w:tc>
          <w:tcPr>
            <w:tcW w:w="1685" w:type="dxa"/>
            <w:tcBorders/>
            <w:vAlign w:val="center"/>
          </w:tcPr>
          <w:p>
            <w:pPr>
              <w:pStyle w:val="TableContents"/>
              <w:bidi w:val="0"/>
              <w:spacing w:lineRule="auto" w:line="285" w:before="0" w:after="20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73" w:type="dxa"/>
            <w:gridSpan w:val="2"/>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loss for the year</w:t>
            </w:r>
          </w:p>
        </w:tc>
        <w:tc>
          <w:tcPr>
            <w:tcW w:w="150"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pPr>
            <w:r>
              <w:rPr/>
              <w:t>​</w:t>
            </w:r>
          </w:p>
        </w:tc>
        <w:tc>
          <w:tcPr>
            <w:tcW w:w="159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(73,562)</w:t>
            </w:r>
          </w:p>
        </w:tc>
        <w:tc>
          <w:tcPr>
            <w:tcW w:w="109" w:type="dxa"/>
            <w:tcBorders/>
            <w:vAlign w:val="center"/>
          </w:tcPr>
          <w:p>
            <w:pPr>
              <w:pStyle w:val="TableContents"/>
              <w:bidi w:val="0"/>
              <w:spacing w:lineRule="auto" w:line="285" w:before="0" w:after="0"/>
              <w:ind w:left="0" w:right="0" w:hanging="0"/>
              <w:jc w:val="both"/>
              <w:rPr/>
            </w:pPr>
            <w:r>
              <w:rPr/>
              <w:t>​</w:t>
            </w:r>
          </w:p>
        </w:tc>
        <w:tc>
          <w:tcPr>
            <w:tcW w:w="1726" w:type="dxa"/>
            <w:gridSpan w:val="2"/>
            <w:tcBorders/>
            <w:vAlign w:val="center"/>
          </w:tcPr>
          <w:p>
            <w:pPr>
              <w:pStyle w:val="TableContents"/>
              <w:bidi w:val="0"/>
              <w:spacing w:lineRule="auto" w:line="285" w:before="0" w:after="0"/>
              <w:ind w:left="0" w:right="0" w:hanging="0"/>
              <w:jc w:val="center"/>
              <w:rPr>
                <w:color w:val="005670"/>
              </w:rPr>
            </w:pPr>
            <w:r>
              <w:rPr>
                <w:color w:val="005670"/>
              </w:rPr>
              <w:t>​</w:t>
            </w:r>
          </w:p>
        </w:tc>
        <w:tc>
          <w:tcPr>
            <w:tcW w:w="327"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8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vAlign w:val="center"/>
          </w:tcPr>
          <w:p>
            <w:pPr>
              <w:pStyle w:val="TableContents"/>
              <w:bidi w:val="0"/>
              <w:spacing w:lineRule="auto" w:line="285" w:before="0" w:after="0"/>
              <w:ind w:left="0" w:right="0" w:hanging="0"/>
              <w:jc w:val="center"/>
              <w:rPr>
                <w:color w:val="005670"/>
              </w:rPr>
            </w:pPr>
            <w:r>
              <w:rPr>
                <w:color w:val="005670"/>
              </w:rPr>
              <w:t>​</w:t>
            </w:r>
          </w:p>
        </w:tc>
        <w:tc>
          <w:tcPr>
            <w:tcW w:w="109" w:type="dxa"/>
            <w:tcBorders/>
            <w:vAlign w:val="center"/>
          </w:tcPr>
          <w:p>
            <w:pPr>
              <w:pStyle w:val="TableContents"/>
              <w:bidi w:val="0"/>
              <w:spacing w:lineRule="auto" w:line="285" w:before="0" w:after="0"/>
              <w:ind w:left="0" w:right="0" w:hanging="0"/>
              <w:jc w:val="both"/>
              <w:rPr/>
            </w:pPr>
            <w:r>
              <w:rPr/>
              <w:t>​</w:t>
            </w:r>
          </w:p>
        </w:tc>
        <w:tc>
          <w:tcPr>
            <w:tcW w:w="1685" w:type="dxa"/>
            <w:tcBorders/>
            <w:vAlign w:val="center"/>
          </w:tcPr>
          <w:p>
            <w:pPr>
              <w:pStyle w:val="TableContents"/>
              <w:bidi w:val="0"/>
              <w:spacing w:lineRule="auto" w:line="285" w:before="0" w:after="20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73" w:type="dxa"/>
            <w:gridSpan w:val="2"/>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Accumulated losses to be brought forward</w:t>
            </w:r>
          </w:p>
        </w:tc>
        <w:tc>
          <w:tcPr>
            <w:tcW w:w="150"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20" w:after="0"/>
              <w:ind w:left="0" w:right="0" w:hanging="0"/>
              <w:jc w:val="left"/>
              <w:rPr/>
            </w:pPr>
            <w:r>
              <w:rPr/>
              <w:t>​</w:t>
            </w:r>
          </w:p>
        </w:tc>
        <w:tc>
          <w:tcPr>
            <w:tcW w:w="159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(12,715,109)</w:t>
            </w:r>
          </w:p>
        </w:tc>
        <w:tc>
          <w:tcPr>
            <w:tcW w:w="109" w:type="dxa"/>
            <w:tcBorders/>
            <w:vAlign w:val="center"/>
          </w:tcPr>
          <w:p>
            <w:pPr>
              <w:pStyle w:val="TableContents"/>
              <w:bidi w:val="0"/>
              <w:spacing w:lineRule="auto" w:line="285" w:before="0" w:after="0"/>
              <w:ind w:left="0" w:right="0" w:hanging="0"/>
              <w:jc w:val="both"/>
              <w:rPr/>
            </w:pPr>
            <w:r>
              <w:rPr/>
              <w:t>​</w:t>
            </w:r>
          </w:p>
        </w:tc>
        <w:tc>
          <w:tcPr>
            <w:tcW w:w="1726" w:type="dxa"/>
            <w:gridSpan w:val="2"/>
            <w:tcBorders/>
            <w:vAlign w:val="center"/>
          </w:tcPr>
          <w:p>
            <w:pPr>
              <w:pStyle w:val="TableContents"/>
              <w:bidi w:val="0"/>
              <w:spacing w:lineRule="auto" w:line="285" w:before="40" w:after="0"/>
              <w:ind w:left="0" w:right="0" w:hanging="0"/>
              <w:jc w:val="center"/>
              <w:rPr>
                <w:color w:val="005670"/>
              </w:rPr>
            </w:pPr>
            <w:r>
              <w:rPr>
                <w:color w:val="005670"/>
              </w:rPr>
              <w:t>​</w:t>
            </w:r>
          </w:p>
        </w:tc>
        <w:tc>
          <w:tcPr>
            <w:tcW w:w="327"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8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bottom w:val="single" w:sz="2" w:space="0" w:color="D9D9D9"/>
            </w:tcBorders>
            <w:tcMar>
              <w:bottom w:w="28" w:type="dxa"/>
            </w:tcMar>
            <w:vAlign w:val="center"/>
          </w:tcPr>
          <w:p>
            <w:pPr>
              <w:pStyle w:val="TableContents"/>
              <w:bidi w:val="0"/>
              <w:spacing w:lineRule="auto" w:line="285" w:before="0" w:after="0"/>
              <w:ind w:left="0" w:right="0" w:hanging="0"/>
              <w:jc w:val="left"/>
              <w:rPr/>
            </w:pPr>
            <w:r>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left"/>
              <w:rPr/>
            </w:pPr>
            <w:r>
              <w:rPr/>
              <w:t>​</w:t>
            </w:r>
          </w:p>
        </w:tc>
        <w:tc>
          <w:tcPr>
            <w:tcW w:w="1685" w:type="dxa"/>
            <w:tcBorders>
              <w:bottom w:val="single" w:sz="2" w:space="0" w:color="D9D9D9"/>
            </w:tcBorders>
            <w:tcMar>
              <w:bottom w:w="28" w:type="dxa"/>
            </w:tcMar>
            <w:vAlign w:val="center"/>
          </w:tcPr>
          <w:p>
            <w:pPr>
              <w:pStyle w:val="TableContents"/>
              <w:bidi w:val="0"/>
              <w:spacing w:lineRule="auto" w:line="285" w:before="0" w:after="0"/>
              <w:ind w:left="0" w:right="0" w:hanging="0"/>
              <w:jc w:val="left"/>
              <w:rPr/>
            </w:pPr>
            <w:r>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left"/>
              <w:rPr/>
            </w:pPr>
            <w:r>
              <w:rPr/>
              <w:t>​</w:t>
            </w:r>
          </w:p>
        </w:tc>
        <w:tc>
          <w:tcPr>
            <w:tcW w:w="3617" w:type="dxa"/>
            <w:gridSpan w:val="4"/>
            <w:tcBorders>
              <w:bottom w:val="single" w:sz="2" w:space="0" w:color="D9D9D9"/>
            </w:tcBorders>
            <w:tcMar>
              <w:bottom w:w="28" w:type="dxa"/>
            </w:tcMar>
            <w:vAlign w:val="center"/>
          </w:tcPr>
          <w:p>
            <w:pPr>
              <w:pStyle w:val="TableContents"/>
              <w:bidi w:val="0"/>
              <w:spacing w:lineRule="auto" w:line="285" w:before="0" w:after="0"/>
              <w:ind w:left="0" w:right="0" w:hanging="0"/>
              <w:jc w:val="left"/>
              <w:rPr/>
            </w:pPr>
            <w:r>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left"/>
              <w:rPr/>
            </w:pPr>
            <w:r>
              <w:rPr/>
              <w:t>​</w:t>
            </w:r>
          </w:p>
        </w:tc>
        <w:tc>
          <w:tcPr>
            <w:tcW w:w="1726" w:type="dxa"/>
            <w:gridSpan w:val="2"/>
            <w:tcBorders>
              <w:bottom w:val="single" w:sz="2" w:space="0" w:color="D9D9D9"/>
            </w:tcBorders>
            <w:tcMar>
              <w:bottom w:w="28" w:type="dxa"/>
            </w:tcMar>
            <w:vAlign w:val="center"/>
          </w:tcPr>
          <w:p>
            <w:pPr>
              <w:pStyle w:val="TableContents"/>
              <w:bidi w:val="0"/>
              <w:spacing w:lineRule="auto" w:line="285" w:before="0" w:after="0"/>
              <w:ind w:left="0" w:right="0" w:hanging="0"/>
              <w:jc w:val="left"/>
              <w:rPr/>
            </w:pPr>
            <w:r>
              <w:rPr/>
              <w:t>​</w:t>
            </w:r>
          </w:p>
        </w:tc>
        <w:tc>
          <w:tcPr>
            <w:tcW w:w="327"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8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top w:val="single" w:sz="2" w:space="0" w:color="D9D9D9"/>
            </w:tcBorders>
            <w:tcMar>
              <w:top w:w="28" w:type="dxa"/>
            </w:tcMar>
            <w:vAlign w:val="center"/>
          </w:tcPr>
          <w:p>
            <w:pPr>
              <w:pStyle w:val="TableContents"/>
              <w:bidi w:val="0"/>
              <w:spacing w:lineRule="auto" w:line="285" w:before="4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4</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left"/>
              <w:rPr/>
            </w:pPr>
            <w:r>
              <w:rPr/>
              <w:t>​</w:t>
            </w:r>
          </w:p>
        </w:tc>
        <w:tc>
          <w:tcPr>
            <w:tcW w:w="1685" w:type="dxa"/>
            <w:tcBorders>
              <w:top w:val="single" w:sz="2" w:space="0" w:color="D9D9D9"/>
            </w:tcBorders>
            <w:tcMar>
              <w:top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Approval of Shares Authorized for Issuance</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left"/>
              <w:rPr/>
            </w:pPr>
            <w:r>
              <w:rPr/>
              <w:t>​</w:t>
            </w:r>
          </w:p>
        </w:tc>
        <w:tc>
          <w:tcPr>
            <w:tcW w:w="3617" w:type="dxa"/>
            <w:gridSpan w:val="4"/>
            <w:tcBorders>
              <w:top w:val="single" w:sz="2" w:space="0" w:color="D9D9D9"/>
            </w:tcBorders>
            <w:tcMar>
              <w:top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The Board of Directors proposes that its authority to issue shares using a general capital authorization be approved and any share issuances thereunder be limited to 240,801,936 shares, representing approximately 20% of the Company’s issued shares as of March 3, 2026, for a term expiring on May 22, 2027.</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both"/>
              <w:rPr/>
            </w:pPr>
            <w:r>
              <w:rPr/>
              <w:t>​</w:t>
            </w:r>
          </w:p>
        </w:tc>
        <w:tc>
          <w:tcPr>
            <w:tcW w:w="659" w:type="dxa"/>
            <w:tcBorders>
              <w:top w:val="single" w:sz="2" w:space="0" w:color="D9D9D9"/>
            </w:tcBorders>
            <w:tcMar>
              <w:top w:w="28" w:type="dxa"/>
            </w:tcMar>
            <w:vAlign w:val="center"/>
          </w:tcPr>
          <w:p>
            <w:pPr>
              <w:pStyle w:val="TableContents"/>
              <w:bidi w:val="0"/>
              <w:spacing w:lineRule="auto" w:line="285" w:before="40" w:after="0"/>
              <w:ind w:left="0" w:right="0" w:hanging="0"/>
              <w:jc w:val="right"/>
              <w:rPr>
                <w:color w:val="005670"/>
              </w:rPr>
            </w:pPr>
            <w:r>
              <w:rPr>
                <w:color w:val="005670"/>
              </w:rPr>
              <w:t xml:space="preserve">✓ </w:t>
            </w:r>
          </w:p>
        </w:tc>
        <w:tc>
          <w:tcPr>
            <w:tcW w:w="1067" w:type="dxa"/>
            <w:tcBorders>
              <w:top w:val="single" w:sz="2" w:space="0" w:color="D9D9D9"/>
            </w:tcBorders>
            <w:tcMar>
              <w:top w:w="28" w:type="dxa"/>
            </w:tcMar>
            <w:vAlign w:val="center"/>
          </w:tcPr>
          <w:p>
            <w:pPr>
              <w:pStyle w:val="TableContents"/>
              <w:bidi w:val="0"/>
              <w:spacing w:lineRule="auto" w:line="285" w:before="18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c>
          <w:tcPr>
            <w:tcW w:w="327"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8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685"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617" w:type="dxa"/>
            <w:gridSpan w:val="4"/>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65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67"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27"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8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vMerge w:val="restart"/>
            <w:tcBorders/>
            <w:vAlign w:val="center"/>
          </w:tcPr>
          <w:p>
            <w:pPr>
              <w:pStyle w:val="TableContents"/>
              <w:bidi w:val="0"/>
              <w:spacing w:lineRule="auto" w:line="285" w:before="40" w:after="0"/>
              <w:ind w:left="0" w:right="0" w:hanging="0"/>
              <w:jc w:val="center"/>
              <w:rPr>
                <w:rFonts w:ascii="Arial;Helvetica;sans-serif" w:hAnsi="Arial;Helvetica;sans-serif"/>
                <w:b/>
                <w:i w:val="false"/>
                <w:caps w:val="false"/>
                <w:smallCaps w:val="false"/>
                <w:color w:val="005670"/>
                <w:sz w:val="28"/>
              </w:rPr>
            </w:pPr>
            <w:r>
              <w:rPr>
                <w:rFonts w:ascii="Arial;Helvetica;sans-serif" w:hAnsi="Arial;Helvetica;sans-serif"/>
                <w:b/>
                <w:i w:val="false"/>
                <w:caps w:val="false"/>
                <w:smallCaps w:val="false"/>
                <w:color w:val="005670"/>
                <w:sz w:val="28"/>
              </w:rPr>
              <w:t>5</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both"/>
              <w:rPr/>
            </w:pPr>
            <w:r>
              <w:rPr/>
              <w:t>​</w:t>
            </w:r>
          </w:p>
        </w:tc>
        <w:tc>
          <w:tcPr>
            <w:tcW w:w="1685" w:type="dxa"/>
            <w:vMerge w:val="restart"/>
            <w:tcBorders/>
            <w:vAlign w:val="center"/>
          </w:tcPr>
          <w:p>
            <w:pPr>
              <w:pStyle w:val="TableContents"/>
              <w:bidi w:val="0"/>
              <w:spacing w:lineRule="auto" w:line="285" w:before="4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Election of 11 Directors, Each for a Term Extending Until Completion of the Next Annual General Meeting</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left"/>
              <w:rPr/>
            </w:pPr>
            <w:r>
              <w:rPr/>
              <w:t>​</w:t>
            </w:r>
          </w:p>
        </w:tc>
        <w:tc>
          <w:tcPr>
            <w:tcW w:w="3617" w:type="dxa"/>
            <w:gridSpan w:val="4"/>
            <w:vMerge w:val="restart"/>
            <w:tcBorders/>
            <w:vAlign w:val="center"/>
          </w:tcPr>
          <w:p>
            <w:pPr>
              <w:pStyle w:val="TableContents"/>
              <w:bidi w:val="0"/>
              <w:spacing w:lineRule="auto" w:line="285" w:before="4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Board of Directors has nominated the following candidates for election to the Board of Directors of the Company, each for a term extending until completion of the next annual general meeting.</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both"/>
              <w:rPr/>
            </w:pPr>
            <w:r>
              <w:rPr/>
              <w:t>​</w:t>
            </w:r>
          </w:p>
        </w:tc>
        <w:tc>
          <w:tcPr>
            <w:tcW w:w="659" w:type="dxa"/>
            <w:tcBorders>
              <w:top w:val="single" w:sz="2" w:space="0" w:color="D9D9D9"/>
            </w:tcBorders>
            <w:tcMar>
              <w:top w:w="28" w:type="dxa"/>
            </w:tcMar>
            <w:vAlign w:val="center"/>
          </w:tcPr>
          <w:p>
            <w:pPr>
              <w:pStyle w:val="TableContents"/>
              <w:bidi w:val="0"/>
              <w:spacing w:lineRule="auto" w:line="285" w:before="40" w:after="0"/>
              <w:ind w:left="0" w:right="0" w:hanging="0"/>
              <w:jc w:val="right"/>
              <w:rPr>
                <w:color w:val="005670"/>
              </w:rPr>
            </w:pPr>
            <w:r>
              <w:rPr>
                <w:color w:val="005670"/>
              </w:rPr>
              <w:t xml:space="preserve">✓ </w:t>
            </w:r>
          </w:p>
        </w:tc>
        <w:tc>
          <w:tcPr>
            <w:tcW w:w="1067" w:type="dxa"/>
            <w:tcBorders>
              <w:top w:val="single" w:sz="2" w:space="0" w:color="D9D9D9"/>
            </w:tcBorders>
            <w:tcMar>
              <w:top w:w="28" w:type="dxa"/>
            </w:tcMar>
            <w:vAlign w:val="center"/>
          </w:tcPr>
          <w:p>
            <w:pPr>
              <w:pStyle w:val="TableContents"/>
              <w:bidi w:val="0"/>
              <w:spacing w:lineRule="auto" w:line="285" w:before="18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c>
          <w:tcPr>
            <w:tcW w:w="327"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8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vMerge w:val="continue"/>
            <w:tcBorders/>
            <w:vAlign w:val="center"/>
          </w:tcPr>
          <w:p>
            <w:pPr>
              <w:pStyle w:val="Normal"/>
              <w:bidi w:val="0"/>
              <w:jc w:val="left"/>
              <w:rPr/>
            </w:pPr>
            <w:r>
              <w:rPr/>
            </w:r>
          </w:p>
        </w:tc>
        <w:tc>
          <w:tcPr>
            <w:tcW w:w="109" w:type="dxa"/>
            <w:tcBorders>
              <w:top w:val="single" w:sz="2" w:space="0" w:color="000000"/>
            </w:tcBorders>
            <w:tcMar>
              <w:top w:w="28" w:type="dxa"/>
            </w:tcMar>
            <w:vAlign w:val="center"/>
          </w:tcPr>
          <w:p>
            <w:pPr>
              <w:pStyle w:val="TableContents"/>
              <w:bidi w:val="0"/>
              <w:spacing w:lineRule="auto" w:line="285" w:before="40" w:after="0"/>
              <w:ind w:left="0" w:right="0" w:hanging="0"/>
              <w:jc w:val="center"/>
              <w:rPr>
                <w:color w:val="005670"/>
              </w:rPr>
            </w:pPr>
            <w:r>
              <w:rPr>
                <w:color w:val="005670"/>
              </w:rPr>
              <w:t>​</w:t>
            </w:r>
          </w:p>
        </w:tc>
        <w:tc>
          <w:tcPr>
            <w:tcW w:w="1685" w:type="dxa"/>
            <w:vMerge w:val="continue"/>
            <w:tcBorders/>
            <w:vAlign w:val="center"/>
          </w:tcPr>
          <w:p>
            <w:pPr>
              <w:pStyle w:val="Normal"/>
              <w:bidi w:val="0"/>
              <w:jc w:val="left"/>
              <w:rPr/>
            </w:pPr>
            <w:r>
              <w:rPr/>
            </w:r>
          </w:p>
        </w:tc>
        <w:tc>
          <w:tcPr>
            <w:tcW w:w="109" w:type="dxa"/>
            <w:tcBorders/>
            <w:vAlign w:val="center"/>
          </w:tcPr>
          <w:p>
            <w:pPr>
              <w:pStyle w:val="TableContents"/>
              <w:bidi w:val="0"/>
              <w:spacing w:lineRule="auto" w:line="285" w:before="0" w:after="0"/>
              <w:ind w:left="0" w:right="0" w:hanging="0"/>
              <w:jc w:val="both"/>
              <w:rPr/>
            </w:pPr>
            <w:r>
              <w:rPr/>
              <w:t>​</w:t>
            </w:r>
          </w:p>
        </w:tc>
        <w:tc>
          <w:tcPr>
            <w:tcW w:w="3617" w:type="dxa"/>
            <w:gridSpan w:val="4"/>
            <w:vMerge w:val="continue"/>
            <w:tcBorders/>
            <w:vAlign w:val="center"/>
          </w:tcPr>
          <w:p>
            <w:pPr>
              <w:pStyle w:val="Normal"/>
              <w:bidi w:val="0"/>
              <w:jc w:val="left"/>
              <w:rPr/>
            </w:pPr>
            <w:r>
              <w:rPr/>
            </w:r>
          </w:p>
        </w:tc>
        <w:tc>
          <w:tcPr>
            <w:tcW w:w="109" w:type="dxa"/>
            <w:tcBorders>
              <w:top w:val="single" w:sz="2" w:space="0" w:color="000000"/>
            </w:tcBorders>
            <w:tcMar>
              <w:top w:w="28" w:type="dxa"/>
            </w:tcMar>
            <w:vAlign w:val="center"/>
          </w:tcPr>
          <w:p>
            <w:pPr>
              <w:pStyle w:val="TableContents"/>
              <w:bidi w:val="0"/>
              <w:spacing w:lineRule="auto" w:line="285" w:before="40" w:after="0"/>
              <w:ind w:left="0" w:right="0" w:hanging="0"/>
              <w:jc w:val="left"/>
              <w:rPr/>
            </w:pPr>
            <w:r>
              <w:rPr/>
              <w:t>​</w:t>
            </w:r>
          </w:p>
        </w:tc>
        <w:tc>
          <w:tcPr>
            <w:tcW w:w="659" w:type="dxa"/>
            <w:tcBorders/>
            <w:vAlign w:val="center"/>
          </w:tcPr>
          <w:p>
            <w:pPr>
              <w:pStyle w:val="TableContents"/>
              <w:bidi w:val="0"/>
              <w:spacing w:lineRule="auto" w:line="285" w:before="0" w:after="0"/>
              <w:ind w:left="0" w:right="0" w:hanging="0"/>
              <w:jc w:val="left"/>
              <w:rPr/>
            </w:pPr>
            <w:r>
              <w:rPr/>
              <w:t>​</w:t>
            </w:r>
          </w:p>
        </w:tc>
        <w:tc>
          <w:tcPr>
            <w:tcW w:w="1394" w:type="dxa"/>
            <w:gridSpan w:val="4"/>
            <w:tcBorders>
              <w:top w:val="single" w:sz="2" w:space="0" w:color="000000"/>
            </w:tcBorders>
            <w:tcMar>
              <w:top w:w="28" w:type="dxa"/>
            </w:tcMar>
            <w:vAlign w:val="center"/>
          </w:tcPr>
          <w:p>
            <w:pPr>
              <w:pStyle w:val="TableContents"/>
              <w:bidi w:val="0"/>
              <w:spacing w:lineRule="auto" w:line="285" w:before="4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873"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Each Nominee</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vAlign w:val="center"/>
          </w:tcPr>
          <w:p>
            <w:pPr>
              <w:pStyle w:val="TableContents"/>
              <w:bidi w:val="0"/>
              <w:spacing w:lineRule="auto" w:line="285" w:before="0" w:after="0"/>
              <w:ind w:left="0" w:right="0" w:hanging="0"/>
              <w:jc w:val="center"/>
              <w:rPr>
                <w:color w:val="005670"/>
              </w:rPr>
            </w:pPr>
            <w:r>
              <w:rPr>
                <w:color w:val="005670"/>
              </w:rPr>
              <w:t>​</w:t>
            </w:r>
          </w:p>
        </w:tc>
        <w:tc>
          <w:tcPr>
            <w:tcW w:w="109" w:type="dxa"/>
            <w:tcBorders/>
            <w:vAlign w:val="center"/>
          </w:tcPr>
          <w:p>
            <w:pPr>
              <w:pStyle w:val="TableContents"/>
              <w:bidi w:val="0"/>
              <w:spacing w:lineRule="auto" w:line="285" w:before="0" w:after="0"/>
              <w:ind w:left="0" w:right="0" w:hanging="0"/>
              <w:jc w:val="both"/>
              <w:rPr/>
            </w:pPr>
            <w:r>
              <w:rPr/>
              <w:t>​</w:t>
            </w:r>
          </w:p>
        </w:tc>
        <w:tc>
          <w:tcPr>
            <w:tcW w:w="1685"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813"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40" w:after="40"/>
              <w:ind w:left="0" w:right="0" w:hanging="0"/>
              <w:jc w:val="right"/>
              <w:rPr>
                <w:rFonts w:ascii="Arial;Helvetica;sans-serif" w:hAnsi="Arial;Helvetica;sans-serif"/>
                <w:b/>
                <w:sz w:val="18"/>
              </w:rPr>
            </w:pPr>
            <w:r>
              <w:rPr>
                <w:rFonts w:ascii="Arial;Helvetica;sans-serif" w:hAnsi="Arial;Helvetica;sans-serif"/>
                <w:b/>
                <w:sz w:val="18"/>
              </w:rPr>
              <w:t>5A  </w:t>
            </w:r>
          </w:p>
        </w:tc>
        <w:tc>
          <w:tcPr>
            <w:tcW w:w="1804"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both"/>
              <w:rPr>
                <w:rFonts w:ascii="Arial;Helvetica;sans-serif" w:hAnsi="Arial;Helvetica;sans-serif"/>
                <w:sz w:val="18"/>
              </w:rPr>
            </w:pPr>
            <w:r>
              <w:rPr>
                <w:rFonts w:ascii="Arial;Helvetica;sans-serif" w:hAnsi="Arial;Helvetica;sans-serif"/>
                <w:sz w:val="18"/>
              </w:rPr>
              <w:t>Election of Keelan I. Adamson as a director.</w:t>
            </w:r>
          </w:p>
        </w:tc>
        <w:tc>
          <w:tcPr>
            <w:tcW w:w="109" w:type="dxa"/>
            <w:tcBorders/>
            <w:vAlign w:val="center"/>
          </w:tcPr>
          <w:p>
            <w:pPr>
              <w:pStyle w:val="TableContents"/>
              <w:bidi w:val="0"/>
              <w:spacing w:lineRule="auto" w:line="285" w:before="0" w:after="0"/>
              <w:ind w:left="0" w:right="0" w:hanging="0"/>
              <w:jc w:val="both"/>
              <w:rPr/>
            </w:pPr>
            <w:r>
              <w:rPr/>
              <w:t>​</w:t>
            </w:r>
          </w:p>
        </w:tc>
        <w:tc>
          <w:tcPr>
            <w:tcW w:w="1726" w:type="dxa"/>
            <w:gridSpan w:val="2"/>
            <w:tcBorders/>
            <w:vAlign w:val="center"/>
          </w:tcPr>
          <w:p>
            <w:pPr>
              <w:pStyle w:val="TableContents"/>
              <w:bidi w:val="0"/>
              <w:spacing w:lineRule="auto" w:line="285" w:before="40" w:after="0"/>
              <w:ind w:left="0" w:right="0" w:hanging="0"/>
              <w:jc w:val="center"/>
              <w:rPr>
                <w:color w:val="005670"/>
              </w:rPr>
            </w:pPr>
            <w:r>
              <w:rPr>
                <w:color w:val="005670"/>
              </w:rPr>
              <w:t>​</w:t>
            </w:r>
          </w:p>
        </w:tc>
        <w:tc>
          <w:tcPr>
            <w:tcW w:w="1309"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vAlign w:val="center"/>
          </w:tcPr>
          <w:p>
            <w:pPr>
              <w:pStyle w:val="TableContents"/>
              <w:bidi w:val="0"/>
              <w:spacing w:lineRule="auto" w:line="285" w:before="0" w:after="0"/>
              <w:ind w:left="0" w:right="0" w:hanging="0"/>
              <w:jc w:val="center"/>
              <w:rPr>
                <w:color w:val="005670"/>
              </w:rPr>
            </w:pPr>
            <w:r>
              <w:rPr>
                <w:color w:val="005670"/>
              </w:rPr>
              <w:t>​</w:t>
            </w:r>
          </w:p>
        </w:tc>
        <w:tc>
          <w:tcPr>
            <w:tcW w:w="109" w:type="dxa"/>
            <w:tcBorders/>
            <w:vAlign w:val="center"/>
          </w:tcPr>
          <w:p>
            <w:pPr>
              <w:pStyle w:val="TableContents"/>
              <w:bidi w:val="0"/>
              <w:spacing w:lineRule="auto" w:line="285" w:before="0" w:after="0"/>
              <w:ind w:left="0" w:right="0" w:hanging="0"/>
              <w:jc w:val="both"/>
              <w:rPr/>
            </w:pPr>
            <w:r>
              <w:rPr/>
              <w:t>​</w:t>
            </w:r>
          </w:p>
        </w:tc>
        <w:tc>
          <w:tcPr>
            <w:tcW w:w="1685"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813"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40" w:after="40"/>
              <w:ind w:left="0" w:right="0" w:hanging="0"/>
              <w:jc w:val="right"/>
              <w:rPr>
                <w:rFonts w:ascii="Arial;Helvetica;sans-serif" w:hAnsi="Arial;Helvetica;sans-serif"/>
                <w:b/>
                <w:sz w:val="18"/>
              </w:rPr>
            </w:pPr>
            <w:r>
              <w:rPr>
                <w:rFonts w:ascii="Arial;Helvetica;sans-serif" w:hAnsi="Arial;Helvetica;sans-serif"/>
                <w:b/>
                <w:sz w:val="18"/>
              </w:rPr>
              <w:t>5B  </w:t>
            </w:r>
          </w:p>
        </w:tc>
        <w:tc>
          <w:tcPr>
            <w:tcW w:w="1804"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both"/>
              <w:rPr>
                <w:rFonts w:ascii="Arial;Helvetica;sans-serif" w:hAnsi="Arial;Helvetica;sans-serif"/>
                <w:sz w:val="18"/>
              </w:rPr>
            </w:pPr>
            <w:r>
              <w:rPr>
                <w:rFonts w:ascii="Arial;Helvetica;sans-serif" w:hAnsi="Arial;Helvetica;sans-serif"/>
                <w:sz w:val="18"/>
              </w:rPr>
              <w:t>Election of Glyn A. Barker as a director.</w:t>
            </w:r>
          </w:p>
        </w:tc>
        <w:tc>
          <w:tcPr>
            <w:tcW w:w="109" w:type="dxa"/>
            <w:tcBorders/>
            <w:vAlign w:val="center"/>
          </w:tcPr>
          <w:p>
            <w:pPr>
              <w:pStyle w:val="TableContents"/>
              <w:bidi w:val="0"/>
              <w:spacing w:lineRule="auto" w:line="285" w:before="0" w:after="0"/>
              <w:ind w:left="0" w:right="0" w:hanging="0"/>
              <w:jc w:val="both"/>
              <w:rPr/>
            </w:pPr>
            <w:r>
              <w:rPr/>
              <w:t>​</w:t>
            </w:r>
          </w:p>
        </w:tc>
        <w:tc>
          <w:tcPr>
            <w:tcW w:w="1726" w:type="dxa"/>
            <w:gridSpan w:val="2"/>
            <w:tcBorders/>
            <w:vAlign w:val="center"/>
          </w:tcPr>
          <w:p>
            <w:pPr>
              <w:pStyle w:val="TableContents"/>
              <w:bidi w:val="0"/>
              <w:spacing w:lineRule="auto" w:line="285" w:before="40" w:after="0"/>
              <w:ind w:left="0" w:right="0" w:hanging="0"/>
              <w:jc w:val="center"/>
              <w:rPr>
                <w:color w:val="005670"/>
              </w:rPr>
            </w:pPr>
            <w:r>
              <w:rPr>
                <w:color w:val="005670"/>
              </w:rPr>
              <w:t>​</w:t>
            </w:r>
          </w:p>
        </w:tc>
        <w:tc>
          <w:tcPr>
            <w:tcW w:w="1309"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vAlign w:val="center"/>
          </w:tcPr>
          <w:p>
            <w:pPr>
              <w:pStyle w:val="TableContents"/>
              <w:bidi w:val="0"/>
              <w:spacing w:lineRule="auto" w:line="285" w:before="0" w:after="0"/>
              <w:ind w:left="0" w:right="0" w:hanging="0"/>
              <w:jc w:val="center"/>
              <w:rPr>
                <w:color w:val="005670"/>
              </w:rPr>
            </w:pPr>
            <w:r>
              <w:rPr>
                <w:color w:val="005670"/>
              </w:rPr>
              <w:t>​</w:t>
            </w:r>
          </w:p>
        </w:tc>
        <w:tc>
          <w:tcPr>
            <w:tcW w:w="109" w:type="dxa"/>
            <w:tcBorders/>
            <w:vAlign w:val="center"/>
          </w:tcPr>
          <w:p>
            <w:pPr>
              <w:pStyle w:val="TableContents"/>
              <w:bidi w:val="0"/>
              <w:spacing w:lineRule="auto" w:line="285" w:before="0" w:after="0"/>
              <w:ind w:left="0" w:right="0" w:hanging="0"/>
              <w:jc w:val="both"/>
              <w:rPr/>
            </w:pPr>
            <w:r>
              <w:rPr/>
              <w:t>​</w:t>
            </w:r>
          </w:p>
        </w:tc>
        <w:tc>
          <w:tcPr>
            <w:tcW w:w="1685"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813"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40" w:after="40"/>
              <w:ind w:left="0" w:right="0" w:hanging="0"/>
              <w:jc w:val="right"/>
              <w:rPr>
                <w:rFonts w:ascii="Arial;Helvetica;sans-serif" w:hAnsi="Arial;Helvetica;sans-serif"/>
                <w:b/>
                <w:sz w:val="18"/>
              </w:rPr>
            </w:pPr>
            <w:r>
              <w:rPr>
                <w:rFonts w:ascii="Arial;Helvetica;sans-serif" w:hAnsi="Arial;Helvetica;sans-serif"/>
                <w:b/>
                <w:sz w:val="18"/>
              </w:rPr>
              <w:t>5C  </w:t>
            </w:r>
          </w:p>
        </w:tc>
        <w:tc>
          <w:tcPr>
            <w:tcW w:w="1804"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both"/>
              <w:rPr>
                <w:rFonts w:ascii="Arial;Helvetica;sans-serif" w:hAnsi="Arial;Helvetica;sans-serif"/>
                <w:sz w:val="18"/>
              </w:rPr>
            </w:pPr>
            <w:r>
              <w:rPr>
                <w:rFonts w:ascii="Arial;Helvetica;sans-serif" w:hAnsi="Arial;Helvetica;sans-serif"/>
                <w:sz w:val="18"/>
              </w:rPr>
              <w:t>Election of Vanessa C.L. Chang as a director.</w:t>
            </w:r>
          </w:p>
        </w:tc>
        <w:tc>
          <w:tcPr>
            <w:tcW w:w="109" w:type="dxa"/>
            <w:tcBorders/>
            <w:vAlign w:val="center"/>
          </w:tcPr>
          <w:p>
            <w:pPr>
              <w:pStyle w:val="TableContents"/>
              <w:bidi w:val="0"/>
              <w:spacing w:lineRule="auto" w:line="285" w:before="0" w:after="0"/>
              <w:ind w:left="0" w:right="0" w:hanging="0"/>
              <w:jc w:val="both"/>
              <w:rPr/>
            </w:pPr>
            <w:r>
              <w:rPr/>
              <w:t>​</w:t>
            </w:r>
          </w:p>
        </w:tc>
        <w:tc>
          <w:tcPr>
            <w:tcW w:w="1726" w:type="dxa"/>
            <w:gridSpan w:val="2"/>
            <w:tcBorders/>
            <w:vAlign w:val="center"/>
          </w:tcPr>
          <w:p>
            <w:pPr>
              <w:pStyle w:val="TableContents"/>
              <w:bidi w:val="0"/>
              <w:spacing w:lineRule="auto" w:line="285" w:before="40" w:after="0"/>
              <w:ind w:left="0" w:right="0" w:hanging="0"/>
              <w:jc w:val="center"/>
              <w:rPr>
                <w:color w:val="005670"/>
              </w:rPr>
            </w:pPr>
            <w:r>
              <w:rPr>
                <w:color w:val="005670"/>
              </w:rPr>
              <w:t>​</w:t>
            </w:r>
          </w:p>
        </w:tc>
        <w:tc>
          <w:tcPr>
            <w:tcW w:w="1309"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vAlign w:val="center"/>
          </w:tcPr>
          <w:p>
            <w:pPr>
              <w:pStyle w:val="TableContents"/>
              <w:bidi w:val="0"/>
              <w:spacing w:lineRule="auto" w:line="285" w:before="0" w:after="0"/>
              <w:ind w:left="0" w:right="0" w:hanging="0"/>
              <w:jc w:val="center"/>
              <w:rPr>
                <w:color w:val="005670"/>
              </w:rPr>
            </w:pPr>
            <w:r>
              <w:rPr>
                <w:color w:val="005670"/>
              </w:rPr>
              <w:t>​</w:t>
            </w:r>
          </w:p>
        </w:tc>
        <w:tc>
          <w:tcPr>
            <w:tcW w:w="109" w:type="dxa"/>
            <w:tcBorders/>
            <w:vAlign w:val="center"/>
          </w:tcPr>
          <w:p>
            <w:pPr>
              <w:pStyle w:val="TableContents"/>
              <w:bidi w:val="0"/>
              <w:spacing w:lineRule="auto" w:line="285" w:before="0" w:after="0"/>
              <w:ind w:left="0" w:right="0" w:hanging="0"/>
              <w:jc w:val="both"/>
              <w:rPr/>
            </w:pPr>
            <w:r>
              <w:rPr/>
              <w:t>​</w:t>
            </w:r>
          </w:p>
        </w:tc>
        <w:tc>
          <w:tcPr>
            <w:tcW w:w="1685"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813"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40" w:after="40"/>
              <w:ind w:left="0" w:right="0" w:hanging="0"/>
              <w:jc w:val="right"/>
              <w:rPr>
                <w:rFonts w:ascii="Arial;Helvetica;sans-serif" w:hAnsi="Arial;Helvetica;sans-serif"/>
                <w:b/>
                <w:sz w:val="18"/>
              </w:rPr>
            </w:pPr>
            <w:r>
              <w:rPr>
                <w:rFonts w:ascii="Arial;Helvetica;sans-serif" w:hAnsi="Arial;Helvetica;sans-serif"/>
                <w:b/>
                <w:sz w:val="18"/>
              </w:rPr>
              <w:t>5D  </w:t>
            </w:r>
          </w:p>
        </w:tc>
        <w:tc>
          <w:tcPr>
            <w:tcW w:w="1804"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both"/>
              <w:rPr>
                <w:rFonts w:ascii="Arial;Helvetica;sans-serif" w:hAnsi="Arial;Helvetica;sans-serif"/>
                <w:sz w:val="18"/>
              </w:rPr>
            </w:pPr>
            <w:r>
              <w:rPr>
                <w:rFonts w:ascii="Arial;Helvetica;sans-serif" w:hAnsi="Arial;Helvetica;sans-serif"/>
                <w:sz w:val="18"/>
              </w:rPr>
              <w:t>Election of Frederico F. Curado as a director.</w:t>
            </w:r>
          </w:p>
        </w:tc>
        <w:tc>
          <w:tcPr>
            <w:tcW w:w="109" w:type="dxa"/>
            <w:tcBorders/>
            <w:vAlign w:val="center"/>
          </w:tcPr>
          <w:p>
            <w:pPr>
              <w:pStyle w:val="TableContents"/>
              <w:bidi w:val="0"/>
              <w:spacing w:lineRule="auto" w:line="285" w:before="0" w:after="0"/>
              <w:ind w:left="0" w:right="0" w:hanging="0"/>
              <w:jc w:val="both"/>
              <w:rPr/>
            </w:pPr>
            <w:r>
              <w:rPr/>
              <w:t>​</w:t>
            </w:r>
          </w:p>
        </w:tc>
        <w:tc>
          <w:tcPr>
            <w:tcW w:w="1726" w:type="dxa"/>
            <w:gridSpan w:val="2"/>
            <w:tcBorders/>
            <w:vAlign w:val="center"/>
          </w:tcPr>
          <w:p>
            <w:pPr>
              <w:pStyle w:val="TableContents"/>
              <w:bidi w:val="0"/>
              <w:spacing w:lineRule="auto" w:line="285" w:before="40" w:after="0"/>
              <w:ind w:left="0" w:right="0" w:hanging="0"/>
              <w:jc w:val="center"/>
              <w:rPr>
                <w:color w:val="005670"/>
              </w:rPr>
            </w:pPr>
            <w:r>
              <w:rPr>
                <w:color w:val="005670"/>
              </w:rPr>
              <w:t>​</w:t>
            </w:r>
          </w:p>
        </w:tc>
        <w:tc>
          <w:tcPr>
            <w:tcW w:w="1309"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vAlign w:val="center"/>
          </w:tcPr>
          <w:p>
            <w:pPr>
              <w:pStyle w:val="TableContents"/>
              <w:bidi w:val="0"/>
              <w:spacing w:lineRule="auto" w:line="285" w:before="0" w:after="0"/>
              <w:ind w:left="0" w:right="0" w:hanging="0"/>
              <w:jc w:val="center"/>
              <w:rPr>
                <w:color w:val="005670"/>
              </w:rPr>
            </w:pPr>
            <w:r>
              <w:rPr>
                <w:color w:val="005670"/>
              </w:rPr>
              <w:t>​</w:t>
            </w:r>
          </w:p>
        </w:tc>
        <w:tc>
          <w:tcPr>
            <w:tcW w:w="109" w:type="dxa"/>
            <w:tcBorders/>
            <w:vAlign w:val="center"/>
          </w:tcPr>
          <w:p>
            <w:pPr>
              <w:pStyle w:val="TableContents"/>
              <w:bidi w:val="0"/>
              <w:spacing w:lineRule="auto" w:line="285" w:before="0" w:after="0"/>
              <w:ind w:left="0" w:right="0" w:hanging="0"/>
              <w:jc w:val="both"/>
              <w:rPr/>
            </w:pPr>
            <w:r>
              <w:rPr/>
              <w:t>​</w:t>
            </w:r>
          </w:p>
        </w:tc>
        <w:tc>
          <w:tcPr>
            <w:tcW w:w="1685"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813"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40" w:after="40"/>
              <w:ind w:left="0" w:right="0" w:hanging="0"/>
              <w:jc w:val="right"/>
              <w:rPr>
                <w:rFonts w:ascii="Arial;Helvetica;sans-serif" w:hAnsi="Arial;Helvetica;sans-serif"/>
                <w:b/>
                <w:sz w:val="18"/>
              </w:rPr>
            </w:pPr>
            <w:r>
              <w:rPr>
                <w:rFonts w:ascii="Arial;Helvetica;sans-serif" w:hAnsi="Arial;Helvetica;sans-serif"/>
                <w:b/>
                <w:sz w:val="18"/>
              </w:rPr>
              <w:t>5E  </w:t>
            </w:r>
          </w:p>
        </w:tc>
        <w:tc>
          <w:tcPr>
            <w:tcW w:w="1804"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both"/>
              <w:rPr>
                <w:rFonts w:ascii="Arial;Helvetica;sans-serif" w:hAnsi="Arial;Helvetica;sans-serif"/>
                <w:sz w:val="18"/>
              </w:rPr>
            </w:pPr>
            <w:r>
              <w:rPr>
                <w:rFonts w:ascii="Arial;Helvetica;sans-serif" w:hAnsi="Arial;Helvetica;sans-serif"/>
                <w:sz w:val="18"/>
              </w:rPr>
              <w:t>Election of Chadwick C. Deaton as a director.</w:t>
            </w:r>
          </w:p>
        </w:tc>
        <w:tc>
          <w:tcPr>
            <w:tcW w:w="109" w:type="dxa"/>
            <w:tcBorders/>
            <w:vAlign w:val="center"/>
          </w:tcPr>
          <w:p>
            <w:pPr>
              <w:pStyle w:val="TableContents"/>
              <w:bidi w:val="0"/>
              <w:spacing w:lineRule="auto" w:line="285" w:before="0" w:after="0"/>
              <w:ind w:left="0" w:right="0" w:hanging="0"/>
              <w:jc w:val="both"/>
              <w:rPr/>
            </w:pPr>
            <w:r>
              <w:rPr/>
              <w:t>​</w:t>
            </w:r>
          </w:p>
        </w:tc>
        <w:tc>
          <w:tcPr>
            <w:tcW w:w="1726" w:type="dxa"/>
            <w:gridSpan w:val="2"/>
            <w:tcBorders/>
            <w:vAlign w:val="center"/>
          </w:tcPr>
          <w:p>
            <w:pPr>
              <w:pStyle w:val="TableContents"/>
              <w:bidi w:val="0"/>
              <w:spacing w:lineRule="auto" w:line="285" w:before="40" w:after="0"/>
              <w:ind w:left="0" w:right="0" w:hanging="0"/>
              <w:jc w:val="center"/>
              <w:rPr>
                <w:color w:val="005670"/>
              </w:rPr>
            </w:pPr>
            <w:r>
              <w:rPr>
                <w:color w:val="005670"/>
              </w:rPr>
              <w:t>​</w:t>
            </w:r>
          </w:p>
        </w:tc>
        <w:tc>
          <w:tcPr>
            <w:tcW w:w="1309"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vAlign w:val="center"/>
          </w:tcPr>
          <w:p>
            <w:pPr>
              <w:pStyle w:val="TableContents"/>
              <w:bidi w:val="0"/>
              <w:spacing w:lineRule="auto" w:line="285" w:before="0" w:after="0"/>
              <w:ind w:left="0" w:right="0" w:hanging="0"/>
              <w:jc w:val="center"/>
              <w:rPr>
                <w:color w:val="005670"/>
              </w:rPr>
            </w:pPr>
            <w:r>
              <w:rPr>
                <w:color w:val="005670"/>
              </w:rPr>
              <w:t>​</w:t>
            </w:r>
          </w:p>
        </w:tc>
        <w:tc>
          <w:tcPr>
            <w:tcW w:w="109" w:type="dxa"/>
            <w:tcBorders/>
            <w:vAlign w:val="center"/>
          </w:tcPr>
          <w:p>
            <w:pPr>
              <w:pStyle w:val="TableContents"/>
              <w:bidi w:val="0"/>
              <w:spacing w:lineRule="auto" w:line="285" w:before="0" w:after="0"/>
              <w:ind w:left="0" w:right="0" w:hanging="0"/>
              <w:jc w:val="both"/>
              <w:rPr/>
            </w:pPr>
            <w:r>
              <w:rPr/>
              <w:t>​</w:t>
            </w:r>
          </w:p>
        </w:tc>
        <w:tc>
          <w:tcPr>
            <w:tcW w:w="1685"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813"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40" w:after="40"/>
              <w:ind w:left="0" w:right="0" w:hanging="0"/>
              <w:jc w:val="right"/>
              <w:rPr>
                <w:rFonts w:ascii="Arial;Helvetica;sans-serif" w:hAnsi="Arial;Helvetica;sans-serif"/>
                <w:b/>
                <w:sz w:val="18"/>
              </w:rPr>
            </w:pPr>
            <w:r>
              <w:rPr>
                <w:rFonts w:ascii="Arial;Helvetica;sans-serif" w:hAnsi="Arial;Helvetica;sans-serif"/>
                <w:b/>
                <w:sz w:val="18"/>
              </w:rPr>
              <w:t>5F  </w:t>
            </w:r>
          </w:p>
        </w:tc>
        <w:tc>
          <w:tcPr>
            <w:tcW w:w="1804"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both"/>
              <w:rPr>
                <w:rFonts w:ascii="Arial;Helvetica;sans-serif" w:hAnsi="Arial;Helvetica;sans-serif"/>
                <w:sz w:val="18"/>
              </w:rPr>
            </w:pPr>
            <w:r>
              <w:rPr>
                <w:rFonts w:ascii="Arial;Helvetica;sans-serif" w:hAnsi="Arial;Helvetica;sans-serif"/>
                <w:sz w:val="18"/>
              </w:rPr>
              <w:t xml:space="preserve">Election of Domenic J. “Nick” Dell’Osso, Jr. as a director. </w:t>
            </w:r>
          </w:p>
        </w:tc>
        <w:tc>
          <w:tcPr>
            <w:tcW w:w="109" w:type="dxa"/>
            <w:tcBorders/>
            <w:vAlign w:val="center"/>
          </w:tcPr>
          <w:p>
            <w:pPr>
              <w:pStyle w:val="TableContents"/>
              <w:bidi w:val="0"/>
              <w:spacing w:lineRule="auto" w:line="285" w:before="0" w:after="0"/>
              <w:ind w:left="0" w:right="0" w:hanging="0"/>
              <w:jc w:val="both"/>
              <w:rPr/>
            </w:pPr>
            <w:r>
              <w:rPr/>
              <w:t>​</w:t>
            </w:r>
          </w:p>
        </w:tc>
        <w:tc>
          <w:tcPr>
            <w:tcW w:w="1726" w:type="dxa"/>
            <w:gridSpan w:val="2"/>
            <w:tcBorders/>
            <w:vAlign w:val="center"/>
          </w:tcPr>
          <w:p>
            <w:pPr>
              <w:pStyle w:val="TableContents"/>
              <w:bidi w:val="0"/>
              <w:spacing w:lineRule="auto" w:line="285" w:before="40" w:after="0"/>
              <w:ind w:left="0" w:right="0" w:hanging="0"/>
              <w:jc w:val="center"/>
              <w:rPr>
                <w:color w:val="005670"/>
              </w:rPr>
            </w:pPr>
            <w:r>
              <w:rPr>
                <w:color w:val="005670"/>
              </w:rPr>
              <w:t>​</w:t>
            </w:r>
          </w:p>
        </w:tc>
        <w:tc>
          <w:tcPr>
            <w:tcW w:w="1309"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vAlign w:val="center"/>
          </w:tcPr>
          <w:p>
            <w:pPr>
              <w:pStyle w:val="TableContents"/>
              <w:bidi w:val="0"/>
              <w:spacing w:lineRule="auto" w:line="285" w:before="0" w:after="0"/>
              <w:ind w:left="0" w:right="0" w:hanging="0"/>
              <w:jc w:val="center"/>
              <w:rPr>
                <w:color w:val="005670"/>
              </w:rPr>
            </w:pPr>
            <w:r>
              <w:rPr>
                <w:color w:val="005670"/>
              </w:rPr>
              <w:t>​</w:t>
            </w:r>
          </w:p>
        </w:tc>
        <w:tc>
          <w:tcPr>
            <w:tcW w:w="109" w:type="dxa"/>
            <w:tcBorders/>
            <w:vAlign w:val="center"/>
          </w:tcPr>
          <w:p>
            <w:pPr>
              <w:pStyle w:val="TableContents"/>
              <w:bidi w:val="0"/>
              <w:spacing w:lineRule="auto" w:line="285" w:before="0" w:after="0"/>
              <w:ind w:left="0" w:right="0" w:hanging="0"/>
              <w:jc w:val="both"/>
              <w:rPr/>
            </w:pPr>
            <w:r>
              <w:rPr/>
              <w:t>​</w:t>
            </w:r>
          </w:p>
        </w:tc>
        <w:tc>
          <w:tcPr>
            <w:tcW w:w="1685"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813"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40" w:after="40"/>
              <w:ind w:left="0" w:right="0" w:hanging="0"/>
              <w:jc w:val="right"/>
              <w:rPr>
                <w:rFonts w:ascii="Arial;Helvetica;sans-serif" w:hAnsi="Arial;Helvetica;sans-serif"/>
                <w:b/>
                <w:sz w:val="18"/>
              </w:rPr>
            </w:pPr>
            <w:r>
              <w:rPr>
                <w:rFonts w:ascii="Arial;Helvetica;sans-serif" w:hAnsi="Arial;Helvetica;sans-serif"/>
                <w:b/>
                <w:sz w:val="18"/>
              </w:rPr>
              <w:t>5G  </w:t>
            </w:r>
          </w:p>
        </w:tc>
        <w:tc>
          <w:tcPr>
            <w:tcW w:w="1804"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both"/>
              <w:rPr>
                <w:rFonts w:ascii="Arial;Helvetica;sans-serif" w:hAnsi="Arial;Helvetica;sans-serif"/>
                <w:sz w:val="18"/>
              </w:rPr>
            </w:pPr>
            <w:r>
              <w:rPr>
                <w:rFonts w:ascii="Arial;Helvetica;sans-serif" w:hAnsi="Arial;Helvetica;sans-serif"/>
                <w:sz w:val="18"/>
              </w:rPr>
              <w:t>Election of Vincent J. Intrieri as a director.</w:t>
            </w:r>
          </w:p>
        </w:tc>
        <w:tc>
          <w:tcPr>
            <w:tcW w:w="109" w:type="dxa"/>
            <w:tcBorders/>
            <w:vAlign w:val="center"/>
          </w:tcPr>
          <w:p>
            <w:pPr>
              <w:pStyle w:val="TableContents"/>
              <w:bidi w:val="0"/>
              <w:spacing w:lineRule="auto" w:line="285" w:before="0" w:after="0"/>
              <w:ind w:left="0" w:right="0" w:hanging="0"/>
              <w:jc w:val="both"/>
              <w:rPr/>
            </w:pPr>
            <w:r>
              <w:rPr/>
              <w:t>​</w:t>
            </w:r>
          </w:p>
        </w:tc>
        <w:tc>
          <w:tcPr>
            <w:tcW w:w="1726" w:type="dxa"/>
            <w:gridSpan w:val="2"/>
            <w:tcBorders/>
            <w:vAlign w:val="center"/>
          </w:tcPr>
          <w:p>
            <w:pPr>
              <w:pStyle w:val="TableContents"/>
              <w:bidi w:val="0"/>
              <w:spacing w:lineRule="auto" w:line="285" w:before="40" w:after="0"/>
              <w:ind w:left="0" w:right="0" w:hanging="0"/>
              <w:jc w:val="center"/>
              <w:rPr>
                <w:color w:val="005670"/>
              </w:rPr>
            </w:pPr>
            <w:r>
              <w:rPr>
                <w:color w:val="005670"/>
              </w:rPr>
              <w:t>​</w:t>
            </w:r>
          </w:p>
        </w:tc>
        <w:tc>
          <w:tcPr>
            <w:tcW w:w="1309"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vAlign w:val="center"/>
          </w:tcPr>
          <w:p>
            <w:pPr>
              <w:pStyle w:val="TableContents"/>
              <w:bidi w:val="0"/>
              <w:spacing w:lineRule="auto" w:line="285" w:before="0" w:after="0"/>
              <w:ind w:left="0" w:right="0" w:hanging="0"/>
              <w:jc w:val="center"/>
              <w:rPr>
                <w:color w:val="005670"/>
              </w:rPr>
            </w:pPr>
            <w:r>
              <w:rPr>
                <w:color w:val="005670"/>
              </w:rPr>
              <w:t>​</w:t>
            </w:r>
          </w:p>
        </w:tc>
        <w:tc>
          <w:tcPr>
            <w:tcW w:w="109" w:type="dxa"/>
            <w:tcBorders/>
            <w:vAlign w:val="center"/>
          </w:tcPr>
          <w:p>
            <w:pPr>
              <w:pStyle w:val="TableContents"/>
              <w:bidi w:val="0"/>
              <w:spacing w:lineRule="auto" w:line="285" w:before="0" w:after="0"/>
              <w:ind w:left="0" w:right="0" w:hanging="0"/>
              <w:jc w:val="both"/>
              <w:rPr/>
            </w:pPr>
            <w:r>
              <w:rPr/>
              <w:t>​</w:t>
            </w:r>
          </w:p>
        </w:tc>
        <w:tc>
          <w:tcPr>
            <w:tcW w:w="1685"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813"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40" w:after="40"/>
              <w:ind w:left="0" w:right="0" w:hanging="0"/>
              <w:jc w:val="right"/>
              <w:rPr>
                <w:rFonts w:ascii="Arial;Helvetica;sans-serif" w:hAnsi="Arial;Helvetica;sans-serif"/>
                <w:b/>
                <w:sz w:val="18"/>
              </w:rPr>
            </w:pPr>
            <w:r>
              <w:rPr>
                <w:rFonts w:ascii="Arial;Helvetica;sans-serif" w:hAnsi="Arial;Helvetica;sans-serif"/>
                <w:b/>
                <w:sz w:val="18"/>
              </w:rPr>
              <w:t>5H  </w:t>
            </w:r>
          </w:p>
        </w:tc>
        <w:tc>
          <w:tcPr>
            <w:tcW w:w="1804"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both"/>
              <w:rPr>
                <w:rFonts w:ascii="Arial;Helvetica;sans-serif" w:hAnsi="Arial;Helvetica;sans-serif"/>
                <w:sz w:val="18"/>
              </w:rPr>
            </w:pPr>
            <w:r>
              <w:rPr>
                <w:rFonts w:ascii="Arial;Helvetica;sans-serif" w:hAnsi="Arial;Helvetica;sans-serif"/>
                <w:sz w:val="18"/>
              </w:rPr>
              <w:t>Election of William F. “Bill” Lacey as a director</w:t>
            </w:r>
          </w:p>
        </w:tc>
        <w:tc>
          <w:tcPr>
            <w:tcW w:w="109" w:type="dxa"/>
            <w:tcBorders/>
            <w:vAlign w:val="center"/>
          </w:tcPr>
          <w:p>
            <w:pPr>
              <w:pStyle w:val="TableContents"/>
              <w:bidi w:val="0"/>
              <w:spacing w:lineRule="auto" w:line="285" w:before="0" w:after="0"/>
              <w:ind w:left="0" w:right="0" w:hanging="0"/>
              <w:jc w:val="both"/>
              <w:rPr/>
            </w:pPr>
            <w:r>
              <w:rPr/>
              <w:t>​</w:t>
            </w:r>
          </w:p>
        </w:tc>
        <w:tc>
          <w:tcPr>
            <w:tcW w:w="1726" w:type="dxa"/>
            <w:gridSpan w:val="2"/>
            <w:tcBorders/>
            <w:vAlign w:val="center"/>
          </w:tcPr>
          <w:p>
            <w:pPr>
              <w:pStyle w:val="TableContents"/>
              <w:bidi w:val="0"/>
              <w:spacing w:lineRule="auto" w:line="285" w:before="40" w:after="0"/>
              <w:ind w:left="0" w:right="0" w:hanging="0"/>
              <w:jc w:val="center"/>
              <w:rPr>
                <w:color w:val="005670"/>
              </w:rPr>
            </w:pPr>
            <w:r>
              <w:rPr>
                <w:color w:val="005670"/>
              </w:rPr>
              <w:t>​</w:t>
            </w:r>
          </w:p>
        </w:tc>
        <w:tc>
          <w:tcPr>
            <w:tcW w:w="1309"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vAlign w:val="center"/>
          </w:tcPr>
          <w:p>
            <w:pPr>
              <w:pStyle w:val="TableContents"/>
              <w:bidi w:val="0"/>
              <w:spacing w:lineRule="auto" w:line="285" w:before="0" w:after="0"/>
              <w:ind w:left="0" w:right="0" w:hanging="0"/>
              <w:jc w:val="center"/>
              <w:rPr>
                <w:color w:val="005670"/>
              </w:rPr>
            </w:pPr>
            <w:r>
              <w:rPr>
                <w:color w:val="005670"/>
              </w:rPr>
              <w:t>​</w:t>
            </w:r>
          </w:p>
        </w:tc>
        <w:tc>
          <w:tcPr>
            <w:tcW w:w="109" w:type="dxa"/>
            <w:tcBorders/>
            <w:vAlign w:val="center"/>
          </w:tcPr>
          <w:p>
            <w:pPr>
              <w:pStyle w:val="TableContents"/>
              <w:bidi w:val="0"/>
              <w:spacing w:lineRule="auto" w:line="285" w:before="0" w:after="0"/>
              <w:ind w:left="0" w:right="0" w:hanging="0"/>
              <w:jc w:val="both"/>
              <w:rPr/>
            </w:pPr>
            <w:r>
              <w:rPr/>
              <w:t>​</w:t>
            </w:r>
          </w:p>
        </w:tc>
        <w:tc>
          <w:tcPr>
            <w:tcW w:w="1685"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813"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40" w:after="40"/>
              <w:ind w:left="0" w:right="0" w:hanging="0"/>
              <w:jc w:val="right"/>
              <w:rPr>
                <w:rFonts w:ascii="Arial;Helvetica;sans-serif" w:hAnsi="Arial;Helvetica;sans-serif"/>
                <w:b/>
                <w:sz w:val="18"/>
              </w:rPr>
            </w:pPr>
            <w:r>
              <w:rPr>
                <w:rFonts w:ascii="Arial;Helvetica;sans-serif" w:hAnsi="Arial;Helvetica;sans-serif"/>
                <w:b/>
                <w:sz w:val="18"/>
              </w:rPr>
              <w:t>5I  </w:t>
            </w:r>
          </w:p>
        </w:tc>
        <w:tc>
          <w:tcPr>
            <w:tcW w:w="1804"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both"/>
              <w:rPr>
                <w:rFonts w:ascii="Arial;Helvetica;sans-serif" w:hAnsi="Arial;Helvetica;sans-serif"/>
                <w:sz w:val="18"/>
              </w:rPr>
            </w:pPr>
            <w:r>
              <w:rPr>
                <w:rFonts w:ascii="Arial;Helvetica;sans-serif" w:hAnsi="Arial;Helvetica;sans-serif"/>
                <w:sz w:val="18"/>
              </w:rPr>
              <w:t>Election of Samuel J. Merksamer as a director.</w:t>
            </w:r>
          </w:p>
        </w:tc>
        <w:tc>
          <w:tcPr>
            <w:tcW w:w="109" w:type="dxa"/>
            <w:tcBorders/>
            <w:vAlign w:val="center"/>
          </w:tcPr>
          <w:p>
            <w:pPr>
              <w:pStyle w:val="TableContents"/>
              <w:bidi w:val="0"/>
              <w:spacing w:lineRule="auto" w:line="285" w:before="0" w:after="0"/>
              <w:ind w:left="0" w:right="0" w:hanging="0"/>
              <w:jc w:val="both"/>
              <w:rPr/>
            </w:pPr>
            <w:r>
              <w:rPr/>
              <w:t>​</w:t>
            </w:r>
          </w:p>
        </w:tc>
        <w:tc>
          <w:tcPr>
            <w:tcW w:w="1726" w:type="dxa"/>
            <w:gridSpan w:val="2"/>
            <w:tcBorders/>
            <w:vAlign w:val="center"/>
          </w:tcPr>
          <w:p>
            <w:pPr>
              <w:pStyle w:val="TableContents"/>
              <w:bidi w:val="0"/>
              <w:spacing w:lineRule="auto" w:line="285" w:before="40" w:after="0"/>
              <w:ind w:left="0" w:right="0" w:hanging="0"/>
              <w:jc w:val="center"/>
              <w:rPr>
                <w:color w:val="005670"/>
              </w:rPr>
            </w:pPr>
            <w:r>
              <w:rPr>
                <w:color w:val="005670"/>
              </w:rPr>
              <w:t>​</w:t>
            </w:r>
          </w:p>
        </w:tc>
        <w:tc>
          <w:tcPr>
            <w:tcW w:w="1309"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vAlign w:val="center"/>
          </w:tcPr>
          <w:p>
            <w:pPr>
              <w:pStyle w:val="TableContents"/>
              <w:bidi w:val="0"/>
              <w:spacing w:lineRule="auto" w:line="285" w:before="0" w:after="0"/>
              <w:ind w:left="0" w:right="0" w:hanging="0"/>
              <w:jc w:val="center"/>
              <w:rPr>
                <w:color w:val="005670"/>
              </w:rPr>
            </w:pPr>
            <w:r>
              <w:rPr>
                <w:color w:val="005670"/>
              </w:rPr>
              <w:t>​</w:t>
            </w:r>
          </w:p>
        </w:tc>
        <w:tc>
          <w:tcPr>
            <w:tcW w:w="109" w:type="dxa"/>
            <w:tcBorders/>
            <w:vAlign w:val="center"/>
          </w:tcPr>
          <w:p>
            <w:pPr>
              <w:pStyle w:val="TableContents"/>
              <w:bidi w:val="0"/>
              <w:spacing w:lineRule="auto" w:line="285" w:before="0" w:after="0"/>
              <w:ind w:left="0" w:right="0" w:hanging="0"/>
              <w:jc w:val="both"/>
              <w:rPr/>
            </w:pPr>
            <w:r>
              <w:rPr/>
              <w:t>​</w:t>
            </w:r>
          </w:p>
        </w:tc>
        <w:tc>
          <w:tcPr>
            <w:tcW w:w="1685"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813"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40" w:after="40"/>
              <w:ind w:left="0" w:right="0" w:hanging="0"/>
              <w:jc w:val="right"/>
              <w:rPr>
                <w:rFonts w:ascii="Arial;Helvetica;sans-serif" w:hAnsi="Arial;Helvetica;sans-serif"/>
                <w:b/>
                <w:sz w:val="18"/>
              </w:rPr>
            </w:pPr>
            <w:r>
              <w:rPr>
                <w:rFonts w:ascii="Arial;Helvetica;sans-serif" w:hAnsi="Arial;Helvetica;sans-serif"/>
                <w:b/>
                <w:sz w:val="18"/>
              </w:rPr>
              <w:t>5J  </w:t>
            </w:r>
          </w:p>
        </w:tc>
        <w:tc>
          <w:tcPr>
            <w:tcW w:w="1804"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both"/>
              <w:rPr>
                <w:rFonts w:ascii="Arial;Helvetica;sans-serif" w:hAnsi="Arial;Helvetica;sans-serif"/>
                <w:sz w:val="18"/>
              </w:rPr>
            </w:pPr>
            <w:r>
              <w:rPr>
                <w:rFonts w:ascii="Arial;Helvetica;sans-serif" w:hAnsi="Arial;Helvetica;sans-serif"/>
                <w:sz w:val="18"/>
              </w:rPr>
              <w:t>Election of Frederik W. Mohn as a director.</w:t>
            </w:r>
          </w:p>
        </w:tc>
        <w:tc>
          <w:tcPr>
            <w:tcW w:w="109" w:type="dxa"/>
            <w:tcBorders/>
            <w:vAlign w:val="center"/>
          </w:tcPr>
          <w:p>
            <w:pPr>
              <w:pStyle w:val="TableContents"/>
              <w:bidi w:val="0"/>
              <w:spacing w:lineRule="auto" w:line="285" w:before="0" w:after="0"/>
              <w:ind w:left="0" w:right="0" w:hanging="0"/>
              <w:jc w:val="both"/>
              <w:rPr/>
            </w:pPr>
            <w:r>
              <w:rPr/>
              <w:t>​</w:t>
            </w:r>
          </w:p>
        </w:tc>
        <w:tc>
          <w:tcPr>
            <w:tcW w:w="1726" w:type="dxa"/>
            <w:gridSpan w:val="2"/>
            <w:tcBorders/>
            <w:vAlign w:val="center"/>
          </w:tcPr>
          <w:p>
            <w:pPr>
              <w:pStyle w:val="TableContents"/>
              <w:bidi w:val="0"/>
              <w:spacing w:lineRule="auto" w:line="285" w:before="40" w:after="0"/>
              <w:ind w:left="0" w:right="0" w:hanging="0"/>
              <w:jc w:val="center"/>
              <w:rPr>
                <w:color w:val="005670"/>
              </w:rPr>
            </w:pPr>
            <w:r>
              <w:rPr>
                <w:color w:val="005670"/>
              </w:rPr>
              <w:t>​</w:t>
            </w:r>
          </w:p>
        </w:tc>
        <w:tc>
          <w:tcPr>
            <w:tcW w:w="1309"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vAlign w:val="center"/>
          </w:tcPr>
          <w:p>
            <w:pPr>
              <w:pStyle w:val="TableContents"/>
              <w:bidi w:val="0"/>
              <w:spacing w:lineRule="auto" w:line="285" w:before="0" w:after="0"/>
              <w:ind w:left="0" w:right="0" w:hanging="0"/>
              <w:jc w:val="center"/>
              <w:rPr>
                <w:color w:val="005670"/>
              </w:rPr>
            </w:pPr>
            <w:r>
              <w:rPr>
                <w:color w:val="005670"/>
              </w:rPr>
              <w:t>​</w:t>
            </w:r>
          </w:p>
        </w:tc>
        <w:tc>
          <w:tcPr>
            <w:tcW w:w="109" w:type="dxa"/>
            <w:tcBorders/>
            <w:vAlign w:val="center"/>
          </w:tcPr>
          <w:p>
            <w:pPr>
              <w:pStyle w:val="TableContents"/>
              <w:bidi w:val="0"/>
              <w:spacing w:lineRule="auto" w:line="285" w:before="0" w:after="0"/>
              <w:ind w:left="0" w:right="0" w:hanging="0"/>
              <w:jc w:val="both"/>
              <w:rPr/>
            </w:pPr>
            <w:r>
              <w:rPr/>
              <w:t>​</w:t>
            </w:r>
          </w:p>
        </w:tc>
        <w:tc>
          <w:tcPr>
            <w:tcW w:w="1685"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813" w:type="dxa"/>
            <w:tcBorders>
              <w:top w:val="single" w:sz="2" w:space="0" w:color="E7E6E6"/>
            </w:tcBorders>
            <w:tcMar>
              <w:top w:w="28" w:type="dxa"/>
            </w:tcMar>
            <w:vAlign w:val="center"/>
          </w:tcPr>
          <w:p>
            <w:pPr>
              <w:pStyle w:val="TableContents"/>
              <w:pBdr/>
              <w:bidi w:val="0"/>
              <w:spacing w:lineRule="auto" w:line="285" w:before="40" w:after="40"/>
              <w:ind w:left="0" w:right="0" w:hanging="0"/>
              <w:jc w:val="right"/>
              <w:rPr>
                <w:rFonts w:ascii="Arial;Helvetica;sans-serif" w:hAnsi="Arial;Helvetica;sans-serif"/>
                <w:b/>
                <w:sz w:val="18"/>
              </w:rPr>
            </w:pPr>
            <w:r>
              <w:rPr>
                <w:rFonts w:ascii="Arial;Helvetica;sans-serif" w:hAnsi="Arial;Helvetica;sans-serif"/>
                <w:b/>
                <w:sz w:val="18"/>
              </w:rPr>
              <w:t>5K  </w:t>
            </w:r>
          </w:p>
        </w:tc>
        <w:tc>
          <w:tcPr>
            <w:tcW w:w="1804" w:type="dxa"/>
            <w:gridSpan w:val="3"/>
            <w:tcBorders>
              <w:top w:val="single" w:sz="2" w:space="0" w:color="E7E6E6"/>
            </w:tcBorders>
            <w:tcMar>
              <w:top w:w="28" w:type="dxa"/>
            </w:tcMar>
            <w:vAlign w:val="center"/>
          </w:tcPr>
          <w:p>
            <w:pPr>
              <w:pStyle w:val="TableContents"/>
              <w:bidi w:val="0"/>
              <w:spacing w:lineRule="auto" w:line="285" w:before="40" w:after="40"/>
              <w:ind w:left="0" w:right="0" w:hanging="0"/>
              <w:jc w:val="both"/>
              <w:rPr>
                <w:rFonts w:ascii="Arial;Helvetica;sans-serif" w:hAnsi="Arial;Helvetica;sans-serif"/>
                <w:sz w:val="18"/>
              </w:rPr>
            </w:pPr>
            <w:r>
              <w:rPr>
                <w:rFonts w:ascii="Arial;Helvetica;sans-serif" w:hAnsi="Arial;Helvetica;sans-serif"/>
                <w:sz w:val="18"/>
              </w:rPr>
              <w:t>Election of Jeremy D. Thigpen as a director.</w:t>
            </w:r>
          </w:p>
        </w:tc>
        <w:tc>
          <w:tcPr>
            <w:tcW w:w="109" w:type="dxa"/>
            <w:tcBorders/>
            <w:vAlign w:val="center"/>
          </w:tcPr>
          <w:p>
            <w:pPr>
              <w:pStyle w:val="TableContents"/>
              <w:bidi w:val="0"/>
              <w:spacing w:lineRule="auto" w:line="285" w:before="0" w:after="0"/>
              <w:ind w:left="0" w:right="0" w:hanging="0"/>
              <w:jc w:val="both"/>
              <w:rPr/>
            </w:pPr>
            <w:r>
              <w:rPr/>
              <w:t>​</w:t>
            </w:r>
          </w:p>
        </w:tc>
        <w:tc>
          <w:tcPr>
            <w:tcW w:w="1726" w:type="dxa"/>
            <w:gridSpan w:val="2"/>
            <w:tcBorders/>
            <w:vAlign w:val="center"/>
          </w:tcPr>
          <w:p>
            <w:pPr>
              <w:pStyle w:val="TableContents"/>
              <w:bidi w:val="0"/>
              <w:spacing w:lineRule="auto" w:line="285" w:before="40" w:after="0"/>
              <w:ind w:left="0" w:right="0" w:hanging="0"/>
              <w:jc w:val="center"/>
              <w:rPr>
                <w:color w:val="005670"/>
              </w:rPr>
            </w:pPr>
            <w:r>
              <w:rPr>
                <w:color w:val="005670"/>
              </w:rPr>
              <w:t>​</w:t>
            </w:r>
          </w:p>
        </w:tc>
        <w:tc>
          <w:tcPr>
            <w:tcW w:w="1309"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685"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617" w:type="dxa"/>
            <w:gridSpan w:val="4"/>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726" w:type="dxa"/>
            <w:gridSpan w:val="2"/>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309"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top w:val="single" w:sz="2" w:space="0" w:color="D9D9D9"/>
            </w:tcBorders>
            <w:tcMar>
              <w:top w:w="28" w:type="dxa"/>
            </w:tcMar>
            <w:vAlign w:val="center"/>
          </w:tcPr>
          <w:p>
            <w:pPr>
              <w:pStyle w:val="TableContents"/>
              <w:bidi w:val="0"/>
              <w:spacing w:lineRule="auto" w:line="285" w:before="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6</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both"/>
              <w:rPr/>
            </w:pPr>
            <w:r>
              <w:rPr/>
              <w:t>​</w:t>
            </w:r>
          </w:p>
        </w:tc>
        <w:tc>
          <w:tcPr>
            <w:tcW w:w="1685" w:type="dxa"/>
            <w:tcBorders>
              <w:top w:val="single" w:sz="2" w:space="0" w:color="D9D9D9"/>
            </w:tcBorders>
            <w:tcMar>
              <w:top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Election of the Chair of the Board of Directors for a Term Extending Until Completion of the Next Annual General Meeting</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both"/>
              <w:rPr/>
            </w:pPr>
            <w:r>
              <w:rPr/>
              <w:t>​</w:t>
            </w:r>
          </w:p>
        </w:tc>
        <w:tc>
          <w:tcPr>
            <w:tcW w:w="3617" w:type="dxa"/>
            <w:gridSpan w:val="4"/>
            <w:tcBorders>
              <w:top w:val="single" w:sz="2" w:space="0" w:color="D9D9D9"/>
            </w:tcBorders>
            <w:tcMar>
              <w:top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The Board of Directors proposes that Jeremy D. Thigpen be elected as the Chair of the Board of Directors for a term extending until completion of the next annual general meeting, subject to his election as a member of the Board of Directors.</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both"/>
              <w:rPr/>
            </w:pPr>
            <w:r>
              <w:rPr/>
              <w:t>​</w:t>
            </w:r>
          </w:p>
        </w:tc>
        <w:tc>
          <w:tcPr>
            <w:tcW w:w="659" w:type="dxa"/>
            <w:tcBorders>
              <w:top w:val="single" w:sz="2" w:space="0" w:color="D9D9D9"/>
            </w:tcBorders>
            <w:tcMar>
              <w:top w:w="28" w:type="dxa"/>
            </w:tcMar>
            <w:vAlign w:val="center"/>
          </w:tcPr>
          <w:p>
            <w:pPr>
              <w:pStyle w:val="TableContents"/>
              <w:bidi w:val="0"/>
              <w:spacing w:lineRule="auto" w:line="285" w:before="40" w:after="0"/>
              <w:ind w:left="0" w:right="0" w:hanging="0"/>
              <w:jc w:val="right"/>
              <w:rPr>
                <w:color w:val="005670"/>
              </w:rPr>
            </w:pPr>
            <w:r>
              <w:rPr>
                <w:color w:val="005670"/>
              </w:rPr>
              <w:t xml:space="preserve">✓ </w:t>
            </w:r>
          </w:p>
        </w:tc>
        <w:tc>
          <w:tcPr>
            <w:tcW w:w="1067" w:type="dxa"/>
            <w:tcBorders>
              <w:top w:val="single" w:sz="2" w:space="0" w:color="D9D9D9"/>
            </w:tcBorders>
            <w:tcMar>
              <w:top w:w="28" w:type="dxa"/>
            </w:tcMar>
            <w:vAlign w:val="center"/>
          </w:tcPr>
          <w:p>
            <w:pPr>
              <w:pStyle w:val="TableContents"/>
              <w:bidi w:val="0"/>
              <w:spacing w:lineRule="auto" w:line="285" w:before="18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c>
          <w:tcPr>
            <w:tcW w:w="1309"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685"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617" w:type="dxa"/>
            <w:gridSpan w:val="4"/>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726" w:type="dxa"/>
            <w:gridSpan w:val="2"/>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309"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vMerge w:val="restart"/>
            <w:tcBorders/>
            <w:vAlign w:val="center"/>
          </w:tcPr>
          <w:p>
            <w:pPr>
              <w:pStyle w:val="TableContents"/>
              <w:bidi w:val="0"/>
              <w:spacing w:lineRule="auto" w:line="285" w:before="40" w:after="0"/>
              <w:ind w:left="0" w:right="0" w:hanging="0"/>
              <w:jc w:val="center"/>
              <w:rPr>
                <w:rFonts w:ascii="Arial;Helvetica;sans-serif" w:hAnsi="Arial;Helvetica;sans-serif"/>
                <w:b/>
                <w:i w:val="false"/>
                <w:caps w:val="false"/>
                <w:smallCaps w:val="false"/>
                <w:color w:val="005670"/>
                <w:sz w:val="28"/>
              </w:rPr>
            </w:pPr>
            <w:r>
              <w:rPr>
                <w:rFonts w:ascii="Arial;Helvetica;sans-serif" w:hAnsi="Arial;Helvetica;sans-serif"/>
                <w:b/>
                <w:i w:val="false"/>
                <w:caps w:val="false"/>
                <w:smallCaps w:val="false"/>
                <w:color w:val="005670"/>
                <w:sz w:val="28"/>
              </w:rPr>
              <w:t>7</w:t>
            </w:r>
          </w:p>
        </w:tc>
        <w:tc>
          <w:tcPr>
            <w:tcW w:w="109" w:type="dxa"/>
            <w:vMerge w:val="restart"/>
            <w:tcBorders/>
            <w:vAlign w:val="center"/>
          </w:tcPr>
          <w:p>
            <w:pPr>
              <w:pStyle w:val="TableContents"/>
              <w:bidi w:val="0"/>
              <w:spacing w:lineRule="auto" w:line="285" w:before="0" w:after="0"/>
              <w:ind w:left="0" w:right="0" w:hanging="0"/>
              <w:jc w:val="both"/>
              <w:rPr>
                <w:caps w:val="false"/>
                <w:smallCaps w:val="false"/>
                <w:color w:val="000000"/>
              </w:rPr>
            </w:pPr>
            <w:r>
              <w:rPr>
                <w:caps w:val="false"/>
                <w:smallCaps w:val="false"/>
                <w:color w:val="000000"/>
              </w:rPr>
              <w:t>​</w:t>
            </w:r>
          </w:p>
        </w:tc>
        <w:tc>
          <w:tcPr>
            <w:tcW w:w="1685" w:type="dxa"/>
            <w:vMerge w:val="restart"/>
            <w:tcBorders/>
            <w:vAlign w:val="center"/>
          </w:tcPr>
          <w:p>
            <w:pPr>
              <w:pStyle w:val="TableContents"/>
              <w:bidi w:val="0"/>
              <w:spacing w:lineRule="auto" w:line="285" w:before="4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Election of the Members of the Compensation Committee, Each for a Term Extending Until Completion of the Next Annual General Meeting</w:t>
            </w:r>
          </w:p>
        </w:tc>
        <w:tc>
          <w:tcPr>
            <w:tcW w:w="109" w:type="dxa"/>
            <w:vMerge w:val="restart"/>
            <w:tcBorders/>
            <w:vAlign w:val="center"/>
          </w:tcPr>
          <w:p>
            <w:pPr>
              <w:pStyle w:val="TableContents"/>
              <w:bidi w:val="0"/>
              <w:spacing w:lineRule="auto" w:line="285" w:before="0" w:after="0"/>
              <w:ind w:left="0" w:right="0" w:hanging="0"/>
              <w:jc w:val="both"/>
              <w:rPr>
                <w:caps w:val="false"/>
                <w:smallCaps w:val="false"/>
                <w:color w:val="000000"/>
              </w:rPr>
            </w:pPr>
            <w:r>
              <w:rPr>
                <w:caps w:val="false"/>
                <w:smallCaps w:val="false"/>
                <w:color w:val="000000"/>
              </w:rPr>
              <w:t>​</w:t>
            </w:r>
          </w:p>
        </w:tc>
        <w:tc>
          <w:tcPr>
            <w:tcW w:w="3617" w:type="dxa"/>
            <w:gridSpan w:val="4"/>
            <w:vMerge w:val="restart"/>
            <w:tcBorders/>
            <w:vAlign w:val="center"/>
          </w:tcPr>
          <w:p>
            <w:pPr>
              <w:pStyle w:val="TableContents"/>
              <w:bidi w:val="0"/>
              <w:spacing w:lineRule="auto" w:line="285" w:before="4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Board of Directors proposes that the following three candidates be elected as members of the Compensation Committee, each for a term extending until completion of the next annual general meeting, subject in each case to such candidate’s election as a member of the Board of Directors:</w:t>
            </w:r>
          </w:p>
        </w:tc>
        <w:tc>
          <w:tcPr>
            <w:tcW w:w="109" w:type="dxa"/>
            <w:vMerge w:val="restart"/>
            <w:tcBorders/>
            <w:vAlign w:val="center"/>
          </w:tcPr>
          <w:p>
            <w:pPr>
              <w:pStyle w:val="TableContents"/>
              <w:bidi w:val="0"/>
              <w:spacing w:lineRule="auto" w:line="285" w:before="0" w:after="0"/>
              <w:ind w:left="0" w:right="0" w:hanging="0"/>
              <w:jc w:val="both"/>
              <w:rPr>
                <w:caps w:val="false"/>
                <w:smallCaps w:val="false"/>
                <w:color w:val="000000"/>
              </w:rPr>
            </w:pPr>
            <w:r>
              <w:rPr>
                <w:caps w:val="false"/>
                <w:smallCaps w:val="false"/>
                <w:color w:val="000000"/>
              </w:rPr>
              <w:t>​</w:t>
            </w:r>
          </w:p>
        </w:tc>
        <w:tc>
          <w:tcPr>
            <w:tcW w:w="659" w:type="dxa"/>
            <w:tcBorders/>
            <w:vAlign w:val="center"/>
          </w:tcPr>
          <w:p>
            <w:pPr>
              <w:pStyle w:val="TableContents"/>
              <w:bidi w:val="0"/>
              <w:spacing w:lineRule="auto" w:line="285" w:before="40" w:after="0"/>
              <w:ind w:left="0" w:right="0" w:hanging="0"/>
              <w:jc w:val="right"/>
              <w:rPr>
                <w:color w:val="005670"/>
              </w:rPr>
            </w:pPr>
            <w:r>
              <w:rPr>
                <w:color w:val="005670"/>
              </w:rPr>
              <w:t xml:space="preserve">✓ </w:t>
            </w:r>
          </w:p>
        </w:tc>
        <w:tc>
          <w:tcPr>
            <w:tcW w:w="1067" w:type="dxa"/>
            <w:tcBorders>
              <w:top w:val="single" w:sz="2" w:space="0" w:color="D9D9D9"/>
            </w:tcBorders>
            <w:tcMar>
              <w:top w:w="28" w:type="dxa"/>
            </w:tcMar>
            <w:vAlign w:val="center"/>
          </w:tcPr>
          <w:p>
            <w:pPr>
              <w:pStyle w:val="TableContents"/>
              <w:bidi w:val="0"/>
              <w:spacing w:lineRule="auto" w:line="285" w:before="18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c>
          <w:tcPr>
            <w:tcW w:w="1309" w:type="dxa"/>
            <w:gridSpan w:val="5"/>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9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1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68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3617" w:type="dxa"/>
            <w:gridSpan w:val="4"/>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659" w:type="dxa"/>
            <w:tcBorders/>
            <w:vAlign w:val="center"/>
          </w:tcPr>
          <w:p>
            <w:pPr>
              <w:pStyle w:val="TableContents"/>
              <w:bidi w:val="0"/>
              <w:spacing w:lineRule="auto" w:line="285" w:before="0" w:after="0"/>
              <w:ind w:left="0" w:right="0" w:hanging="0"/>
              <w:jc w:val="center"/>
              <w:rPr>
                <w:color w:val="005670"/>
              </w:rPr>
            </w:pPr>
            <w:r>
              <w:rPr>
                <w:color w:val="005670"/>
              </w:rPr>
              <w:t>​</w:t>
            </w:r>
          </w:p>
        </w:tc>
        <w:tc>
          <w:tcPr>
            <w:tcW w:w="1067"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top w:val="single" w:sz="2" w:space="0" w:color="ECA44A"/>
            </w:tcBorders>
            <w:tcMar>
              <w:top w:w="28" w:type="dxa"/>
            </w:tcMar>
            <w:vAlign w:val="center"/>
          </w:tcPr>
          <w:p>
            <w:pPr>
              <w:pStyle w:val="TableContents"/>
              <w:bidi w:val="0"/>
              <w:spacing w:lineRule="auto" w:line="285" w:before="0" w:after="0"/>
              <w:ind w:left="0" w:right="0" w:hanging="0"/>
              <w:jc w:val="both"/>
              <w:rPr/>
            </w:pPr>
            <w:r>
              <w:rPr/>
              <w:t>​</w:t>
            </w:r>
          </w:p>
        </w:tc>
        <w:tc>
          <w:tcPr>
            <w:tcW w:w="1091" w:type="dxa"/>
            <w:gridSpan w:val="3"/>
            <w:tcBorders/>
            <w:vAlign w:val="center"/>
          </w:tcPr>
          <w:p>
            <w:pPr>
              <w:pStyle w:val="TableContents"/>
              <w:bidi w:val="0"/>
              <w:spacing w:lineRule="auto" w:line="285" w:before="20" w:after="0"/>
              <w:ind w:left="0" w:right="0" w:hanging="0"/>
              <w:jc w:val="left"/>
              <w:rPr/>
            </w:pPr>
            <w:r>
              <w:rPr/>
              <w:t>​</w:t>
            </w:r>
          </w:p>
        </w:tc>
        <w:tc>
          <w:tcPr>
            <w:tcW w:w="109" w:type="dxa"/>
            <w:tcBorders>
              <w:top w:val="single" w:sz="2" w:space="0" w:color="ECA44A"/>
            </w:tcBorders>
            <w:tcMar>
              <w:top w:w="28" w:type="dxa"/>
            </w:tcMar>
            <w:vAlign w:val="center"/>
          </w:tcPr>
          <w:p>
            <w:pPr>
              <w:pStyle w:val="TableContents"/>
              <w:bidi w:val="0"/>
              <w:spacing w:lineRule="auto" w:line="285" w:before="0" w:after="0"/>
              <w:ind w:left="0" w:right="0" w:hanging="0"/>
              <w:jc w:val="both"/>
              <w:rPr/>
            </w:pPr>
            <w:r>
              <w:rPr/>
              <w:t>​</w:t>
            </w:r>
          </w:p>
        </w:tc>
        <w:tc>
          <w:tcPr>
            <w:tcW w:w="92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Each Nominee</w:t>
            </w:r>
          </w:p>
        </w:tc>
      </w:tr>
      <w:tr>
        <w:trPr/>
        <w:tc>
          <w:tcPr>
            <w:tcW w:w="511" w:type="dxa"/>
            <w:tcBorders/>
            <w:vAlign w:val="center"/>
          </w:tcPr>
          <w:p>
            <w:pPr>
              <w:pStyle w:val="TableContents"/>
              <w:bidi w:val="0"/>
              <w:spacing w:lineRule="auto" w:line="285" w:before="0" w:after="0"/>
              <w:ind w:left="0" w:right="0" w:hanging="0"/>
              <w:jc w:val="center"/>
              <w:rPr>
                <w:color w:val="005670"/>
              </w:rPr>
            </w:pPr>
            <w:r>
              <w:rPr>
                <w:color w:val="005670"/>
              </w:rPr>
              <w:t>​</w:t>
            </w:r>
          </w:p>
        </w:tc>
        <w:tc>
          <w:tcPr>
            <w:tcW w:w="109" w:type="dxa"/>
            <w:tcBorders/>
            <w:vAlign w:val="center"/>
          </w:tcPr>
          <w:p>
            <w:pPr>
              <w:pStyle w:val="TableContents"/>
              <w:bidi w:val="0"/>
              <w:spacing w:lineRule="auto" w:line="285" w:before="0" w:after="0"/>
              <w:ind w:left="0" w:right="0" w:hanging="0"/>
              <w:jc w:val="both"/>
              <w:rPr/>
            </w:pPr>
            <w:r>
              <w:rPr/>
              <w:t>​</w:t>
            </w:r>
          </w:p>
        </w:tc>
        <w:tc>
          <w:tcPr>
            <w:tcW w:w="168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813"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40" w:after="40"/>
              <w:ind w:left="0" w:right="0" w:hanging="0"/>
              <w:jc w:val="right"/>
              <w:rPr>
                <w:rFonts w:ascii="Arial;Helvetica;sans-serif" w:hAnsi="Arial;Helvetica;sans-serif"/>
                <w:b/>
                <w:sz w:val="18"/>
              </w:rPr>
            </w:pPr>
            <w:r>
              <w:rPr>
                <w:rFonts w:ascii="Arial;Helvetica;sans-serif" w:hAnsi="Arial;Helvetica;sans-serif"/>
                <w:b/>
                <w:sz w:val="18"/>
              </w:rPr>
              <w:t>7A  </w:t>
            </w:r>
          </w:p>
        </w:tc>
        <w:tc>
          <w:tcPr>
            <w:tcW w:w="1804"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left"/>
              <w:rPr>
                <w:rFonts w:ascii="Arial;Helvetica;sans-serif" w:hAnsi="Arial;Helvetica;sans-serif"/>
                <w:sz w:val="18"/>
              </w:rPr>
            </w:pPr>
            <w:r>
              <w:rPr>
                <w:rFonts w:ascii="Arial;Helvetica;sans-serif" w:hAnsi="Arial;Helvetica;sans-serif"/>
                <w:sz w:val="18"/>
              </w:rPr>
              <w:t>Election of Glyn A. Barker as a member of the Compensation Committee.</w:t>
            </w:r>
          </w:p>
        </w:tc>
        <w:tc>
          <w:tcPr>
            <w:tcW w:w="109" w:type="dxa"/>
            <w:tcBorders/>
            <w:vAlign w:val="center"/>
          </w:tcPr>
          <w:p>
            <w:pPr>
              <w:pStyle w:val="TableContents"/>
              <w:bidi w:val="0"/>
              <w:spacing w:lineRule="auto" w:line="285" w:before="0" w:after="0"/>
              <w:ind w:left="0" w:right="0" w:hanging="0"/>
              <w:jc w:val="both"/>
              <w:rPr/>
            </w:pPr>
            <w:r>
              <w:rPr/>
              <w:t>​</w:t>
            </w:r>
          </w:p>
        </w:tc>
        <w:tc>
          <w:tcPr>
            <w:tcW w:w="1726" w:type="dxa"/>
            <w:gridSpan w:val="2"/>
            <w:tcBorders/>
            <w:vAlign w:val="center"/>
          </w:tcPr>
          <w:p>
            <w:pPr>
              <w:pStyle w:val="TableContents"/>
              <w:bidi w:val="0"/>
              <w:spacing w:lineRule="auto" w:line="285" w:before="40" w:after="0"/>
              <w:ind w:left="0" w:right="0" w:hanging="0"/>
              <w:jc w:val="center"/>
              <w:rPr>
                <w:color w:val="005670"/>
              </w:rPr>
            </w:pPr>
            <w:r>
              <w:rPr>
                <w:color w:val="005670"/>
              </w:rPr>
              <w:t>​</w:t>
            </w:r>
          </w:p>
        </w:tc>
        <w:tc>
          <w:tcPr>
            <w:tcW w:w="2339" w:type="dxa"/>
            <w:gridSpan w:val="7"/>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P-11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29" w:name="_aa5a256e_a4cd_4ea1_a3d2_cda6039998c8"/>
      <w:bookmarkStart w:id="30" w:name="_aa5a256e_a4cd_4ea1_a3d2_cda6039998c8"/>
      <w:bookmarkEnd w:id="30"/>
    </w:p>
    <w:tbl>
      <w:tblPr>
        <w:tblW w:w="7205" w:type="dxa"/>
        <w:jc w:val="left"/>
        <w:tblInd w:w="0" w:type="dxa"/>
        <w:tblLayout w:type="fixed"/>
        <w:tblCellMar>
          <w:top w:w="0" w:type="dxa"/>
          <w:left w:w="0" w:type="dxa"/>
          <w:bottom w:w="0" w:type="dxa"/>
          <w:right w:w="0" w:type="dxa"/>
        </w:tblCellMar>
      </w:tblPr>
      <w:tblGrid>
        <w:gridCol w:w="7051"/>
        <w:gridCol w:w="154"/>
      </w:tblGrid>
      <w:tr>
        <w:trPr/>
        <w:tc>
          <w:tcPr>
            <w:tcW w:w="7051"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7051" w:type="dxa"/>
            <w:tcBorders>
              <w:top w:val="single" w:sz="2" w:space="0" w:color="000000"/>
              <w:left w:val="single" w:sz="2" w:space="0" w:color="000000"/>
              <w:bottom w:val="single" w:sz="12" w:space="0" w:color="D9D9D9"/>
            </w:tcBorders>
            <w:shd w:fill="005670" w:val="clear"/>
            <w:tcMar>
              <w:top w:w="28" w:type="dxa"/>
              <w:left w:w="103" w:type="dxa"/>
              <w:bottom w:w="28" w:type="dxa"/>
            </w:tcMar>
            <w:vAlign w:val="center"/>
          </w:tcPr>
          <w:p>
            <w:pPr>
              <w:pStyle w:val="TableContents"/>
              <w:bidi w:val="0"/>
              <w:spacing w:lineRule="auto" w:line="285" w:before="120" w:after="120"/>
              <w:ind w:left="0" w:right="0" w:hanging="0"/>
              <w:jc w:val="left"/>
              <w:rPr>
                <w:rFonts w:ascii="Arial;Helvetica;sans-serif" w:hAnsi="Arial;Helvetica;sans-serif"/>
                <w:color w:val="FFFFFF"/>
                <w:sz w:val="20"/>
              </w:rPr>
            </w:pPr>
            <w:r>
              <w:rPr>
                <w:rFonts w:ascii="Arial;Helvetica;sans-serif" w:hAnsi="Arial;Helvetica;sans-serif"/>
                <w:color w:val="FFFFFF"/>
                <w:sz w:val="20"/>
              </w:rPr>
              <w:t>INVITATION TO 2026 ANNUAL GENERAL MEETING OF TRANSOCEAN LTD.</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61"/>
        <w:gridCol w:w="109"/>
        <w:gridCol w:w="1693"/>
        <w:gridCol w:w="109"/>
        <w:gridCol w:w="1038"/>
        <w:gridCol w:w="960"/>
        <w:gridCol w:w="960"/>
        <w:gridCol w:w="715"/>
        <w:gridCol w:w="109"/>
        <w:gridCol w:w="659"/>
        <w:gridCol w:w="1067"/>
        <w:gridCol w:w="436"/>
        <w:gridCol w:w="1425"/>
        <w:gridCol w:w="109"/>
        <w:gridCol w:w="155"/>
      </w:tblGrid>
      <w:tr>
        <w:trPr/>
        <w:tc>
          <w:tcPr>
            <w:tcW w:w="66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9550" cy="29210"/>
                      <wp:effectExtent l="0" t="0" r="0" b="0"/>
                      <wp:wrapNone/>
                      <wp:docPr id="71" name="Frame20"/>
                      <a:graphic xmlns:a="http://schemas.openxmlformats.org/drawingml/2006/main">
                        <a:graphicData uri="http://schemas.microsoft.com/office/word/2010/wordprocessingShape">
                          <wps:wsp>
                            <wps:cNvSpPr txBox="1"/>
                            <wps:spPr>
                              <a:xfrm>
                                <a:off x="0" y="0"/>
                                <a:ext cx="2095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lineRule="auto" w:line="285" w:before="0" w:after="0"/>
              <w:ind w:left="0" w:right="0" w:hanging="0"/>
              <w:jc w:val="both"/>
              <w:rPr/>
            </w:pPr>
            <w:r>
              <w:rPr/>
              <w:t>​</w:t>
            </w:r>
          </w:p>
        </w:tc>
        <w:tc>
          <w:tcPr>
            <w:tcW w:w="169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37210" cy="29210"/>
                      <wp:effectExtent l="0" t="0" r="0" b="0"/>
                      <wp:wrapNone/>
                      <wp:docPr id="72" name="Frame21"/>
                      <a:graphic xmlns:a="http://schemas.openxmlformats.org/drawingml/2006/main">
                        <a:graphicData uri="http://schemas.microsoft.com/office/word/2010/wordprocessingShape">
                          <wps:wsp>
                            <wps:cNvSpPr txBox="1"/>
                            <wps:spPr>
                              <a:xfrm>
                                <a:off x="0" y="0"/>
                                <a:ext cx="537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lineRule="auto" w:line="285" w:before="0" w:after="0"/>
              <w:ind w:left="0" w:right="0" w:hanging="0"/>
              <w:jc w:val="both"/>
              <w:rPr/>
            </w:pPr>
            <w:r>
              <w:rPr/>
              <w:t>​</w:t>
            </w:r>
          </w:p>
        </w:tc>
        <w:tc>
          <w:tcPr>
            <w:tcW w:w="3673" w:type="dxa"/>
            <w:gridSpan w:val="4"/>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165860" cy="29210"/>
                      <wp:effectExtent l="0" t="0" r="0" b="0"/>
                      <wp:wrapNone/>
                      <wp:docPr id="73" name="Frame22"/>
                      <a:graphic xmlns:a="http://schemas.openxmlformats.org/drawingml/2006/main">
                        <a:graphicData uri="http://schemas.microsoft.com/office/word/2010/wordprocessingShape">
                          <wps:wsp>
                            <wps:cNvSpPr txBox="1"/>
                            <wps:spPr>
                              <a:xfrm>
                                <a:off x="0" y="0"/>
                                <a:ext cx="1165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lineRule="auto" w:line="285" w:before="0" w:after="0"/>
              <w:ind w:left="0" w:right="0" w:hanging="0"/>
              <w:jc w:val="both"/>
              <w:rPr/>
            </w:pPr>
            <w:r>
              <w:rPr/>
              <w:t>​</w:t>
            </w:r>
          </w:p>
        </w:tc>
        <w:tc>
          <w:tcPr>
            <w:tcW w:w="1726"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48005" cy="29210"/>
                      <wp:effectExtent l="0" t="0" r="0" b="0"/>
                      <wp:wrapNone/>
                      <wp:docPr id="74" name="Frame23"/>
                      <a:graphic xmlns:a="http://schemas.openxmlformats.org/drawingml/2006/main">
                        <a:graphicData uri="http://schemas.microsoft.com/office/word/2010/wordprocessingShape">
                          <wps:wsp>
                            <wps:cNvSpPr txBox="1"/>
                            <wps:spPr>
                              <a:xfrm>
                                <a:off x="0" y="0"/>
                                <a:ext cx="5480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3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42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661" w:type="dxa"/>
            <w:tcBorders>
              <w:bottom w:val="single" w:sz="12" w:space="0" w:color="ECA44A"/>
            </w:tcBorders>
            <w:tcMar>
              <w:bottom w:w="28" w:type="dxa"/>
            </w:tcMar>
            <w:vAlign w:val="center"/>
          </w:tcPr>
          <w:p>
            <w:pPr>
              <w:pStyle w:val="TableHeading"/>
              <w:bidi w:val="0"/>
              <w:spacing w:lineRule="auto" w:line="285" w:before="0" w:after="40"/>
              <w:ind w:left="0" w:right="0" w:hanging="0"/>
              <w:jc w:val="center"/>
              <w:rPr>
                <w:rFonts w:ascii="Arial;Helvetica;sans-serif" w:hAnsi="Arial;Helvetica;sans-serif"/>
                <w:b/>
                <w:color w:val="4B4F54"/>
                <w:sz w:val="17"/>
              </w:rPr>
            </w:pPr>
            <w:r>
              <w:rPr>
                <w:rFonts w:ascii="Arial;Helvetica;sans-serif" w:hAnsi="Arial;Helvetica;sans-serif"/>
                <w:b/>
                <w:color w:val="4B4F54"/>
                <w:sz w:val="17"/>
              </w:rPr>
              <w:t>ITEM</w:t>
            </w:r>
          </w:p>
        </w:tc>
        <w:tc>
          <w:tcPr>
            <w:tcW w:w="109" w:type="dxa"/>
            <w:tcBorders/>
            <w:vAlign w:val="center"/>
          </w:tcPr>
          <w:p>
            <w:pPr>
              <w:pStyle w:val="TableHeading"/>
              <w:bidi w:val="0"/>
              <w:spacing w:lineRule="auto" w:line="285" w:before="0" w:after="0"/>
              <w:ind w:left="0" w:right="0" w:hanging="0"/>
              <w:jc w:val="both"/>
              <w:rPr>
                <w:color w:val="4B4F54"/>
              </w:rPr>
            </w:pPr>
            <w:r>
              <w:rPr>
                <w:color w:val="4B4F54"/>
              </w:rPr>
              <w:t>​</w:t>
            </w:r>
          </w:p>
        </w:tc>
        <w:tc>
          <w:tcPr>
            <w:tcW w:w="1693" w:type="dxa"/>
            <w:tcBorders>
              <w:bottom w:val="single" w:sz="12" w:space="0" w:color="ECA44A"/>
            </w:tcBorders>
            <w:tcMar>
              <w:bottom w:w="28" w:type="dxa"/>
            </w:tcMar>
            <w:vAlign w:val="center"/>
          </w:tcPr>
          <w:p>
            <w:pPr>
              <w:pStyle w:val="TableHeading"/>
              <w:bidi w:val="0"/>
              <w:spacing w:lineRule="auto" w:line="285" w:before="0" w:after="40"/>
              <w:ind w:left="0" w:right="0" w:hanging="0"/>
              <w:jc w:val="both"/>
              <w:rPr>
                <w:rFonts w:ascii="Arial;Helvetica;sans-serif" w:hAnsi="Arial;Helvetica;sans-serif"/>
                <w:b/>
                <w:color w:val="4B4F54"/>
                <w:sz w:val="17"/>
              </w:rPr>
            </w:pPr>
            <w:r>
              <w:rPr>
                <w:rFonts w:ascii="Arial;Helvetica;sans-serif" w:hAnsi="Arial;Helvetica;sans-serif"/>
                <w:b/>
                <w:color w:val="4B4F54"/>
                <w:sz w:val="17"/>
              </w:rPr>
              <w:t>DESCRIPTION</w:t>
            </w:r>
          </w:p>
        </w:tc>
        <w:tc>
          <w:tcPr>
            <w:tcW w:w="109" w:type="dxa"/>
            <w:tcBorders/>
            <w:vAlign w:val="center"/>
          </w:tcPr>
          <w:p>
            <w:pPr>
              <w:pStyle w:val="TableHeading"/>
              <w:bidi w:val="0"/>
              <w:spacing w:lineRule="auto" w:line="285" w:before="0" w:after="0"/>
              <w:ind w:left="0" w:right="0" w:hanging="0"/>
              <w:jc w:val="both"/>
              <w:rPr>
                <w:color w:val="4B4F54"/>
              </w:rPr>
            </w:pPr>
            <w:r>
              <w:rPr>
                <w:color w:val="4B4F54"/>
              </w:rPr>
              <w:t>​</w:t>
            </w:r>
          </w:p>
        </w:tc>
        <w:tc>
          <w:tcPr>
            <w:tcW w:w="3673" w:type="dxa"/>
            <w:gridSpan w:val="4"/>
            <w:tcBorders>
              <w:bottom w:val="single" w:sz="12" w:space="0" w:color="ECA44A"/>
            </w:tcBorders>
            <w:tcMar>
              <w:bottom w:w="28" w:type="dxa"/>
            </w:tcMar>
            <w:vAlign w:val="center"/>
          </w:tcPr>
          <w:p>
            <w:pPr>
              <w:pStyle w:val="TableHeading"/>
              <w:bidi w:val="0"/>
              <w:spacing w:lineRule="auto" w:line="285" w:before="0" w:after="40"/>
              <w:ind w:left="0" w:right="0" w:hanging="0"/>
              <w:jc w:val="both"/>
              <w:rPr>
                <w:rFonts w:ascii="Arial;Helvetica;sans-serif" w:hAnsi="Arial;Helvetica;sans-serif"/>
                <w:b/>
                <w:color w:val="4B4F54"/>
                <w:sz w:val="17"/>
              </w:rPr>
            </w:pPr>
            <w:r>
              <w:rPr>
                <w:rFonts w:ascii="Arial;Helvetica;sans-serif" w:hAnsi="Arial;Helvetica;sans-serif"/>
                <w:b/>
                <w:color w:val="4B4F54"/>
                <w:sz w:val="17"/>
              </w:rPr>
              <w:t>PROPOSAL OF THE BOARD OF DIRECTORS</w:t>
            </w:r>
          </w:p>
        </w:tc>
        <w:tc>
          <w:tcPr>
            <w:tcW w:w="109" w:type="dxa"/>
            <w:tcBorders/>
            <w:vAlign w:val="center"/>
          </w:tcPr>
          <w:p>
            <w:pPr>
              <w:pStyle w:val="TableHeading"/>
              <w:bidi w:val="0"/>
              <w:spacing w:lineRule="auto" w:line="285" w:before="0" w:after="0"/>
              <w:ind w:left="0" w:right="0" w:hanging="0"/>
              <w:jc w:val="both"/>
              <w:rPr>
                <w:color w:val="4B4F54"/>
              </w:rPr>
            </w:pPr>
            <w:r>
              <w:rPr>
                <w:color w:val="4B4F54"/>
              </w:rPr>
              <w:t>​</w:t>
            </w:r>
          </w:p>
        </w:tc>
        <w:tc>
          <w:tcPr>
            <w:tcW w:w="1726" w:type="dxa"/>
            <w:gridSpan w:val="2"/>
            <w:tcBorders>
              <w:bottom w:val="single" w:sz="12" w:space="0" w:color="ECA44A"/>
            </w:tcBorders>
            <w:tcMar>
              <w:bottom w:w="28" w:type="dxa"/>
            </w:tcMar>
            <w:vAlign w:val="center"/>
          </w:tcPr>
          <w:p>
            <w:pPr>
              <w:pStyle w:val="TableHeading"/>
              <w:bidi w:val="0"/>
              <w:spacing w:lineRule="auto" w:line="285" w:before="0" w:after="40"/>
              <w:ind w:left="0" w:right="0" w:hanging="0"/>
              <w:jc w:val="center"/>
              <w:rPr>
                <w:rFonts w:ascii="Arial;Helvetica;sans-serif" w:hAnsi="Arial;Helvetica;sans-serif"/>
                <w:b/>
                <w:color w:val="4B4F54"/>
                <w:sz w:val="17"/>
              </w:rPr>
            </w:pPr>
            <w:r>
              <w:rPr>
                <w:rFonts w:ascii="Arial;Helvetica;sans-serif" w:hAnsi="Arial;Helvetica;sans-serif"/>
                <w:b/>
                <w:color w:val="4B4F54"/>
                <w:sz w:val="17"/>
              </w:rPr>
              <w:t>BOARD</w:t>
              <w:br/>
              <w:t>RECOMMENDATION</w:t>
            </w:r>
          </w:p>
        </w:tc>
        <w:tc>
          <w:tcPr>
            <w:tcW w:w="43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42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661" w:type="dxa"/>
            <w:vMerge w:val="restart"/>
            <w:tcBorders/>
            <w:vAlign w:val="center"/>
          </w:tcPr>
          <w:p>
            <w:pPr>
              <w:pStyle w:val="TableContents"/>
              <w:bidi w:val="0"/>
              <w:spacing w:lineRule="auto" w:line="285" w:before="0" w:after="0"/>
              <w:ind w:left="0" w:right="0" w:hanging="0"/>
              <w:jc w:val="center"/>
              <w:rPr>
                <w:caps w:val="false"/>
                <w:smallCaps w:val="false"/>
                <w:color w:val="005670"/>
              </w:rPr>
            </w:pPr>
            <w:r>
              <w:rPr>
                <w:caps w:val="false"/>
                <w:smallCaps w:val="false"/>
                <w:color w:val="005670"/>
              </w:rPr>
              <w:t>​</w:t>
            </w:r>
          </w:p>
        </w:tc>
        <w:tc>
          <w:tcPr>
            <w:tcW w:w="109" w:type="dxa"/>
            <w:vMerge w:val="restart"/>
            <w:tcBorders/>
            <w:vAlign w:val="center"/>
          </w:tcPr>
          <w:p>
            <w:pPr>
              <w:pStyle w:val="TableContents"/>
              <w:bidi w:val="0"/>
              <w:spacing w:lineRule="auto" w:line="285" w:before="0" w:after="0"/>
              <w:ind w:left="0" w:right="0" w:hanging="0"/>
              <w:jc w:val="both"/>
              <w:rPr>
                <w:caps w:val="false"/>
                <w:smallCaps w:val="false"/>
                <w:color w:val="000000"/>
              </w:rPr>
            </w:pPr>
            <w:r>
              <w:rPr>
                <w:caps w:val="false"/>
                <w:smallCaps w:val="false"/>
                <w:color w:val="000000"/>
              </w:rPr>
              <w:t>​</w:t>
            </w:r>
          </w:p>
        </w:tc>
        <w:tc>
          <w:tcPr>
            <w:tcW w:w="1693" w:type="dxa"/>
            <w:vMerge w:val="restart"/>
            <w:tcBorders/>
            <w:vAlign w:val="center"/>
          </w:tcPr>
          <w:p>
            <w:pPr>
              <w:pStyle w:val="TableContents"/>
              <w:bidi w:val="0"/>
              <w:spacing w:lineRule="auto" w:line="285" w:before="0" w:after="0"/>
              <w:ind w:left="0" w:right="0" w:hanging="0"/>
              <w:jc w:val="both"/>
              <w:rPr>
                <w:caps w:val="false"/>
                <w:smallCaps w:val="false"/>
                <w:color w:val="000000"/>
              </w:rPr>
            </w:pPr>
            <w:r>
              <w:rPr>
                <w:caps w:val="false"/>
                <w:smallCaps w:val="false"/>
                <w:color w:val="000000"/>
              </w:rPr>
              <w:t>​</w:t>
            </w:r>
          </w:p>
        </w:tc>
        <w:tc>
          <w:tcPr>
            <w:tcW w:w="109" w:type="dxa"/>
            <w:vMerge w:val="restart"/>
            <w:tcBorders/>
            <w:vAlign w:val="center"/>
          </w:tcPr>
          <w:p>
            <w:pPr>
              <w:pStyle w:val="TableContents"/>
              <w:bidi w:val="0"/>
              <w:spacing w:lineRule="auto" w:line="285" w:before="0" w:after="0"/>
              <w:ind w:left="0" w:right="0" w:hanging="0"/>
              <w:jc w:val="both"/>
              <w:rPr>
                <w:caps w:val="false"/>
                <w:smallCaps w:val="false"/>
                <w:color w:val="000000"/>
              </w:rPr>
            </w:pPr>
            <w:r>
              <w:rPr>
                <w:caps w:val="false"/>
                <w:smallCaps w:val="false"/>
                <w:color w:val="000000"/>
              </w:rPr>
              <w:t>​</w:t>
            </w:r>
          </w:p>
        </w:tc>
        <w:tc>
          <w:tcPr>
            <w:tcW w:w="1038"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40" w:after="40"/>
              <w:ind w:left="0" w:right="0" w:hanging="0"/>
              <w:jc w:val="right"/>
              <w:rPr>
                <w:rFonts w:ascii="Arial;Helvetica;sans-serif" w:hAnsi="Arial;Helvetica;sans-serif"/>
                <w:b/>
                <w:sz w:val="18"/>
              </w:rPr>
            </w:pPr>
            <w:r>
              <w:rPr>
                <w:rFonts w:ascii="Arial;Helvetica;sans-serif" w:hAnsi="Arial;Helvetica;sans-serif"/>
                <w:b/>
                <w:sz w:val="18"/>
              </w:rPr>
              <w:t>7B  </w:t>
            </w:r>
          </w:p>
        </w:tc>
        <w:tc>
          <w:tcPr>
            <w:tcW w:w="2635"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left"/>
              <w:rPr>
                <w:rFonts w:ascii="Arial;Helvetica;sans-serif" w:hAnsi="Arial;Helvetica;sans-serif"/>
                <w:sz w:val="18"/>
              </w:rPr>
            </w:pPr>
            <w:r>
              <w:rPr>
                <w:rFonts w:ascii="Arial;Helvetica;sans-serif" w:hAnsi="Arial;Helvetica;sans-serif"/>
                <w:sz w:val="18"/>
              </w:rPr>
              <w:t>Election of Vanessa C.L. Chang as a member of the Compensation Committee.</w:t>
            </w:r>
          </w:p>
        </w:tc>
        <w:tc>
          <w:tcPr>
            <w:tcW w:w="109" w:type="dxa"/>
            <w:vMerge w:val="restart"/>
            <w:tcBorders/>
            <w:vAlign w:val="center"/>
          </w:tcPr>
          <w:p>
            <w:pPr>
              <w:pStyle w:val="TableContents"/>
              <w:bidi w:val="0"/>
              <w:spacing w:lineRule="auto" w:line="285" w:before="0" w:after="0"/>
              <w:ind w:left="0" w:right="0" w:hanging="0"/>
              <w:jc w:val="both"/>
              <w:rPr>
                <w:caps w:val="false"/>
                <w:smallCaps w:val="false"/>
                <w:color w:val="000000"/>
              </w:rPr>
            </w:pPr>
            <w:r>
              <w:rPr>
                <w:caps w:val="false"/>
                <w:smallCaps w:val="false"/>
                <w:color w:val="000000"/>
              </w:rPr>
              <w:t>​</w:t>
            </w:r>
          </w:p>
        </w:tc>
        <w:tc>
          <w:tcPr>
            <w:tcW w:w="1726" w:type="dxa"/>
            <w:gridSpan w:val="2"/>
            <w:vMerge w:val="restart"/>
            <w:tcBorders/>
            <w:vAlign w:val="center"/>
          </w:tcPr>
          <w:p>
            <w:pPr>
              <w:pStyle w:val="TableContents"/>
              <w:bidi w:val="0"/>
              <w:spacing w:lineRule="auto" w:line="285" w:before="40" w:after="0"/>
              <w:ind w:left="0" w:right="0" w:hanging="0"/>
              <w:jc w:val="right"/>
              <w:rPr>
                <w:caps w:val="false"/>
                <w:smallCaps w:val="false"/>
                <w:color w:val="005670"/>
              </w:rPr>
            </w:pPr>
            <w:r>
              <w:rPr>
                <w:caps w:val="false"/>
                <w:smallCaps w:val="false"/>
                <w:color w:val="005670"/>
              </w:rPr>
              <w:t>​</w:t>
            </w:r>
          </w:p>
        </w:tc>
        <w:tc>
          <w:tcPr>
            <w:tcW w:w="43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42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66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693"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38" w:type="dxa"/>
            <w:tcBorders>
              <w:top w:val="single" w:sz="2" w:space="0" w:color="D3D3D3"/>
            </w:tcBorders>
            <w:tcMar>
              <w:top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960" w:type="dxa"/>
            <w:tcBorders>
              <w:top w:val="single" w:sz="2" w:space="0" w:color="D3D3D3"/>
            </w:tcBorders>
            <w:tcMar>
              <w:top w:w="28" w:type="dxa"/>
            </w:tcMar>
            <w:vAlign w:val="center"/>
          </w:tcPr>
          <w:p>
            <w:pPr>
              <w:pStyle w:val="TableContents"/>
              <w:bidi w:val="0"/>
              <w:spacing w:lineRule="auto" w:line="285" w:before="0" w:after="0"/>
              <w:ind w:left="0" w:right="0" w:hanging="0"/>
              <w:jc w:val="both"/>
              <w:rPr/>
            </w:pPr>
            <w:r>
              <w:rPr/>
              <w:t>​</w:t>
            </w:r>
          </w:p>
        </w:tc>
        <w:tc>
          <w:tcPr>
            <w:tcW w:w="960" w:type="dxa"/>
            <w:tcBorders>
              <w:top w:val="single" w:sz="2" w:space="0" w:color="D3D3D3"/>
            </w:tcBorders>
            <w:tcMar>
              <w:top w:w="28" w:type="dxa"/>
            </w:tcMar>
            <w:vAlign w:val="center"/>
          </w:tcPr>
          <w:p>
            <w:pPr>
              <w:pStyle w:val="TableContents"/>
              <w:bidi w:val="0"/>
              <w:spacing w:lineRule="auto" w:line="285" w:before="0" w:after="0"/>
              <w:ind w:left="0" w:right="0" w:hanging="0"/>
              <w:jc w:val="left"/>
              <w:rPr/>
            </w:pPr>
            <w:r>
              <w:rPr/>
              <w:t>​</w:t>
            </w:r>
          </w:p>
        </w:tc>
        <w:tc>
          <w:tcPr>
            <w:tcW w:w="715" w:type="dxa"/>
            <w:tcBorders>
              <w:top w:val="single" w:sz="2" w:space="0" w:color="D3D3D3"/>
            </w:tcBorders>
            <w:tcMar>
              <w:top w:w="28" w:type="dxa"/>
            </w:tcMar>
            <w:vAlign w:val="center"/>
          </w:tcPr>
          <w:p>
            <w:pPr>
              <w:pStyle w:val="TableContents"/>
              <w:bidi w:val="0"/>
              <w:spacing w:lineRule="auto" w:line="285" w:before="0" w:after="0"/>
              <w:ind w:left="0" w:right="0" w:hanging="0"/>
              <w:jc w:val="both"/>
              <w:rPr/>
            </w:pPr>
            <w:r>
              <w:rPr/>
              <w:t>​</w:t>
            </w:r>
          </w:p>
        </w:tc>
        <w:tc>
          <w:tcPr>
            <w:tcW w:w="109" w:type="dxa"/>
            <w:vMerge w:val="continue"/>
            <w:tcBorders/>
            <w:vAlign w:val="center"/>
          </w:tcPr>
          <w:p>
            <w:pPr>
              <w:pStyle w:val="Normal"/>
              <w:bidi w:val="0"/>
              <w:jc w:val="left"/>
              <w:rPr/>
            </w:pPr>
            <w:r>
              <w:rPr/>
            </w:r>
          </w:p>
        </w:tc>
        <w:tc>
          <w:tcPr>
            <w:tcW w:w="1726" w:type="dxa"/>
            <w:gridSpan w:val="2"/>
            <w:vMerge w:val="continue"/>
            <w:tcBorders/>
            <w:vAlign w:val="center"/>
          </w:tcPr>
          <w:p>
            <w:pPr>
              <w:pStyle w:val="Normal"/>
              <w:bidi w:val="0"/>
              <w:jc w:val="left"/>
              <w:rPr/>
            </w:pPr>
            <w:r>
              <w:rPr/>
            </w:r>
          </w:p>
        </w:tc>
        <w:tc>
          <w:tcPr>
            <w:tcW w:w="436" w:type="dxa"/>
            <w:tcBorders>
              <w:top w:val="single" w:sz="2" w:space="0" w:color="D9D9D9"/>
              <w:bottom w:val="single" w:sz="2" w:space="0" w:color="D9D9D9"/>
            </w:tcBorders>
            <w:tcMar>
              <w:top w:w="28" w:type="dxa"/>
              <w:bottom w:w="28" w:type="dxa"/>
            </w:tcMar>
            <w:vAlign w:val="center"/>
          </w:tcPr>
          <w:p>
            <w:pPr>
              <w:pStyle w:val="TableContents"/>
              <w:pBdr/>
              <w:bidi w:val="0"/>
              <w:spacing w:lineRule="auto" w:line="285" w:before="40" w:after="40"/>
              <w:ind w:left="0" w:right="0" w:hanging="0"/>
              <w:jc w:val="right"/>
              <w:rPr>
                <w:rFonts w:ascii="Arial;Helvetica;sans-serif" w:hAnsi="Arial;Helvetica;sans-serif"/>
                <w:b/>
                <w:sz w:val="18"/>
              </w:rPr>
            </w:pPr>
            <w:r>
              <w:rPr>
                <w:rFonts w:ascii="Arial;Helvetica;sans-serif" w:hAnsi="Arial;Helvetica;sans-serif"/>
                <w:b/>
                <w:sz w:val="18"/>
              </w:rPr>
              <w:t>7C  </w:t>
            </w:r>
          </w:p>
        </w:tc>
        <w:tc>
          <w:tcPr>
            <w:tcW w:w="142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Election of Frederico F. Curado as a member of the Compensation Committee.</w:t>
            </w:r>
          </w:p>
        </w:tc>
        <w:tc>
          <w:tcPr>
            <w:tcW w:w="109" w:type="dxa"/>
            <w:tcBorders>
              <w:top w:val="single" w:sz="2" w:space="0" w:color="D3D3D3"/>
            </w:tcBorders>
            <w:tcMar>
              <w:top w:w="28" w:type="dxa"/>
            </w:tcMar>
            <w:vAlign w:val="center"/>
          </w:tcPr>
          <w:p>
            <w:pPr>
              <w:pStyle w:val="TableContents"/>
              <w:bidi w:val="0"/>
              <w:spacing w:lineRule="auto" w:line="285" w:before="0" w:after="0"/>
              <w:ind w:left="0" w:right="0" w:hanging="0"/>
              <w:jc w:val="both"/>
              <w:rPr/>
            </w:pPr>
            <w:r>
              <w:rPr/>
              <w:t>​</w:t>
            </w:r>
          </w:p>
        </w:tc>
        <w:tc>
          <w:tcPr>
            <w:tcW w:w="155" w:type="dxa"/>
            <w:tcBorders>
              <w:top w:val="single" w:sz="2" w:space="0" w:color="D3D3D3"/>
            </w:tcBorders>
            <w:tcMar>
              <w:top w:w="28" w:type="dxa"/>
            </w:tcMar>
            <w:vAlign w:val="center"/>
          </w:tcPr>
          <w:p>
            <w:pPr>
              <w:pStyle w:val="TableContents"/>
              <w:bidi w:val="0"/>
              <w:spacing w:lineRule="auto" w:line="285" w:before="40" w:after="0"/>
              <w:ind w:left="0" w:right="0" w:hanging="0"/>
              <w:jc w:val="center"/>
              <w:rPr>
                <w:color w:val="005670"/>
              </w:rPr>
            </w:pPr>
            <w:r>
              <w:rPr>
                <w:color w:val="005670"/>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693"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3673" w:type="dxa"/>
            <w:gridSpan w:val="4"/>
            <w:tcBorders>
              <w:bottom w:val="single" w:sz="2" w:space="0" w:color="D3D3D3"/>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659" w:type="dxa"/>
            <w:tcBorders/>
            <w:vAlign w:val="center"/>
          </w:tcPr>
          <w:p>
            <w:pPr>
              <w:pStyle w:val="TableContents"/>
              <w:bidi w:val="0"/>
              <w:spacing w:lineRule="auto" w:line="285" w:before="0" w:after="0"/>
              <w:ind w:left="0" w:right="0" w:hanging="0"/>
              <w:jc w:val="both"/>
              <w:rPr/>
            </w:pPr>
            <w:r>
              <w:rPr/>
              <w:t>​</w:t>
            </w:r>
          </w:p>
        </w:tc>
        <w:tc>
          <w:tcPr>
            <w:tcW w:w="1067" w:type="dxa"/>
            <w:tcBorders>
              <w:bottom w:val="single" w:sz="2" w:space="0" w:color="D3D3D3"/>
            </w:tcBorders>
            <w:tcMar>
              <w:bottom w:w="28" w:type="dxa"/>
            </w:tcMar>
            <w:vAlign w:val="center"/>
          </w:tcPr>
          <w:p>
            <w:pPr>
              <w:pStyle w:val="TableContents"/>
              <w:bidi w:val="0"/>
              <w:spacing w:lineRule="auto" w:line="285" w:before="0" w:after="0"/>
              <w:ind w:left="0" w:right="0" w:hanging="0"/>
              <w:jc w:val="both"/>
              <w:rPr/>
            </w:pPr>
            <w:r>
              <w:rPr/>
              <w:t>​</w:t>
            </w:r>
          </w:p>
        </w:tc>
        <w:tc>
          <w:tcPr>
            <w:tcW w:w="2125"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661" w:type="dxa"/>
            <w:tcBorders>
              <w:top w:val="single" w:sz="2" w:space="0" w:color="D3D3D3"/>
            </w:tcBorders>
            <w:tcMar>
              <w:top w:w="28" w:type="dxa"/>
            </w:tcMar>
            <w:vAlign w:val="center"/>
          </w:tcPr>
          <w:p>
            <w:pPr>
              <w:pStyle w:val="TableContents"/>
              <w:bidi w:val="0"/>
              <w:spacing w:lineRule="auto" w:line="285" w:before="4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8</w:t>
            </w:r>
          </w:p>
        </w:tc>
        <w:tc>
          <w:tcPr>
            <w:tcW w:w="109" w:type="dxa"/>
            <w:tcBorders>
              <w:top w:val="single" w:sz="2" w:space="0" w:color="D3D3D3"/>
            </w:tcBorders>
            <w:tcMar>
              <w:top w:w="28" w:type="dxa"/>
            </w:tcMar>
            <w:vAlign w:val="center"/>
          </w:tcPr>
          <w:p>
            <w:pPr>
              <w:pStyle w:val="TableContents"/>
              <w:bidi w:val="0"/>
              <w:spacing w:lineRule="auto" w:line="285" w:before="0" w:after="0"/>
              <w:ind w:left="0" w:right="0" w:hanging="0"/>
              <w:jc w:val="both"/>
              <w:rPr/>
            </w:pPr>
            <w:r>
              <w:rPr/>
              <w:t>​</w:t>
            </w:r>
          </w:p>
        </w:tc>
        <w:tc>
          <w:tcPr>
            <w:tcW w:w="1693" w:type="dxa"/>
            <w:tcBorders>
              <w:top w:val="single" w:sz="2" w:space="0" w:color="D3D3D3"/>
            </w:tcBorders>
            <w:tcMar>
              <w:top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Reelection of the Independent Proxy for a Term Extending Until Completion of the Next Annual General Meeting</w:t>
            </w:r>
          </w:p>
        </w:tc>
        <w:tc>
          <w:tcPr>
            <w:tcW w:w="109" w:type="dxa"/>
            <w:tcBorders>
              <w:top w:val="single" w:sz="2" w:space="0" w:color="D3D3D3"/>
            </w:tcBorders>
            <w:tcMar>
              <w:top w:w="28" w:type="dxa"/>
            </w:tcMar>
            <w:vAlign w:val="center"/>
          </w:tcPr>
          <w:p>
            <w:pPr>
              <w:pStyle w:val="TableContents"/>
              <w:bidi w:val="0"/>
              <w:spacing w:lineRule="auto" w:line="285" w:before="0" w:after="0"/>
              <w:ind w:left="0" w:right="0" w:hanging="0"/>
              <w:jc w:val="both"/>
              <w:rPr/>
            </w:pPr>
            <w:r>
              <w:rPr/>
              <w:t>​</w:t>
            </w:r>
          </w:p>
        </w:tc>
        <w:tc>
          <w:tcPr>
            <w:tcW w:w="3673" w:type="dxa"/>
            <w:gridSpan w:val="4"/>
            <w:tcBorders>
              <w:top w:val="single" w:sz="2" w:space="0" w:color="D3D3D3"/>
            </w:tcBorders>
            <w:tcMar>
              <w:top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The Board of Directors proposes that Schweiger Advokatur/Notariat be reelected to serve as independent proxy at (and until completion of) the 2027 Annual General Meeting and at any extraordinary general meeting of shareholders of the Company that may be held prior to the 2027 Annual General Meeting.</w:t>
            </w:r>
          </w:p>
        </w:tc>
        <w:tc>
          <w:tcPr>
            <w:tcW w:w="109" w:type="dxa"/>
            <w:tcBorders>
              <w:top w:val="single" w:sz="2" w:space="0" w:color="D3D3D3"/>
            </w:tcBorders>
            <w:tcMar>
              <w:top w:w="28" w:type="dxa"/>
            </w:tcMar>
            <w:vAlign w:val="center"/>
          </w:tcPr>
          <w:p>
            <w:pPr>
              <w:pStyle w:val="TableContents"/>
              <w:bidi w:val="0"/>
              <w:spacing w:lineRule="auto" w:line="285" w:before="0" w:after="0"/>
              <w:ind w:left="0" w:right="0" w:hanging="0"/>
              <w:jc w:val="both"/>
              <w:rPr/>
            </w:pPr>
            <w:r>
              <w:rPr/>
              <w:t>​</w:t>
            </w:r>
          </w:p>
        </w:tc>
        <w:tc>
          <w:tcPr>
            <w:tcW w:w="659" w:type="dxa"/>
            <w:tcBorders>
              <w:top w:val="single" w:sz="2" w:space="0" w:color="D3D3D3"/>
            </w:tcBorders>
            <w:tcMar>
              <w:top w:w="28" w:type="dxa"/>
            </w:tcMar>
            <w:vAlign w:val="center"/>
          </w:tcPr>
          <w:p>
            <w:pPr>
              <w:pStyle w:val="TableContents"/>
              <w:bidi w:val="0"/>
              <w:spacing w:lineRule="auto" w:line="285" w:before="40" w:after="0"/>
              <w:ind w:left="0" w:right="0" w:hanging="0"/>
              <w:jc w:val="right"/>
              <w:rPr>
                <w:color w:val="005670"/>
              </w:rPr>
            </w:pPr>
            <w:r>
              <w:rPr>
                <w:color w:val="005670"/>
              </w:rPr>
              <w:t xml:space="preserve">✓ </w:t>
            </w:r>
          </w:p>
        </w:tc>
        <w:tc>
          <w:tcPr>
            <w:tcW w:w="1067" w:type="dxa"/>
            <w:tcBorders>
              <w:top w:val="single" w:sz="2" w:space="0" w:color="D3D3D3"/>
            </w:tcBorders>
            <w:tcMar>
              <w:top w:w="28" w:type="dxa"/>
            </w:tcMar>
            <w:vAlign w:val="center"/>
          </w:tcPr>
          <w:p>
            <w:pPr>
              <w:pStyle w:val="TableContents"/>
              <w:bidi w:val="0"/>
              <w:spacing w:lineRule="auto" w:line="285" w:before="18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c>
          <w:tcPr>
            <w:tcW w:w="2125"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66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69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673" w:type="dxa"/>
            <w:gridSpan w:val="4"/>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726" w:type="dxa"/>
            <w:gridSpan w:val="2"/>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125"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661" w:type="dxa"/>
            <w:tcBorders>
              <w:top w:val="single" w:sz="2" w:space="0" w:color="D9D9D9"/>
            </w:tcBorders>
            <w:tcMar>
              <w:top w:w="28" w:type="dxa"/>
            </w:tcMar>
            <w:vAlign w:val="center"/>
          </w:tcPr>
          <w:p>
            <w:pPr>
              <w:pStyle w:val="TableContents"/>
              <w:bidi w:val="0"/>
              <w:spacing w:lineRule="auto" w:line="285" w:before="4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9</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both"/>
              <w:rPr/>
            </w:pPr>
            <w:r>
              <w:rPr/>
              <w:t>​</w:t>
            </w:r>
          </w:p>
        </w:tc>
        <w:tc>
          <w:tcPr>
            <w:tcW w:w="1693" w:type="dxa"/>
            <w:tcBorders>
              <w:top w:val="single" w:sz="2" w:space="0" w:color="D9D9D9"/>
            </w:tcBorders>
            <w:tcMar>
              <w:top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Ratification of Ernst &amp; Young LLP as the Company’s Independent Registered Public Accounting Firm for Fiscal Year 2026 and Reelection of Ernst &amp; Young Ltd, Zurich, as the Company’s Auditor for a Further One-Year Term</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both"/>
              <w:rPr/>
            </w:pPr>
            <w:r>
              <w:rPr/>
              <w:t>​</w:t>
            </w:r>
          </w:p>
        </w:tc>
        <w:tc>
          <w:tcPr>
            <w:tcW w:w="3673" w:type="dxa"/>
            <w:gridSpan w:val="4"/>
            <w:tcBorders>
              <w:top w:val="single" w:sz="2" w:space="0" w:color="D9D9D9"/>
            </w:tcBorders>
            <w:tcMar>
              <w:top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The Board of Directors proposes that Ernst &amp; Young LLP be ratified as Transocean Ltd.’s independent registered public accounting firm for the fiscal year 2026 and that Ernst &amp; Young Ltd, Zurich, be elected as Transocean Ltd.’s auditor pursuant to the Swiss Code of Obligations (the “Swiss Code”) for a further one-year term, commencing on the day of election at the 2026 Annual General Meeting and terminating on the day of the 2027 Annual General Meeting.</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both"/>
              <w:rPr/>
            </w:pPr>
            <w:r>
              <w:rPr/>
              <w:t>​</w:t>
            </w:r>
          </w:p>
        </w:tc>
        <w:tc>
          <w:tcPr>
            <w:tcW w:w="659" w:type="dxa"/>
            <w:tcBorders>
              <w:top w:val="single" w:sz="2" w:space="0" w:color="D9D9D9"/>
            </w:tcBorders>
            <w:tcMar>
              <w:top w:w="28" w:type="dxa"/>
            </w:tcMar>
            <w:vAlign w:val="center"/>
          </w:tcPr>
          <w:p>
            <w:pPr>
              <w:pStyle w:val="TableContents"/>
              <w:bidi w:val="0"/>
              <w:spacing w:lineRule="auto" w:line="285" w:before="40" w:after="0"/>
              <w:ind w:left="0" w:right="0" w:hanging="0"/>
              <w:jc w:val="right"/>
              <w:rPr>
                <w:color w:val="005670"/>
              </w:rPr>
            </w:pPr>
            <w:r>
              <w:rPr>
                <w:color w:val="005670"/>
              </w:rPr>
              <w:t xml:space="preserve">✓ </w:t>
            </w:r>
          </w:p>
        </w:tc>
        <w:tc>
          <w:tcPr>
            <w:tcW w:w="1067" w:type="dxa"/>
            <w:tcBorders>
              <w:top w:val="single" w:sz="2" w:space="0" w:color="D9D9D9"/>
            </w:tcBorders>
            <w:tcMar>
              <w:top w:w="28" w:type="dxa"/>
            </w:tcMar>
            <w:vAlign w:val="center"/>
          </w:tcPr>
          <w:p>
            <w:pPr>
              <w:pStyle w:val="TableContents"/>
              <w:bidi w:val="0"/>
              <w:spacing w:lineRule="auto" w:line="285" w:before="18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c>
          <w:tcPr>
            <w:tcW w:w="2125"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66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69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673" w:type="dxa"/>
            <w:gridSpan w:val="4"/>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726" w:type="dxa"/>
            <w:gridSpan w:val="2"/>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125"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661" w:type="dxa"/>
            <w:tcBorders>
              <w:top w:val="single" w:sz="2" w:space="0" w:color="D9D9D9"/>
            </w:tcBorders>
            <w:tcMar>
              <w:top w:w="28" w:type="dxa"/>
            </w:tcMar>
            <w:vAlign w:val="center"/>
          </w:tcPr>
          <w:p>
            <w:pPr>
              <w:pStyle w:val="TableContents"/>
              <w:bidi w:val="0"/>
              <w:spacing w:lineRule="auto" w:line="285" w:before="4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10</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both"/>
              <w:rPr/>
            </w:pPr>
            <w:r>
              <w:rPr/>
              <w:t>​</w:t>
            </w:r>
          </w:p>
        </w:tc>
        <w:tc>
          <w:tcPr>
            <w:tcW w:w="1693" w:type="dxa"/>
            <w:tcBorders>
              <w:top w:val="single" w:sz="2" w:space="0" w:color="D9D9D9"/>
            </w:tcBorders>
            <w:tcMar>
              <w:top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Advisory Vote to Approve Named Executive Officer Compensation for Fiscal Year 2026</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both"/>
              <w:rPr/>
            </w:pPr>
            <w:r>
              <w:rPr/>
              <w:t>​</w:t>
            </w:r>
          </w:p>
        </w:tc>
        <w:tc>
          <w:tcPr>
            <w:tcW w:w="3673" w:type="dxa"/>
            <w:gridSpan w:val="4"/>
            <w:tcBorders>
              <w:top w:val="single" w:sz="2" w:space="0" w:color="D9D9D9"/>
            </w:tcBorders>
            <w:tcMar>
              <w:top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Pursuant to Section 14A of the U.S. Securities Exchange Act of 1934, as amended (the “Exchange Act”), shareholders are entitled to cast an advisory vote on the Company’s executive compensation program for the Company’s Named Executive Officers. Detailed information regarding the Company’s compensation program for its Named Executive Officers is set forth in the Compensation Discussion and Analysis, the accompanying compensation tables and the related narrative disclosure in this proxy statement. The Board of Directors believes the Company’s compensation program is designed to reward performance that creates long term value for the Company’s shareholders. The Board of Directors has proposed a resolution that provides shareholders with the opportunity to endorse or not endorse the Company’s Named Executive Officer compensation program as described in the proxy statement for the Company’s 2026 Annual General Meeting.</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both"/>
              <w:rPr/>
            </w:pPr>
            <w:r>
              <w:rPr/>
              <w:t>​</w:t>
            </w:r>
          </w:p>
        </w:tc>
        <w:tc>
          <w:tcPr>
            <w:tcW w:w="659" w:type="dxa"/>
            <w:tcBorders>
              <w:top w:val="single" w:sz="2" w:space="0" w:color="D9D9D9"/>
            </w:tcBorders>
            <w:tcMar>
              <w:top w:w="28" w:type="dxa"/>
            </w:tcMar>
            <w:vAlign w:val="center"/>
          </w:tcPr>
          <w:p>
            <w:pPr>
              <w:pStyle w:val="TableContents"/>
              <w:bidi w:val="0"/>
              <w:spacing w:lineRule="auto" w:line="285" w:before="40" w:after="0"/>
              <w:ind w:left="0" w:right="0" w:hanging="0"/>
              <w:jc w:val="right"/>
              <w:rPr>
                <w:color w:val="005670"/>
              </w:rPr>
            </w:pPr>
            <w:r>
              <w:rPr>
                <w:color w:val="005670"/>
              </w:rPr>
              <w:t xml:space="preserve">✓ </w:t>
            </w:r>
          </w:p>
        </w:tc>
        <w:tc>
          <w:tcPr>
            <w:tcW w:w="1067" w:type="dxa"/>
            <w:tcBorders>
              <w:top w:val="single" w:sz="2" w:space="0" w:color="D9D9D9"/>
            </w:tcBorders>
            <w:tcMar>
              <w:top w:w="28" w:type="dxa"/>
            </w:tcMar>
            <w:vAlign w:val="center"/>
          </w:tcPr>
          <w:p>
            <w:pPr>
              <w:pStyle w:val="TableContents"/>
              <w:bidi w:val="0"/>
              <w:spacing w:lineRule="auto" w:line="285" w:before="18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c>
          <w:tcPr>
            <w:tcW w:w="2125"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661" w:type="dxa"/>
            <w:tcBorders/>
            <w:vAlign w:val="center"/>
          </w:tcPr>
          <w:p>
            <w:pPr>
              <w:pStyle w:val="TableContents"/>
              <w:bidi w:val="0"/>
              <w:spacing w:lineRule="auto" w:line="285" w:before="0" w:after="0"/>
              <w:ind w:left="0" w:right="0" w:hanging="0"/>
              <w:jc w:val="both"/>
              <w:rPr/>
            </w:pPr>
            <w:r>
              <w:rPr/>
              <w:t>​</w:t>
            </w:r>
          </w:p>
        </w:tc>
        <w:tc>
          <w:tcPr>
            <w:tcW w:w="109" w:type="dxa"/>
            <w:tcBorders>
              <w:bottom w:val="single" w:sz="2" w:space="0" w:color="E7E6E6"/>
            </w:tcBorders>
            <w:tcMar>
              <w:bottom w:w="28" w:type="dxa"/>
            </w:tcMar>
            <w:vAlign w:val="center"/>
          </w:tcPr>
          <w:p>
            <w:pPr>
              <w:pStyle w:val="TableContents"/>
              <w:bidi w:val="0"/>
              <w:spacing w:lineRule="auto" w:line="285" w:before="0" w:after="0"/>
              <w:ind w:left="0" w:right="0" w:hanging="0"/>
              <w:jc w:val="both"/>
              <w:rPr/>
            </w:pPr>
            <w:r>
              <w:rPr/>
              <w:t>​</w:t>
            </w:r>
          </w:p>
        </w:tc>
        <w:tc>
          <w:tcPr>
            <w:tcW w:w="1693" w:type="dxa"/>
            <w:tcBorders>
              <w:bottom w:val="single" w:sz="2" w:space="0" w:color="E7E6E6"/>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E7E6E6"/>
            </w:tcBorders>
            <w:tcMar>
              <w:bottom w:w="28" w:type="dxa"/>
            </w:tcMar>
            <w:vAlign w:val="center"/>
          </w:tcPr>
          <w:p>
            <w:pPr>
              <w:pStyle w:val="TableContents"/>
              <w:bidi w:val="0"/>
              <w:spacing w:lineRule="auto" w:line="285" w:before="0" w:after="0"/>
              <w:ind w:left="0" w:right="0" w:hanging="0"/>
              <w:jc w:val="both"/>
              <w:rPr/>
            </w:pPr>
            <w:r>
              <w:rPr/>
              <w:t>​</w:t>
            </w:r>
          </w:p>
        </w:tc>
        <w:tc>
          <w:tcPr>
            <w:tcW w:w="3673" w:type="dxa"/>
            <w:gridSpan w:val="4"/>
            <w:tcBorders>
              <w:bottom w:val="single" w:sz="2" w:space="0" w:color="E7E6E6"/>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E7E6E6"/>
            </w:tcBorders>
            <w:tcMar>
              <w:bottom w:w="28" w:type="dxa"/>
            </w:tcMar>
            <w:vAlign w:val="center"/>
          </w:tcPr>
          <w:p>
            <w:pPr>
              <w:pStyle w:val="TableContents"/>
              <w:bidi w:val="0"/>
              <w:spacing w:lineRule="auto" w:line="285" w:before="0" w:after="0"/>
              <w:ind w:left="0" w:right="0" w:hanging="0"/>
              <w:jc w:val="both"/>
              <w:rPr/>
            </w:pPr>
            <w:r>
              <w:rPr/>
              <w:t>​</w:t>
            </w:r>
          </w:p>
        </w:tc>
        <w:tc>
          <w:tcPr>
            <w:tcW w:w="659" w:type="dxa"/>
            <w:tcBorders>
              <w:bottom w:val="single" w:sz="2" w:space="0" w:color="E7E6E6"/>
            </w:tcBorders>
            <w:tcMar>
              <w:bottom w:w="28" w:type="dxa"/>
            </w:tcMar>
            <w:vAlign w:val="center"/>
          </w:tcPr>
          <w:p>
            <w:pPr>
              <w:pStyle w:val="TableContents"/>
              <w:bidi w:val="0"/>
              <w:spacing w:lineRule="auto" w:line="285" w:before="0" w:after="0"/>
              <w:ind w:left="0" w:right="0" w:hanging="0"/>
              <w:jc w:val="both"/>
              <w:rPr/>
            </w:pPr>
            <w:r>
              <w:rPr/>
              <w:t>​</w:t>
            </w:r>
          </w:p>
        </w:tc>
        <w:tc>
          <w:tcPr>
            <w:tcW w:w="1067" w:type="dxa"/>
            <w:tcBorders>
              <w:bottom w:val="single" w:sz="2" w:space="0" w:color="E7E6E6"/>
            </w:tcBorders>
            <w:tcMar>
              <w:bottom w:w="28" w:type="dxa"/>
            </w:tcMar>
            <w:vAlign w:val="center"/>
          </w:tcPr>
          <w:p>
            <w:pPr>
              <w:pStyle w:val="TableContents"/>
              <w:bidi w:val="0"/>
              <w:spacing w:lineRule="auto" w:line="285" w:before="0" w:after="0"/>
              <w:ind w:left="0" w:right="0" w:hanging="0"/>
              <w:jc w:val="both"/>
              <w:rPr/>
            </w:pPr>
            <w:r>
              <w:rPr/>
              <w:t>​</w:t>
            </w:r>
          </w:p>
        </w:tc>
        <w:tc>
          <w:tcPr>
            <w:tcW w:w="2125"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661" w:type="dxa"/>
            <w:tcBorders>
              <w:top w:val="single" w:sz="2" w:space="0" w:color="D9D9D9"/>
            </w:tcBorders>
            <w:tcMar>
              <w:top w:w="28" w:type="dxa"/>
            </w:tcMar>
            <w:vAlign w:val="center"/>
          </w:tcPr>
          <w:p>
            <w:pPr>
              <w:pStyle w:val="TableContents"/>
              <w:bidi w:val="0"/>
              <w:spacing w:lineRule="auto" w:line="285" w:before="4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11</w:t>
            </w:r>
          </w:p>
        </w:tc>
        <w:tc>
          <w:tcPr>
            <w:tcW w:w="109" w:type="dxa"/>
            <w:tcBorders>
              <w:top w:val="single" w:sz="2" w:space="0" w:color="E7E6E6"/>
            </w:tcBorders>
            <w:tcMar>
              <w:top w:w="28" w:type="dxa"/>
            </w:tcMar>
            <w:vAlign w:val="center"/>
          </w:tcPr>
          <w:p>
            <w:pPr>
              <w:pStyle w:val="TableContents"/>
              <w:bidi w:val="0"/>
              <w:spacing w:lineRule="auto" w:line="285" w:before="0" w:after="0"/>
              <w:ind w:left="0" w:right="0" w:hanging="0"/>
              <w:jc w:val="both"/>
              <w:rPr/>
            </w:pPr>
            <w:r>
              <w:rPr/>
              <w:t>​</w:t>
            </w:r>
          </w:p>
        </w:tc>
        <w:tc>
          <w:tcPr>
            <w:tcW w:w="1693" w:type="dxa"/>
            <w:tcBorders>
              <w:top w:val="single" w:sz="2" w:space="0" w:color="E7E6E6"/>
            </w:tcBorders>
            <w:tcMar>
              <w:top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Prospective Vote on the Maximum Compensation of (A) the Board of Directors and (B) the Executive Management Team</w:t>
            </w:r>
          </w:p>
        </w:tc>
        <w:tc>
          <w:tcPr>
            <w:tcW w:w="109"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3673" w:type="dxa"/>
            <w:gridSpan w:val="4"/>
            <w:tcBorders>
              <w:top w:val="single" w:sz="2" w:space="0" w:color="E7E6E6"/>
              <w:bottom w:val="single" w:sz="2" w:space="0" w:color="E7E6E6"/>
            </w:tcBorders>
            <w:tcMar>
              <w:top w:w="28" w:type="dxa"/>
              <w:bottom w:w="28" w:type="dxa"/>
            </w:tcMar>
            <w:vAlign w:val="center"/>
          </w:tcPr>
          <w:p>
            <w:pPr>
              <w:pStyle w:val="TableContents"/>
              <w:bidi w:val="0"/>
              <w:spacing w:lineRule="auto" w:line="285" w:before="0" w:after="200"/>
              <w:ind w:left="0" w:right="0" w:hanging="0"/>
              <w:jc w:val="left"/>
              <w:rPr/>
            </w:pPr>
            <w:r>
              <w:rPr/>
              <w:t>​</w:t>
            </w:r>
          </w:p>
        </w:tc>
        <w:tc>
          <w:tcPr>
            <w:tcW w:w="109"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59"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40" w:after="0"/>
              <w:ind w:left="0" w:right="0" w:hanging="0"/>
              <w:jc w:val="right"/>
              <w:rPr>
                <w:color w:val="005670"/>
              </w:rPr>
            </w:pPr>
            <w:r>
              <w:rPr>
                <w:color w:val="005670"/>
              </w:rPr>
              <w:t>​</w:t>
            </w:r>
          </w:p>
        </w:tc>
        <w:tc>
          <w:tcPr>
            <w:tcW w:w="1067" w:type="dxa"/>
            <w:tcBorders>
              <w:top w:val="single" w:sz="2" w:space="0" w:color="E7E6E6"/>
              <w:bottom w:val="single" w:sz="2" w:space="0" w:color="E7E6E6"/>
            </w:tcBorders>
            <w:tcMar>
              <w:top w:w="28" w:type="dxa"/>
              <w:bottom w:w="28" w:type="dxa"/>
            </w:tcMar>
            <w:vAlign w:val="center"/>
          </w:tcPr>
          <w:p>
            <w:pPr>
              <w:pStyle w:val="TableContents"/>
              <w:bidi w:val="0"/>
              <w:spacing w:lineRule="auto" w:line="285" w:before="180" w:after="0"/>
              <w:ind w:left="0" w:right="0" w:hanging="0"/>
              <w:jc w:val="left"/>
              <w:rPr>
                <w:color w:val="005670"/>
              </w:rPr>
            </w:pPr>
            <w:r>
              <w:rPr>
                <w:color w:val="005670"/>
              </w:rPr>
              <w:t>​</w:t>
            </w:r>
          </w:p>
        </w:tc>
        <w:tc>
          <w:tcPr>
            <w:tcW w:w="2125"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661" w:type="dxa"/>
            <w:tcBorders/>
            <w:vAlign w:val="center"/>
          </w:tcPr>
          <w:p>
            <w:pPr>
              <w:pStyle w:val="TableContents"/>
              <w:bidi w:val="0"/>
              <w:spacing w:lineRule="auto" w:line="285" w:before="40" w:after="0"/>
              <w:ind w:left="0" w:right="0" w:hanging="0"/>
              <w:jc w:val="right"/>
              <w:rPr>
                <w:rFonts w:ascii="Arial;Helvetica;sans-serif" w:hAnsi="Arial;Helvetica;sans-serif"/>
                <w:b/>
                <w:color w:val="005670"/>
                <w:sz w:val="28"/>
              </w:rPr>
            </w:pPr>
            <w:r>
              <w:rPr>
                <w:rFonts w:ascii="Arial;Helvetica;sans-serif" w:hAnsi="Arial;Helvetica;sans-serif"/>
                <w:b/>
                <w:color w:val="005670"/>
                <w:sz w:val="28"/>
              </w:rPr>
              <w:t>11A</w:t>
            </w:r>
          </w:p>
        </w:tc>
        <w:tc>
          <w:tcPr>
            <w:tcW w:w="109" w:type="dxa"/>
            <w:tcBorders/>
            <w:vAlign w:val="center"/>
          </w:tcPr>
          <w:p>
            <w:pPr>
              <w:pStyle w:val="TableContents"/>
              <w:bidi w:val="0"/>
              <w:spacing w:lineRule="auto" w:line="285" w:before="0" w:after="0"/>
              <w:ind w:left="0" w:right="0" w:hanging="0"/>
              <w:jc w:val="both"/>
              <w:rPr/>
            </w:pPr>
            <w:r>
              <w:rPr/>
              <w:t>​</w:t>
            </w:r>
          </w:p>
        </w:tc>
        <w:tc>
          <w:tcPr>
            <w:tcW w:w="1693" w:type="dxa"/>
            <w:tcBorders/>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Ratification of the Maximum Aggregate Amount of Compensation of the Board of Directors for the Period Between the 2026 Annual General Meeting and the 2027 Annual General Meeting</w:t>
            </w:r>
          </w:p>
        </w:tc>
        <w:tc>
          <w:tcPr>
            <w:tcW w:w="109" w:type="dxa"/>
            <w:tcBorders>
              <w:top w:val="single" w:sz="2" w:space="0" w:color="E7E6E6"/>
              <w:bottom w:val="single" w:sz="2" w:space="0" w:color="D3D3D3"/>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3673" w:type="dxa"/>
            <w:gridSpan w:val="4"/>
            <w:tcBorders>
              <w:top w:val="single" w:sz="2" w:space="0" w:color="E7E6E6"/>
              <w:bottom w:val="single" w:sz="2" w:space="0" w:color="D3D3D3"/>
            </w:tcBorders>
            <w:tcMar>
              <w:top w:w="28" w:type="dxa"/>
              <w:bottom w:w="28" w:type="dxa"/>
            </w:tcMar>
            <w:vAlign w:val="center"/>
          </w:tcPr>
          <w:p>
            <w:pPr>
              <w:pStyle w:val="TableContents"/>
              <w:bidi w:val="0"/>
              <w:spacing w:lineRule="auto" w:line="285" w:before="40" w:after="40"/>
              <w:ind w:left="0" w:right="0" w:hanging="0"/>
              <w:jc w:val="left"/>
              <w:rPr>
                <w:rFonts w:ascii="Arial;Helvetica;sans-serif" w:hAnsi="Arial;Helvetica;sans-serif"/>
                <w:sz w:val="18"/>
              </w:rPr>
            </w:pPr>
            <w:r>
              <w:rPr>
                <w:rFonts w:ascii="Arial;Helvetica;sans-serif" w:hAnsi="Arial;Helvetica;sans-serif"/>
                <w:sz w:val="18"/>
              </w:rPr>
              <w:t>The Board of Directors proposes that shareholders ratify an amount of $4,121,000 as the maximum aggregate amount of compensation of the Board of Directors for the period between the 2026 Annual General Meeting and the 2027 Annual General Meeting.</w:t>
            </w:r>
          </w:p>
        </w:tc>
        <w:tc>
          <w:tcPr>
            <w:tcW w:w="109" w:type="dxa"/>
            <w:tcBorders>
              <w:top w:val="single" w:sz="2" w:space="0" w:color="E7E6E6"/>
              <w:bottom w:val="single" w:sz="2" w:space="0" w:color="D3D3D3"/>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59" w:type="dxa"/>
            <w:tcBorders>
              <w:top w:val="single" w:sz="2" w:space="0" w:color="E7E6E6"/>
              <w:bottom w:val="single" w:sz="2" w:space="0" w:color="D3D3D3"/>
            </w:tcBorders>
            <w:tcMar>
              <w:top w:w="28" w:type="dxa"/>
              <w:bottom w:w="28" w:type="dxa"/>
            </w:tcMar>
            <w:vAlign w:val="center"/>
          </w:tcPr>
          <w:p>
            <w:pPr>
              <w:pStyle w:val="TableContents"/>
              <w:bidi w:val="0"/>
              <w:spacing w:lineRule="auto" w:line="285" w:before="40" w:after="0"/>
              <w:ind w:left="0" w:right="0" w:hanging="0"/>
              <w:jc w:val="right"/>
              <w:rPr>
                <w:color w:val="005670"/>
              </w:rPr>
            </w:pPr>
            <w:r>
              <w:rPr>
                <w:color w:val="005670"/>
              </w:rPr>
              <w:t xml:space="preserve">✓ </w:t>
            </w:r>
          </w:p>
        </w:tc>
        <w:tc>
          <w:tcPr>
            <w:tcW w:w="1067" w:type="dxa"/>
            <w:tcBorders>
              <w:top w:val="single" w:sz="2" w:space="0" w:color="E7E6E6"/>
              <w:bottom w:val="single" w:sz="2" w:space="0" w:color="D3D3D3"/>
            </w:tcBorders>
            <w:tcMar>
              <w:top w:w="28" w:type="dxa"/>
              <w:bottom w:w="28" w:type="dxa"/>
            </w:tcMar>
            <w:vAlign w:val="center"/>
          </w:tcPr>
          <w:p>
            <w:pPr>
              <w:pStyle w:val="TableContents"/>
              <w:bidi w:val="0"/>
              <w:spacing w:lineRule="auto" w:line="285" w:before="18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c>
          <w:tcPr>
            <w:tcW w:w="2125"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P-12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7205" w:type="dxa"/>
        <w:jc w:val="left"/>
        <w:tblInd w:w="0" w:type="dxa"/>
        <w:tblLayout w:type="fixed"/>
        <w:tblCellMar>
          <w:top w:w="0" w:type="dxa"/>
          <w:left w:w="0" w:type="dxa"/>
          <w:bottom w:w="0" w:type="dxa"/>
          <w:right w:w="0" w:type="dxa"/>
        </w:tblCellMar>
      </w:tblPr>
      <w:tblGrid>
        <w:gridCol w:w="124"/>
        <w:gridCol w:w="7081"/>
      </w:tblGrid>
      <w:tr>
        <w:trPr/>
        <w:tc>
          <w:tcPr>
            <w:tcW w:w="124" w:type="dxa"/>
            <w:tcBorders/>
            <w:vAlign w:val="center"/>
          </w:tcPr>
          <w:p>
            <w:pPr>
              <w:pStyle w:val="TableContents"/>
              <w:bidi w:val="0"/>
              <w:spacing w:lineRule="auto" w:line="285" w:before="0" w:after="0"/>
              <w:ind w:left="0" w:right="0" w:hanging="0"/>
              <w:jc w:val="both"/>
              <w:rPr/>
            </w:pPr>
            <w:r>
              <w:rPr/>
              <w:t>​</w:t>
            </w:r>
          </w:p>
        </w:tc>
        <w:tc>
          <w:tcPr>
            <w:tcW w:w="7081" w:type="dxa"/>
            <w:tcBorders/>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08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INVITATION TO 2026 ANNUAL GENERAL MEETING OF TRANSOCEAN LTD.</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61"/>
        <w:gridCol w:w="109"/>
        <w:gridCol w:w="3137"/>
        <w:gridCol w:w="109"/>
        <w:gridCol w:w="4308"/>
        <w:gridCol w:w="109"/>
        <w:gridCol w:w="641"/>
        <w:gridCol w:w="1131"/>
      </w:tblGrid>
      <w:tr>
        <w:trPr/>
        <w:tc>
          <w:tcPr>
            <w:tcW w:w="66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9550" cy="29210"/>
                      <wp:effectExtent l="0" t="0" r="0" b="0"/>
                      <wp:wrapNone/>
                      <wp:docPr id="75" name="Frame24"/>
                      <a:graphic xmlns:a="http://schemas.openxmlformats.org/drawingml/2006/main">
                        <a:graphicData uri="http://schemas.microsoft.com/office/word/2010/wordprocessingShape">
                          <wps:wsp>
                            <wps:cNvSpPr txBox="1"/>
                            <wps:spPr>
                              <a:xfrm>
                                <a:off x="0" y="0"/>
                                <a:ext cx="2095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lineRule="auto" w:line="285" w:before="0" w:after="0"/>
              <w:ind w:left="0" w:right="0" w:hanging="0"/>
              <w:jc w:val="both"/>
              <w:rPr/>
            </w:pPr>
            <w:r>
              <w:rPr/>
              <w:t>​</w:t>
            </w:r>
          </w:p>
        </w:tc>
        <w:tc>
          <w:tcPr>
            <w:tcW w:w="313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995680" cy="29210"/>
                      <wp:effectExtent l="0" t="0" r="0" b="0"/>
                      <wp:wrapNone/>
                      <wp:docPr id="76" name="Frame25"/>
                      <a:graphic xmlns:a="http://schemas.openxmlformats.org/drawingml/2006/main">
                        <a:graphicData uri="http://schemas.microsoft.com/office/word/2010/wordprocessingShape">
                          <wps:wsp>
                            <wps:cNvSpPr txBox="1"/>
                            <wps:spPr>
                              <a:xfrm>
                                <a:off x="0" y="0"/>
                                <a:ext cx="9956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lineRule="auto" w:line="285" w:before="0" w:after="0"/>
              <w:ind w:left="0" w:right="0" w:hanging="0"/>
              <w:jc w:val="both"/>
              <w:rPr/>
            </w:pPr>
            <w:r>
              <w:rPr/>
              <w:t>​</w:t>
            </w:r>
          </w:p>
        </w:tc>
        <w:tc>
          <w:tcPr>
            <w:tcW w:w="430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67790" cy="29210"/>
                      <wp:effectExtent l="0" t="0" r="0" b="0"/>
                      <wp:wrapNone/>
                      <wp:docPr id="77" name="Frame26"/>
                      <a:graphic xmlns:a="http://schemas.openxmlformats.org/drawingml/2006/main">
                        <a:graphicData uri="http://schemas.microsoft.com/office/word/2010/wordprocessingShape">
                          <wps:wsp>
                            <wps:cNvSpPr txBox="1"/>
                            <wps:spPr>
                              <a:xfrm>
                                <a:off x="0" y="0"/>
                                <a:ext cx="13677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lineRule="auto" w:line="285" w:before="0" w:after="0"/>
              <w:ind w:left="0" w:right="0" w:hanging="0"/>
              <w:jc w:val="both"/>
              <w:rPr/>
            </w:pPr>
            <w:r>
              <w:rPr/>
              <w:t>​</w:t>
            </w:r>
          </w:p>
        </w:tc>
        <w:tc>
          <w:tcPr>
            <w:tcW w:w="1772"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62610" cy="29210"/>
                      <wp:effectExtent l="0" t="0" r="0" b="0"/>
                      <wp:wrapNone/>
                      <wp:docPr id="78" name="Frame27"/>
                      <a:graphic xmlns:a="http://schemas.openxmlformats.org/drawingml/2006/main">
                        <a:graphicData uri="http://schemas.microsoft.com/office/word/2010/wordprocessingShape">
                          <wps:wsp>
                            <wps:cNvSpPr txBox="1"/>
                            <wps:spPr>
                              <a:xfrm>
                                <a:off x="0" y="0"/>
                                <a:ext cx="562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61" w:type="dxa"/>
            <w:tcBorders>
              <w:bottom w:val="single" w:sz="12" w:space="0" w:color="ECA44A"/>
            </w:tcBorders>
            <w:tcMar>
              <w:bottom w:w="28" w:type="dxa"/>
            </w:tcMar>
            <w:vAlign w:val="center"/>
          </w:tcPr>
          <w:p>
            <w:pPr>
              <w:pStyle w:val="TableHeading"/>
              <w:bidi w:val="0"/>
              <w:spacing w:lineRule="auto" w:line="285" w:before="0" w:after="40"/>
              <w:ind w:left="0" w:right="0" w:hanging="0"/>
              <w:jc w:val="center"/>
              <w:rPr>
                <w:rFonts w:ascii="Arial;Helvetica;sans-serif" w:hAnsi="Arial;Helvetica;sans-serif"/>
                <w:b/>
                <w:color w:val="4B4F54"/>
                <w:sz w:val="17"/>
              </w:rPr>
            </w:pPr>
            <w:r>
              <w:rPr>
                <w:rFonts w:ascii="Arial;Helvetica;sans-serif" w:hAnsi="Arial;Helvetica;sans-serif"/>
                <w:b/>
                <w:color w:val="4B4F54"/>
                <w:sz w:val="17"/>
              </w:rPr>
              <w:t>ITEM</w:t>
            </w:r>
          </w:p>
        </w:tc>
        <w:tc>
          <w:tcPr>
            <w:tcW w:w="109" w:type="dxa"/>
            <w:tcBorders/>
            <w:vAlign w:val="center"/>
          </w:tcPr>
          <w:p>
            <w:pPr>
              <w:pStyle w:val="TableHeading"/>
              <w:bidi w:val="0"/>
              <w:spacing w:lineRule="auto" w:line="285" w:before="0" w:after="0"/>
              <w:ind w:left="0" w:right="0" w:hanging="0"/>
              <w:jc w:val="both"/>
              <w:rPr>
                <w:color w:val="4B4F54"/>
              </w:rPr>
            </w:pPr>
            <w:r>
              <w:rPr>
                <w:color w:val="4B4F54"/>
              </w:rPr>
              <w:t>​</w:t>
            </w:r>
          </w:p>
        </w:tc>
        <w:tc>
          <w:tcPr>
            <w:tcW w:w="3137" w:type="dxa"/>
            <w:tcBorders>
              <w:bottom w:val="single" w:sz="12" w:space="0" w:color="ECA44A"/>
            </w:tcBorders>
            <w:tcMar>
              <w:bottom w:w="28" w:type="dxa"/>
            </w:tcMar>
            <w:vAlign w:val="center"/>
          </w:tcPr>
          <w:p>
            <w:pPr>
              <w:pStyle w:val="TableHeading"/>
              <w:bidi w:val="0"/>
              <w:spacing w:lineRule="auto" w:line="285" w:before="0" w:after="40"/>
              <w:ind w:left="0" w:right="0" w:hanging="0"/>
              <w:jc w:val="both"/>
              <w:rPr>
                <w:rFonts w:ascii="Arial;Helvetica;sans-serif" w:hAnsi="Arial;Helvetica;sans-serif"/>
                <w:b/>
                <w:color w:val="4B4F54"/>
                <w:sz w:val="17"/>
              </w:rPr>
            </w:pPr>
            <w:r>
              <w:rPr>
                <w:rFonts w:ascii="Arial;Helvetica;sans-serif" w:hAnsi="Arial;Helvetica;sans-serif"/>
                <w:b/>
                <w:color w:val="4B4F54"/>
                <w:sz w:val="17"/>
              </w:rPr>
              <w:t>DESCRIPTION</w:t>
            </w:r>
          </w:p>
        </w:tc>
        <w:tc>
          <w:tcPr>
            <w:tcW w:w="109" w:type="dxa"/>
            <w:tcBorders/>
            <w:vAlign w:val="center"/>
          </w:tcPr>
          <w:p>
            <w:pPr>
              <w:pStyle w:val="TableHeading"/>
              <w:bidi w:val="0"/>
              <w:spacing w:lineRule="auto" w:line="285" w:before="0" w:after="0"/>
              <w:ind w:left="0" w:right="0" w:hanging="0"/>
              <w:jc w:val="both"/>
              <w:rPr>
                <w:color w:val="4B4F54"/>
              </w:rPr>
            </w:pPr>
            <w:r>
              <w:rPr>
                <w:color w:val="4B4F54"/>
              </w:rPr>
              <w:t>​</w:t>
            </w:r>
          </w:p>
        </w:tc>
        <w:tc>
          <w:tcPr>
            <w:tcW w:w="4308" w:type="dxa"/>
            <w:tcBorders>
              <w:bottom w:val="single" w:sz="12" w:space="0" w:color="ECA44A"/>
            </w:tcBorders>
            <w:tcMar>
              <w:bottom w:w="28" w:type="dxa"/>
            </w:tcMar>
            <w:vAlign w:val="center"/>
          </w:tcPr>
          <w:p>
            <w:pPr>
              <w:pStyle w:val="TableHeading"/>
              <w:bidi w:val="0"/>
              <w:spacing w:lineRule="auto" w:line="285" w:before="0" w:after="40"/>
              <w:ind w:left="0" w:right="0" w:hanging="0"/>
              <w:jc w:val="both"/>
              <w:rPr>
                <w:rFonts w:ascii="Arial;Helvetica;sans-serif" w:hAnsi="Arial;Helvetica;sans-serif"/>
                <w:b/>
                <w:color w:val="4B4F54"/>
                <w:sz w:val="17"/>
              </w:rPr>
            </w:pPr>
            <w:r>
              <w:rPr>
                <w:rFonts w:ascii="Arial;Helvetica;sans-serif" w:hAnsi="Arial;Helvetica;sans-serif"/>
                <w:b/>
                <w:color w:val="4B4F54"/>
                <w:sz w:val="17"/>
              </w:rPr>
              <w:t>PROPOSAL OF THE BOARD OF DIRECTORS</w:t>
            </w:r>
          </w:p>
        </w:tc>
        <w:tc>
          <w:tcPr>
            <w:tcW w:w="109" w:type="dxa"/>
            <w:tcBorders/>
            <w:vAlign w:val="center"/>
          </w:tcPr>
          <w:p>
            <w:pPr>
              <w:pStyle w:val="TableHeading"/>
              <w:bidi w:val="0"/>
              <w:spacing w:lineRule="auto" w:line="285" w:before="0" w:after="0"/>
              <w:ind w:left="0" w:right="0" w:hanging="0"/>
              <w:jc w:val="both"/>
              <w:rPr>
                <w:color w:val="4B4F54"/>
              </w:rPr>
            </w:pPr>
            <w:r>
              <w:rPr>
                <w:color w:val="4B4F54"/>
              </w:rPr>
              <w:t>​</w:t>
            </w:r>
          </w:p>
        </w:tc>
        <w:tc>
          <w:tcPr>
            <w:tcW w:w="1772" w:type="dxa"/>
            <w:gridSpan w:val="2"/>
            <w:tcBorders>
              <w:bottom w:val="single" w:sz="12" w:space="0" w:color="ECA44A"/>
            </w:tcBorders>
            <w:tcMar>
              <w:bottom w:w="28" w:type="dxa"/>
            </w:tcMar>
            <w:vAlign w:val="center"/>
          </w:tcPr>
          <w:p>
            <w:pPr>
              <w:pStyle w:val="TableHeading"/>
              <w:bidi w:val="0"/>
              <w:spacing w:lineRule="auto" w:line="285" w:before="0" w:after="40"/>
              <w:ind w:left="0" w:right="0" w:hanging="0"/>
              <w:jc w:val="center"/>
              <w:rPr>
                <w:rFonts w:ascii="Arial;Helvetica;sans-serif" w:hAnsi="Arial;Helvetica;sans-serif"/>
                <w:b/>
                <w:color w:val="4B4F54"/>
                <w:sz w:val="17"/>
              </w:rPr>
            </w:pPr>
            <w:r>
              <w:rPr>
                <w:rFonts w:ascii="Arial;Helvetica;sans-serif" w:hAnsi="Arial;Helvetica;sans-serif"/>
                <w:b/>
                <w:color w:val="4B4F54"/>
                <w:sz w:val="17"/>
              </w:rPr>
              <w:t>BOARD</w:t>
              <w:br/>
              <w:t>RECOMMENDATION</w:t>
            </w:r>
          </w:p>
        </w:tc>
      </w:tr>
      <w:tr>
        <w:trPr/>
        <w:tc>
          <w:tcPr>
            <w:tcW w:w="661" w:type="dxa"/>
            <w:tcBorders>
              <w:bottom w:val="single" w:sz="12" w:space="0" w:color="ECA44A"/>
            </w:tcBorders>
            <w:tcMar>
              <w:bottom w:w="28" w:type="dxa"/>
            </w:tcMar>
            <w:vAlign w:val="center"/>
          </w:tcPr>
          <w:p>
            <w:pPr>
              <w:pStyle w:val="TableContents"/>
              <w:bidi w:val="0"/>
              <w:spacing w:lineRule="auto" w:line="285" w:before="40" w:after="0"/>
              <w:ind w:left="0" w:right="0" w:hanging="0"/>
              <w:jc w:val="right"/>
              <w:rPr>
                <w:rFonts w:ascii="Arial;Helvetica;sans-serif" w:hAnsi="Arial;Helvetica;sans-serif"/>
                <w:b/>
                <w:color w:val="005670"/>
                <w:sz w:val="28"/>
              </w:rPr>
            </w:pPr>
            <w:r>
              <w:rPr>
                <w:rFonts w:ascii="Arial;Helvetica;sans-serif" w:hAnsi="Arial;Helvetica;sans-serif"/>
                <w:b/>
                <w:color w:val="005670"/>
                <w:sz w:val="28"/>
              </w:rPr>
              <w:t>11B</w:t>
            </w:r>
          </w:p>
        </w:tc>
        <w:tc>
          <w:tcPr>
            <w:tcW w:w="109"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w:t>
            </w:r>
          </w:p>
        </w:tc>
        <w:tc>
          <w:tcPr>
            <w:tcW w:w="3137" w:type="dxa"/>
            <w:tcBorders>
              <w:bottom w:val="single" w:sz="12" w:space="0" w:color="ECA44A"/>
            </w:tcBorders>
            <w:tcMar>
              <w:bottom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Ratification of the Maximum Aggregate Amount of Compensation of the Executive Management Team for Fiscal Year 2027</w:t>
            </w:r>
          </w:p>
        </w:tc>
        <w:tc>
          <w:tcPr>
            <w:tcW w:w="109" w:type="dxa"/>
            <w:tcBorders>
              <w:top w:val="single" w:sz="2" w:space="0" w:color="D3D3D3"/>
              <w:bottom w:val="single" w:sz="12" w:space="0" w:color="ECA44A"/>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4308" w:type="dxa"/>
            <w:tcBorders>
              <w:top w:val="single" w:sz="2" w:space="0" w:color="D3D3D3"/>
              <w:bottom w:val="single" w:sz="12" w:space="0" w:color="ECA44A"/>
            </w:tcBorders>
            <w:tcMar>
              <w:top w:w="28" w:type="dxa"/>
              <w:bottom w:w="28" w:type="dxa"/>
            </w:tcMar>
            <w:vAlign w:val="center"/>
          </w:tcPr>
          <w:p>
            <w:pPr>
              <w:pStyle w:val="TableContents"/>
              <w:bidi w:val="0"/>
              <w:spacing w:lineRule="auto" w:line="285" w:before="40" w:after="0"/>
              <w:ind w:left="0" w:right="0" w:hanging="0"/>
              <w:jc w:val="left"/>
              <w:rPr>
                <w:rFonts w:ascii="Arial;Helvetica;sans-serif" w:hAnsi="Arial;Helvetica;sans-serif"/>
                <w:sz w:val="18"/>
              </w:rPr>
            </w:pPr>
            <w:r>
              <w:rPr>
                <w:rFonts w:ascii="Arial;Helvetica;sans-serif" w:hAnsi="Arial;Helvetica;sans-serif"/>
                <w:sz w:val="18"/>
              </w:rPr>
              <w:t>The Board of Directors proposes that shareholders ratify an amount of $26,000,000 as the maximum aggregate amount of compensation of the Executive Management Team for fiscal year 2027.</w:t>
            </w:r>
          </w:p>
        </w:tc>
        <w:tc>
          <w:tcPr>
            <w:tcW w:w="109" w:type="dxa"/>
            <w:tcBorders>
              <w:top w:val="single" w:sz="2" w:space="0" w:color="D3D3D3"/>
              <w:bottom w:val="single" w:sz="12" w:space="0" w:color="ECA44A"/>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41" w:type="dxa"/>
            <w:tcBorders>
              <w:top w:val="single" w:sz="2" w:space="0" w:color="D3D3D3"/>
              <w:bottom w:val="single" w:sz="12" w:space="0" w:color="ECA44A"/>
            </w:tcBorders>
            <w:tcMar>
              <w:top w:w="28" w:type="dxa"/>
              <w:bottom w:w="28" w:type="dxa"/>
            </w:tcMar>
            <w:vAlign w:val="center"/>
          </w:tcPr>
          <w:p>
            <w:pPr>
              <w:pStyle w:val="TableContents"/>
              <w:bidi w:val="0"/>
              <w:spacing w:lineRule="auto" w:line="285" w:before="40" w:after="0"/>
              <w:ind w:left="0" w:right="0" w:hanging="0"/>
              <w:jc w:val="right"/>
              <w:rPr>
                <w:color w:val="005670"/>
              </w:rPr>
            </w:pPr>
            <w:r>
              <w:rPr>
                <w:color w:val="005670"/>
              </w:rPr>
              <w:t xml:space="preserve">✓ </w:t>
            </w:r>
          </w:p>
        </w:tc>
        <w:tc>
          <w:tcPr>
            <w:tcW w:w="1131" w:type="dxa"/>
            <w:tcBorders>
              <w:top w:val="single" w:sz="2" w:space="0" w:color="D3D3D3"/>
              <w:bottom w:val="single" w:sz="12" w:space="0" w:color="ECA44A"/>
            </w:tcBorders>
            <w:tcMar>
              <w:top w:w="28" w:type="dxa"/>
              <w:bottom w:w="28" w:type="dxa"/>
            </w:tcMar>
            <w:vAlign w:val="center"/>
          </w:tcPr>
          <w:p>
            <w:pPr>
              <w:pStyle w:val="TableContents"/>
              <w:bidi w:val="0"/>
              <w:spacing w:lineRule="auto" w:line="285" w:before="18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FOR</w:t>
            </w:r>
          </w:p>
        </w:tc>
      </w:tr>
    </w:tbl>
    <w:p>
      <w:pPr>
        <w:pStyle w:val="TextBody"/>
        <w:bidi w:val="0"/>
        <w:spacing w:lineRule="auto" w:line="285" w:before="200" w:after="200"/>
        <w:ind w:left="0" w:right="0" w:hanging="0"/>
        <w:jc w:val="both"/>
        <w:rPr>
          <w:rFonts w:ascii="Arial;Helvetica;sans-serif" w:hAnsi="Arial;Helvetica;sans-serif"/>
          <w:b/>
          <w:color w:val="ECA44A"/>
          <w:sz w:val="28"/>
        </w:rPr>
      </w:pPr>
      <w:bookmarkStart w:id="31" w:name="_4__"/>
      <w:bookmarkEnd w:id="31"/>
      <w:r>
        <w:rPr>
          <w:rFonts w:ascii="Arial;Helvetica;sans-serif" w:hAnsi="Arial;Helvetica;sans-serif"/>
          <w:b/>
          <w:color w:val="ECA44A"/>
          <w:sz w:val="28"/>
        </w:rPr>
        <w:t>ORGANIZATIONAL MATTERS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 xml:space="preserve">A copy of the Notice is being sent to each shareholder registered in Transocean Ltd.’s share register as of the close of business on March 25, 2026. Any additional shareholders who are registered in Transocean Ltd.’s share register as of the close of business on May 4, 2026, will receive after that date a copy of the proxy materials, including a proxy card. Shareholders not registered in Transocean Ltd.’s share register as of May 4, 2026, will not be entitled to vote or grant proxies to vote at the 2026 Annual General Meeting. While no shareholder will be entered in Transocean Ltd.’s share register as a shareholder with voting rights between the close of business on May 4, 2026, and the opening of business on the day following the 2026 Annual General Meeting, </w:t>
      </w:r>
      <w:r>
        <w:rPr>
          <w:rFonts w:ascii="Arial;Helvetica;sans-serif" w:hAnsi="Arial;Helvetica;sans-serif"/>
          <w:b/>
          <w:i/>
          <w:sz w:val="20"/>
        </w:rPr>
        <w:t>share blocking and re-registration are not requirements for any shares of Transocean Ltd. to be voted at the meeting, and all shares may be traded after the record date</w:t>
      </w:r>
      <w:r>
        <w:rPr>
          <w:rFonts w:ascii="Arial;Helvetica;sans-serif" w:hAnsi="Arial;Helvetica;sans-serif"/>
          <w:sz w:val="20"/>
        </w:rPr>
        <w:t>. Computershare, which maintains Transocean Ltd.’s share register, will continue to register transfers of Transocean Ltd. shares in the share register in its capacity as transfer agent during this period.</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Shareholders registered in Transocean Ltd.’s share register as of May 4, 2026, have the right to vote their shares at the 2026 Annual General Meeting, or may grant a proxy to vote on each of the proposals in this invitation and any modification to any agenda item or proposal identified in this invitation or other matter on which voting is permissible under Swiss law and which is properly presented at the 2026 Annual General Meeting for consideration. Such shareholders may designate proxies to vote their shares electronically over the internet, by telephone or, if they request that the proxy materials be mailed to them, by completing, signing and returning the proxy card enclosed with those materials at the 2026 Annual General Meeting.</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We urge you to submit your voting instructions electronically over the internet, by telephone or return the proxy card by mail as soon as possible. All electronic voting instructions or proxy cards must be received no later than 2:00 p.m. Eastern Daylight Time on Thursday, May 21, 2026 (8:00 p.m. Swiss time on Thursday, May 21, 2026), unless extended by the Company.</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If you have timely submitted electronic voting instructions, telephone instructions or a properly executed proxy card, your shares will be voted by the independent proxy in accordance with your instructions</w:t>
      </w:r>
      <w:r>
        <w:rPr>
          <w:rFonts w:ascii="Arial;Helvetica;sans-serif" w:hAnsi="Arial;Helvetica;sans-serif"/>
          <w:b/>
          <w:sz w:val="20"/>
        </w:rPr>
        <w:t>. Holders of shares who have timely submitted their proxy but have not specifically indicated how to vote their shares, will be deemed to have instructed the independent proxy to vote in accordance with the recommendations of the Board of Directors with regard to the items listed in the notice of meeting.</w:t>
      </w:r>
      <w:r>
        <w:rPr>
          <w:rFonts w:ascii="Arial;Helvetica;sans-serif" w:hAnsi="Arial;Helvetica;sans-serif"/>
          <w:sz w:val="20"/>
        </w:rPr>
        <w:t xml:space="preserve"> </w:t>
      </w:r>
      <w:r>
        <w:rPr>
          <w:rFonts w:ascii="Arial;Helvetica;sans-serif" w:hAnsi="Arial;Helvetica;sans-serif"/>
          <w:b/>
          <w:sz w:val="20"/>
        </w:rPr>
        <w:t>If any modifications to agenda items or proposals identified in this invitation or other matters on which voting is permissible under Swiss law are properly presented at the 2026 Annual General Meeting for consideration, you will be deemed to have instructed the independent proxy, in the absence of other specific instructions, to vote in accordance with the recommendations of the Board of Directors.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As of the date of this proxy statement, the Board of Directors is not aware of any such modifications or other matters proposed to come before the 2026 Annual General Meeting.</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Shareholders who hold their shares in the name of a bank, broker or other nominee should follow the instructions provided by their bank, broker or nominee for voting their shares, including whether they may submit voting instructions by mail, telephone or over the internet.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Shareholders may grant proxies to any third party. Such third party need not be a shareholder.</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P-13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7205" w:type="dxa"/>
        <w:jc w:val="left"/>
        <w:tblInd w:w="0" w:type="dxa"/>
        <w:tblLayout w:type="fixed"/>
        <w:tblCellMar>
          <w:top w:w="0" w:type="dxa"/>
          <w:left w:w="0" w:type="dxa"/>
          <w:bottom w:w="0" w:type="dxa"/>
          <w:right w:w="0" w:type="dxa"/>
        </w:tblCellMar>
      </w:tblPr>
      <w:tblGrid>
        <w:gridCol w:w="7051"/>
        <w:gridCol w:w="154"/>
      </w:tblGrid>
      <w:tr>
        <w:trPr/>
        <w:tc>
          <w:tcPr>
            <w:tcW w:w="7051"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7051" w:type="dxa"/>
            <w:tcBorders>
              <w:top w:val="single" w:sz="2" w:space="0" w:color="000000"/>
              <w:left w:val="single" w:sz="2" w:space="0" w:color="000000"/>
              <w:bottom w:val="single" w:sz="12" w:space="0" w:color="D9D9D9"/>
            </w:tcBorders>
            <w:shd w:fill="005670" w:val="clear"/>
            <w:tcMar>
              <w:top w:w="28" w:type="dxa"/>
              <w:left w:w="103" w:type="dxa"/>
              <w:bottom w:w="28" w:type="dxa"/>
            </w:tcMar>
            <w:vAlign w:val="center"/>
          </w:tcPr>
          <w:p>
            <w:pPr>
              <w:pStyle w:val="TableContents"/>
              <w:bidi w:val="0"/>
              <w:spacing w:lineRule="auto" w:line="285" w:before="120" w:after="120"/>
              <w:ind w:left="0" w:right="0" w:hanging="0"/>
              <w:jc w:val="left"/>
              <w:rPr>
                <w:rFonts w:ascii="Arial;Helvetica;sans-serif" w:hAnsi="Arial;Helvetica;sans-serif"/>
                <w:color w:val="FFFFFF"/>
                <w:sz w:val="20"/>
              </w:rPr>
            </w:pPr>
            <w:r>
              <w:rPr>
                <w:rFonts w:ascii="Arial;Helvetica;sans-serif" w:hAnsi="Arial;Helvetica;sans-serif"/>
                <w:color w:val="FFFFFF"/>
                <w:sz w:val="20"/>
              </w:rPr>
              <w:t>INVITATION TO 2026 ANNUAL GENERAL MEETING OF TRANSOCEAN LTD.</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Information concerning the 2026 Annual General Meeting can be obtained by contacting:</w:t>
      </w:r>
    </w:p>
    <w:tbl>
      <w:tblPr>
        <w:tblW w:w="10205" w:type="dxa"/>
        <w:jc w:val="left"/>
        <w:tblInd w:w="0" w:type="dxa"/>
        <w:tblLayout w:type="fixed"/>
        <w:tblCellMar>
          <w:top w:w="0" w:type="dxa"/>
          <w:left w:w="0" w:type="dxa"/>
          <w:bottom w:w="0" w:type="dxa"/>
          <w:right w:w="0" w:type="dxa"/>
        </w:tblCellMar>
      </w:tblPr>
      <w:tblGrid>
        <w:gridCol w:w="619"/>
        <w:gridCol w:w="2259"/>
        <w:gridCol w:w="2429"/>
        <w:gridCol w:w="109"/>
        <w:gridCol w:w="604"/>
        <w:gridCol w:w="1912"/>
        <w:gridCol w:w="2273"/>
      </w:tblGrid>
      <w:tr>
        <w:trPr/>
        <w:tc>
          <w:tcPr>
            <w:tcW w:w="619" w:type="dxa"/>
            <w:tcBorders/>
            <w:vAlign w:val="center"/>
          </w:tcPr>
          <w:p>
            <w:pPr>
              <w:pStyle w:val="TableContents"/>
              <w:bidi w:val="0"/>
              <w:spacing w:before="0" w:after="283"/>
              <w:ind w:left="0" w:right="0" w:hanging="0"/>
              <w:jc w:val="left"/>
              <w:rPr>
                <w:sz w:val="4"/>
                <w:szCs w:val="4"/>
              </w:rPr>
            </w:pPr>
            <w:r>
              <w:rPr>
                <w:sz w:val="4"/>
                <w:szCs w:val="4"/>
              </w:rPr>
            </w:r>
          </w:p>
        </w:tc>
        <w:tc>
          <w:tcPr>
            <w:tcW w:w="2259" w:type="dxa"/>
            <w:tcBorders/>
            <w:vAlign w:val="center"/>
          </w:tcPr>
          <w:p>
            <w:pPr>
              <w:pStyle w:val="TableContents"/>
              <w:bidi w:val="0"/>
              <w:spacing w:lineRule="auto" w:line="285" w:before="0" w:after="0"/>
              <w:ind w:left="0" w:right="0" w:hanging="0"/>
              <w:jc w:val="both"/>
              <w:rPr/>
            </w:pPr>
            <w:r>
              <w:rPr/>
              <w:t>​</w:t>
            </w:r>
          </w:p>
        </w:tc>
        <w:tc>
          <w:tcPr>
            <w:tcW w:w="2429"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604" w:type="dxa"/>
            <w:tcBorders/>
            <w:vAlign w:val="center"/>
          </w:tcPr>
          <w:p>
            <w:pPr>
              <w:pStyle w:val="TableContents"/>
              <w:bidi w:val="0"/>
              <w:spacing w:before="0" w:after="283"/>
              <w:ind w:left="0" w:right="0" w:hanging="0"/>
              <w:jc w:val="left"/>
              <w:rPr>
                <w:sz w:val="4"/>
                <w:szCs w:val="4"/>
              </w:rPr>
            </w:pPr>
            <w:r>
              <w:rPr>
                <w:sz w:val="4"/>
                <w:szCs w:val="4"/>
              </w:rPr>
            </w:r>
          </w:p>
        </w:tc>
        <w:tc>
          <w:tcPr>
            <w:tcW w:w="1912" w:type="dxa"/>
            <w:tcBorders/>
            <w:vAlign w:val="center"/>
          </w:tcPr>
          <w:p>
            <w:pPr>
              <w:pStyle w:val="TableContents"/>
              <w:bidi w:val="0"/>
              <w:spacing w:lineRule="auto" w:line="285" w:before="0" w:after="0"/>
              <w:ind w:left="0" w:right="0" w:hanging="0"/>
              <w:jc w:val="both"/>
              <w:rPr/>
            </w:pPr>
            <w:r>
              <w:rPr/>
              <w:t>​</w:t>
            </w:r>
          </w:p>
        </w:tc>
        <w:tc>
          <w:tcPr>
            <w:tcW w:w="2273"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pPr>
            <w:r>
              <w:rPr/>
              <w:t>​</w:t>
            </w:r>
          </w:p>
        </w:tc>
      </w:tr>
      <w:tr>
        <w:trPr/>
        <w:tc>
          <w:tcPr>
            <w:tcW w:w="2878" w:type="dxa"/>
            <w:gridSpan w:val="2"/>
            <w:tcBorders/>
            <w:vAlign w:val="center"/>
          </w:tcPr>
          <w:p>
            <w:pPr>
              <w:pStyle w:val="TableContents"/>
              <w:bidi w:val="0"/>
              <w:spacing w:before="0" w:after="283"/>
              <w:ind w:left="0" w:right="0" w:hanging="0"/>
              <w:jc w:val="left"/>
              <w:rPr>
                <w:sz w:val="4"/>
                <w:szCs w:val="4"/>
              </w:rPr>
            </w:pPr>
            <w:r>
              <w:rPr>
                <w:sz w:val="4"/>
                <w:szCs w:val="4"/>
              </w:rPr>
            </w:r>
          </w:p>
        </w:tc>
        <w:tc>
          <w:tcPr>
            <w:tcW w:w="242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2516" w:type="dxa"/>
            <w:gridSpan w:val="2"/>
            <w:tcBorders/>
            <w:vAlign w:val="center"/>
          </w:tcPr>
          <w:p>
            <w:pPr>
              <w:pStyle w:val="TableContents"/>
              <w:bidi w:val="0"/>
              <w:spacing w:before="0" w:after="283"/>
              <w:ind w:left="0" w:right="0" w:hanging="0"/>
              <w:jc w:val="left"/>
              <w:rPr>
                <w:sz w:val="4"/>
                <w:szCs w:val="4"/>
              </w:rPr>
            </w:pPr>
            <w:r>
              <w:rPr>
                <w:sz w:val="4"/>
                <w:szCs w:val="4"/>
              </w:rPr>
            </w:r>
          </w:p>
        </w:tc>
        <w:tc>
          <w:tcPr>
            <w:tcW w:w="2273" w:type="dxa"/>
            <w:tcBorders/>
            <w:vAlign w:val="center"/>
          </w:tcPr>
          <w:p>
            <w:pPr>
              <w:pStyle w:val="TableContents"/>
              <w:bidi w:val="0"/>
              <w:spacing w:before="0" w:after="283"/>
              <w:ind w:left="0" w:right="0" w:hanging="0"/>
              <w:jc w:val="left"/>
              <w:rPr>
                <w:sz w:val="4"/>
                <w:szCs w:val="4"/>
              </w:rPr>
            </w:pPr>
            <w:r>
              <w:rPr>
                <w:sz w:val="4"/>
                <w:szCs w:val="4"/>
              </w:rPr>
            </w:r>
          </w:p>
        </w:tc>
      </w:tr>
      <w:tr>
        <w:trPr/>
        <w:tc>
          <w:tcPr>
            <w:tcW w:w="619" w:type="dxa"/>
            <w:tcBorders/>
            <w:vAlign w:val="center"/>
          </w:tcPr>
          <w:p>
            <w:pPr>
              <w:pStyle w:val="TableContents"/>
              <w:bidi w:val="0"/>
              <w:spacing w:lineRule="auto" w:line="285" w:before="80" w:after="0"/>
              <w:ind w:left="0" w:right="0" w:hanging="0"/>
              <w:jc w:val="both"/>
              <w:rPr>
                <w:color w:val="4B4F54"/>
              </w:rPr>
            </w:pPr>
            <w:r>
              <w:rPr>
                <w:color w:val="4B4F54"/>
              </w:rPr>
              <w:drawing>
                <wp:inline distT="0" distB="0" distL="0" distR="0">
                  <wp:extent cx="313690" cy="301625"/>
                  <wp:effectExtent l="0" t="0" r="0" b="0"/>
                  <wp:docPr id="7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2" descr=""/>
                          <pic:cNvPicPr>
                            <a:picLocks noChangeAspect="1" noChangeArrowheads="1"/>
                          </pic:cNvPicPr>
                        </pic:nvPicPr>
                        <pic:blipFill>
                          <a:blip r:embed="rId53"/>
                          <a:stretch>
                            <a:fillRect/>
                          </a:stretch>
                        </pic:blipFill>
                        <pic:spPr bwMode="auto">
                          <a:xfrm>
                            <a:off x="0" y="0"/>
                            <a:ext cx="313690" cy="301625"/>
                          </a:xfrm>
                          <a:prstGeom prst="rect">
                            <a:avLst/>
                          </a:prstGeom>
                        </pic:spPr>
                      </pic:pic>
                    </a:graphicData>
                  </a:graphic>
                </wp:inline>
              </w:drawing>
            </w:r>
          </w:p>
        </w:tc>
        <w:tc>
          <w:tcPr>
            <w:tcW w:w="2259" w:type="dxa"/>
            <w:tcBorders/>
            <w:vAlign w:val="center"/>
          </w:tcPr>
          <w:p>
            <w:pPr>
              <w:pStyle w:val="TableContents"/>
              <w:bidi w:val="0"/>
              <w:spacing w:lineRule="auto" w:line="285" w:before="0" w:after="0"/>
              <w:ind w:left="0" w:right="0" w:hanging="0"/>
              <w:jc w:val="left"/>
              <w:rPr>
                <w:rFonts w:ascii="Arial;Helvetica;sans-serif" w:hAnsi="Arial;Helvetica;sans-serif"/>
                <w:color w:val="4B4F54"/>
                <w:sz w:val="17"/>
              </w:rPr>
            </w:pPr>
            <w:r>
              <w:rPr>
                <w:rFonts w:ascii="Arial;Helvetica;sans-serif" w:hAnsi="Arial;Helvetica;sans-serif"/>
                <w:color w:val="4B4F54"/>
                <w:sz w:val="17"/>
              </w:rPr>
              <w:t>OUR CORPORATE SECRETARY</w:t>
              <w:br/>
              <w:t>AT OUR REGISTERED</w:t>
              <w:br/>
              <w:t>OFFICE</w:t>
            </w:r>
          </w:p>
        </w:tc>
        <w:tc>
          <w:tcPr>
            <w:tcW w:w="2429" w:type="dxa"/>
            <w:tcBorders/>
            <w:vAlign w:val="center"/>
          </w:tcPr>
          <w:p>
            <w:pPr>
              <w:pStyle w:val="TableContents"/>
              <w:bidi w:val="0"/>
              <w:spacing w:lineRule="auto" w:line="285" w:before="0" w:after="0"/>
              <w:ind w:left="0" w:right="0" w:hanging="0"/>
              <w:jc w:val="left"/>
              <w:rPr>
                <w:rFonts w:ascii="Arial;Helvetica;sans-serif" w:hAnsi="Arial;Helvetica;sans-serif"/>
                <w:sz w:val="19"/>
              </w:rPr>
            </w:pPr>
            <w:r>
              <w:rPr>
                <w:rFonts w:ascii="Arial;Helvetica;sans-serif" w:hAnsi="Arial;Helvetica;sans-serif"/>
                <w:sz w:val="19"/>
              </w:rPr>
              <w:t>Transocean Ltd.</w:t>
            </w:r>
          </w:p>
          <w:p>
            <w:pPr>
              <w:pStyle w:val="TableContents"/>
              <w:bidi w:val="0"/>
              <w:spacing w:lineRule="auto" w:line="285" w:before="0" w:after="0"/>
              <w:ind w:left="0" w:right="0" w:hanging="0"/>
              <w:jc w:val="left"/>
              <w:rPr>
                <w:rFonts w:ascii="Arial;Helvetica;sans-serif" w:hAnsi="Arial;Helvetica;sans-serif"/>
                <w:sz w:val="19"/>
              </w:rPr>
            </w:pPr>
            <w:r>
              <w:rPr>
                <w:rFonts w:ascii="Arial;Helvetica;sans-serif" w:hAnsi="Arial;Helvetica;sans-serif"/>
                <w:sz w:val="19"/>
              </w:rPr>
              <w:t xml:space="preserve">Attention: Corporate Secretary </w:t>
            </w:r>
          </w:p>
          <w:p>
            <w:pPr>
              <w:pStyle w:val="TableContents"/>
              <w:bidi w:val="0"/>
              <w:spacing w:lineRule="auto" w:line="285" w:before="0" w:after="0"/>
              <w:ind w:left="0" w:right="0" w:hanging="0"/>
              <w:jc w:val="left"/>
              <w:rPr>
                <w:rFonts w:ascii="Arial;Helvetica;sans-serif" w:hAnsi="Arial;Helvetica;sans-serif"/>
                <w:sz w:val="19"/>
              </w:rPr>
            </w:pPr>
            <w:r>
              <w:rPr>
                <w:rFonts w:ascii="Arial;Helvetica;sans-serif" w:hAnsi="Arial;Helvetica;sans-serif"/>
                <w:sz w:val="19"/>
              </w:rPr>
              <w:t>Turmstrasse 30</w:t>
            </w:r>
          </w:p>
          <w:p>
            <w:pPr>
              <w:pStyle w:val="TableContents"/>
              <w:bidi w:val="0"/>
              <w:spacing w:lineRule="auto" w:line="285" w:before="0" w:after="0"/>
              <w:ind w:left="0" w:right="0" w:hanging="0"/>
              <w:jc w:val="left"/>
              <w:rPr>
                <w:rFonts w:ascii="Arial;Helvetica;sans-serif" w:hAnsi="Arial;Helvetica;sans-serif"/>
                <w:sz w:val="19"/>
              </w:rPr>
            </w:pPr>
            <w:r>
              <w:rPr>
                <w:rFonts w:ascii="Arial;Helvetica;sans-serif" w:hAnsi="Arial;Helvetica;sans-serif"/>
                <w:sz w:val="19"/>
              </w:rPr>
              <w:t>6312 Steinhausen, Switzerland</w:t>
            </w:r>
          </w:p>
        </w:tc>
        <w:tc>
          <w:tcPr>
            <w:tcW w:w="109" w:type="dxa"/>
            <w:tcBorders>
              <w:right w:val="single" w:sz="2" w:space="0" w:color="D9D9D9"/>
            </w:tcBorders>
            <w:tcMar>
              <w:right w:w="28" w:type="dxa"/>
            </w:tcMar>
            <w:vAlign w:val="center"/>
          </w:tcPr>
          <w:p>
            <w:pPr>
              <w:pStyle w:val="TableContents"/>
              <w:bidi w:val="0"/>
              <w:spacing w:lineRule="auto" w:line="285" w:before="0" w:after="0"/>
              <w:ind w:left="0" w:right="0" w:hanging="0"/>
              <w:jc w:val="both"/>
              <w:rPr/>
            </w:pPr>
            <w:r>
              <w:rPr/>
              <w:t>​</w:t>
            </w:r>
          </w:p>
        </w:tc>
        <w:tc>
          <w:tcPr>
            <w:tcW w:w="604" w:type="dxa"/>
            <w:tcBorders>
              <w:left w:val="single" w:sz="2" w:space="0" w:color="D9D9D9"/>
            </w:tcBorders>
            <w:tcMar>
              <w:left w:w="28" w:type="dxa"/>
            </w:tcMar>
            <w:vAlign w:val="center"/>
          </w:tcPr>
          <w:p>
            <w:pPr>
              <w:pStyle w:val="TableContents"/>
              <w:bidi w:val="0"/>
              <w:spacing w:lineRule="auto" w:line="285" w:before="80" w:after="0"/>
              <w:ind w:left="0" w:right="0" w:hanging="0"/>
              <w:jc w:val="both"/>
              <w:rPr>
                <w:color w:val="4B4F54"/>
              </w:rPr>
            </w:pPr>
            <w:r>
              <w:rPr>
                <w:color w:val="4B4F54"/>
              </w:rPr>
              <w:drawing>
                <wp:inline distT="0" distB="0" distL="0" distR="0">
                  <wp:extent cx="313690" cy="301625"/>
                  <wp:effectExtent l="0" t="0" r="0" b="0"/>
                  <wp:docPr id="8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3" descr=""/>
                          <pic:cNvPicPr>
                            <a:picLocks noChangeAspect="1" noChangeArrowheads="1"/>
                          </pic:cNvPicPr>
                        </pic:nvPicPr>
                        <pic:blipFill>
                          <a:blip r:embed="rId54"/>
                          <a:stretch>
                            <a:fillRect/>
                          </a:stretch>
                        </pic:blipFill>
                        <pic:spPr bwMode="auto">
                          <a:xfrm>
                            <a:off x="0" y="0"/>
                            <a:ext cx="313690" cy="301625"/>
                          </a:xfrm>
                          <a:prstGeom prst="rect">
                            <a:avLst/>
                          </a:prstGeom>
                        </pic:spPr>
                      </pic:pic>
                    </a:graphicData>
                  </a:graphic>
                </wp:inline>
              </w:drawing>
            </w:r>
          </w:p>
        </w:tc>
        <w:tc>
          <w:tcPr>
            <w:tcW w:w="1912" w:type="dxa"/>
            <w:tcBorders/>
            <w:vAlign w:val="center"/>
          </w:tcPr>
          <w:p>
            <w:pPr>
              <w:pStyle w:val="TableContents"/>
              <w:bidi w:val="0"/>
              <w:spacing w:lineRule="auto" w:line="285" w:before="0" w:after="0"/>
              <w:ind w:left="0" w:right="0" w:hanging="0"/>
              <w:jc w:val="left"/>
              <w:rPr>
                <w:rFonts w:ascii="Arial;Helvetica;sans-serif" w:hAnsi="Arial;Helvetica;sans-serif"/>
                <w:color w:val="4B4F54"/>
                <w:sz w:val="17"/>
              </w:rPr>
            </w:pPr>
            <w:r>
              <w:rPr>
                <w:rFonts w:ascii="Arial;Helvetica;sans-serif" w:hAnsi="Arial;Helvetica;sans-serif"/>
                <w:color w:val="4B4F54"/>
                <w:sz w:val="17"/>
              </w:rPr>
              <w:t>INVESTOR RELATIONS AT</w:t>
              <w:br/>
              <w:t>OUR OFFICES</w:t>
              <w:br/>
              <w:t>IN THE UNITED STATES</w:t>
            </w:r>
          </w:p>
        </w:tc>
        <w:tc>
          <w:tcPr>
            <w:tcW w:w="2273" w:type="dxa"/>
            <w:tcBorders/>
            <w:vAlign w:val="center"/>
          </w:tcPr>
          <w:p>
            <w:pPr>
              <w:pStyle w:val="TableContents"/>
              <w:bidi w:val="0"/>
              <w:spacing w:lineRule="auto" w:line="285" w:before="40" w:after="0"/>
              <w:ind w:left="0" w:right="0" w:hanging="0"/>
              <w:jc w:val="left"/>
              <w:rPr>
                <w:rFonts w:ascii="Arial;Helvetica;sans-serif" w:hAnsi="Arial;Helvetica;sans-serif"/>
                <w:sz w:val="19"/>
              </w:rPr>
            </w:pPr>
            <w:r>
              <w:rPr>
                <w:rFonts w:ascii="Arial;Helvetica;sans-serif" w:hAnsi="Arial;Helvetica;sans-serif"/>
                <w:sz w:val="19"/>
              </w:rPr>
              <w:t>Transocean Ltd.</w:t>
            </w:r>
          </w:p>
          <w:p>
            <w:pPr>
              <w:pStyle w:val="TableContents"/>
              <w:bidi w:val="0"/>
              <w:spacing w:lineRule="auto" w:line="285" w:before="0" w:after="0"/>
              <w:ind w:left="0" w:right="0" w:hanging="0"/>
              <w:jc w:val="left"/>
              <w:rPr>
                <w:rFonts w:ascii="Arial;Helvetica;sans-serif" w:hAnsi="Arial;Helvetica;sans-serif"/>
                <w:sz w:val="19"/>
              </w:rPr>
            </w:pPr>
            <w:r>
              <w:rPr>
                <w:rFonts w:ascii="Arial;Helvetica;sans-serif" w:hAnsi="Arial;Helvetica;sans-serif"/>
                <w:sz w:val="19"/>
              </w:rPr>
              <w:t>Attention: Investor Relations</w:t>
            </w:r>
          </w:p>
          <w:p>
            <w:pPr>
              <w:pStyle w:val="TableContents"/>
              <w:bidi w:val="0"/>
              <w:spacing w:lineRule="auto" w:line="285" w:before="0" w:after="0"/>
              <w:ind w:left="0" w:right="0" w:hanging="0"/>
              <w:jc w:val="left"/>
              <w:rPr>
                <w:rFonts w:ascii="Arial;Helvetica;sans-serif" w:hAnsi="Arial;Helvetica;sans-serif"/>
                <w:sz w:val="19"/>
              </w:rPr>
            </w:pPr>
            <w:r>
              <w:rPr>
                <w:rFonts w:ascii="Arial;Helvetica;sans-serif" w:hAnsi="Arial;Helvetica;sans-serif"/>
                <w:sz w:val="19"/>
              </w:rPr>
              <w:t>1414 Enclave Parkway</w:t>
            </w:r>
          </w:p>
          <w:p>
            <w:pPr>
              <w:pStyle w:val="TableContents"/>
              <w:bidi w:val="0"/>
              <w:spacing w:lineRule="auto" w:line="285" w:before="0" w:after="0"/>
              <w:ind w:left="0" w:right="0" w:hanging="0"/>
              <w:jc w:val="left"/>
              <w:rPr>
                <w:rFonts w:ascii="Arial;Helvetica;sans-serif" w:hAnsi="Arial;Helvetica;sans-serif"/>
                <w:sz w:val="19"/>
              </w:rPr>
            </w:pPr>
            <w:r>
              <w:rPr>
                <w:rFonts w:ascii="Arial;Helvetica;sans-serif" w:hAnsi="Arial;Helvetica;sans-serif"/>
                <w:sz w:val="19"/>
              </w:rPr>
              <w:t>Houston, Texas 77077</w:t>
            </w:r>
          </w:p>
          <w:p>
            <w:pPr>
              <w:pStyle w:val="TableContents"/>
              <w:bidi w:val="0"/>
              <w:spacing w:lineRule="auto" w:line="285" w:before="0" w:after="0"/>
              <w:ind w:left="0" w:right="0" w:hanging="0"/>
              <w:jc w:val="left"/>
              <w:rPr>
                <w:rFonts w:ascii="Arial;Helvetica;sans-serif" w:hAnsi="Arial;Helvetica;sans-serif"/>
                <w:sz w:val="19"/>
              </w:rPr>
            </w:pPr>
            <w:r>
              <w:rPr>
                <w:rFonts w:ascii="Arial;Helvetica;sans-serif" w:hAnsi="Arial;Helvetica;sans-serif"/>
                <w:sz w:val="19"/>
              </w:rPr>
              <w:t>USA</w:t>
            </w:r>
          </w:p>
        </w:tc>
      </w:tr>
      <w:tr>
        <w:trPr/>
        <w:tc>
          <w:tcPr>
            <w:tcW w:w="619"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59"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429" w:type="dxa"/>
            <w:tcBorders/>
            <w:vAlign w:val="center"/>
          </w:tcPr>
          <w:p>
            <w:pPr>
              <w:pStyle w:val="TableContents"/>
              <w:bidi w:val="0"/>
              <w:spacing w:lineRule="auto" w:line="285" w:before="0" w:after="0"/>
              <w:ind w:left="0" w:right="0" w:hanging="0"/>
              <w:jc w:val="left"/>
              <w:rPr/>
            </w:pPr>
            <w:r>
              <w:rPr/>
              <w:t>​</w:t>
            </w:r>
          </w:p>
        </w:tc>
        <w:tc>
          <w:tcPr>
            <w:tcW w:w="109" w:type="dxa"/>
            <w:tcBorders>
              <w:right w:val="single" w:sz="2" w:space="0" w:color="D9D9D9"/>
            </w:tcBorders>
            <w:tcMar>
              <w:right w:w="28" w:type="dxa"/>
            </w:tcMar>
            <w:vAlign w:val="center"/>
          </w:tcPr>
          <w:p>
            <w:pPr>
              <w:pStyle w:val="TableContents"/>
              <w:bidi w:val="0"/>
              <w:spacing w:lineRule="auto" w:line="285" w:before="0" w:after="0"/>
              <w:ind w:left="0" w:right="0" w:hanging="0"/>
              <w:jc w:val="both"/>
              <w:rPr/>
            </w:pPr>
            <w:r>
              <w:rPr/>
              <w:t>​</w:t>
            </w:r>
          </w:p>
        </w:tc>
        <w:tc>
          <w:tcPr>
            <w:tcW w:w="604" w:type="dxa"/>
            <w:tcBorders>
              <w:left w:val="single" w:sz="2" w:space="0" w:color="D9D9D9"/>
            </w:tcBorders>
            <w:tcMar>
              <w:left w:w="28" w:type="dxa"/>
            </w:tcMar>
            <w:vAlign w:val="center"/>
          </w:tcPr>
          <w:p>
            <w:pPr>
              <w:pStyle w:val="TableContents"/>
              <w:bidi w:val="0"/>
              <w:spacing w:lineRule="auto" w:line="285" w:before="0" w:after="0"/>
              <w:ind w:left="0" w:right="0" w:hanging="0"/>
              <w:jc w:val="both"/>
              <w:rPr/>
            </w:pPr>
            <w:r>
              <w:rPr/>
              <w:t>​</w:t>
            </w:r>
          </w:p>
        </w:tc>
        <w:tc>
          <w:tcPr>
            <w:tcW w:w="1912"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73" w:type="dxa"/>
            <w:tcBorders/>
            <w:vAlign w:val="center"/>
          </w:tcPr>
          <w:p>
            <w:pPr>
              <w:pStyle w:val="TableContents"/>
              <w:bidi w:val="0"/>
              <w:spacing w:lineRule="auto" w:line="285" w:before="0" w:after="0"/>
              <w:ind w:left="0" w:right="0" w:hanging="0"/>
              <w:jc w:val="left"/>
              <w:rPr/>
            </w:pPr>
            <w:r>
              <w:rPr/>
              <w:t>​</w:t>
            </w:r>
          </w:p>
        </w:tc>
      </w:tr>
      <w:tr>
        <w:trPr/>
        <w:tc>
          <w:tcPr>
            <w:tcW w:w="619" w:type="dxa"/>
            <w:tcBorders/>
            <w:vAlign w:val="center"/>
          </w:tcPr>
          <w:p>
            <w:pPr>
              <w:pStyle w:val="TableContents"/>
              <w:bidi w:val="0"/>
              <w:spacing w:lineRule="auto" w:line="285" w:before="0" w:after="0"/>
              <w:ind w:left="0" w:right="0" w:hanging="0"/>
              <w:jc w:val="both"/>
              <w:rPr>
                <w:color w:val="4B4F54"/>
              </w:rPr>
            </w:pPr>
            <w:r>
              <w:rPr>
                <w:color w:val="4B4F54"/>
              </w:rPr>
              <w:drawing>
                <wp:inline distT="0" distB="0" distL="0" distR="0">
                  <wp:extent cx="328930" cy="311150"/>
                  <wp:effectExtent l="0" t="0" r="0" b="0"/>
                  <wp:docPr id="8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4" descr=""/>
                          <pic:cNvPicPr>
                            <a:picLocks noChangeAspect="1" noChangeArrowheads="1"/>
                          </pic:cNvPicPr>
                        </pic:nvPicPr>
                        <pic:blipFill>
                          <a:blip r:embed="rId55"/>
                          <a:stretch>
                            <a:fillRect/>
                          </a:stretch>
                        </pic:blipFill>
                        <pic:spPr bwMode="auto">
                          <a:xfrm>
                            <a:off x="0" y="0"/>
                            <a:ext cx="328930" cy="311150"/>
                          </a:xfrm>
                          <a:prstGeom prst="rect">
                            <a:avLst/>
                          </a:prstGeom>
                        </pic:spPr>
                      </pic:pic>
                    </a:graphicData>
                  </a:graphic>
                </wp:inline>
              </w:drawing>
            </w:r>
          </w:p>
        </w:tc>
        <w:tc>
          <w:tcPr>
            <w:tcW w:w="2259" w:type="dxa"/>
            <w:tcBorders/>
            <w:vAlign w:val="center"/>
          </w:tcPr>
          <w:p>
            <w:pPr>
              <w:pStyle w:val="TableContents"/>
              <w:bidi w:val="0"/>
              <w:spacing w:lineRule="auto" w:line="285" w:before="0" w:after="0"/>
              <w:ind w:left="0" w:right="0" w:hanging="0"/>
              <w:jc w:val="both"/>
              <w:rPr>
                <w:rFonts w:ascii="Arial;Helvetica;sans-serif" w:hAnsi="Arial;Helvetica;sans-serif"/>
                <w:color w:val="4B4F54"/>
                <w:sz w:val="17"/>
              </w:rPr>
            </w:pPr>
            <w:r>
              <w:rPr>
                <w:rFonts w:ascii="Arial;Helvetica;sans-serif" w:hAnsi="Arial;Helvetica;sans-serif"/>
                <w:color w:val="4B4F54"/>
                <w:sz w:val="17"/>
              </w:rPr>
              <w:t>TELEPHONE</w:t>
              <w:br/>
              <w:t>NUMBER </w:t>
            </w:r>
          </w:p>
        </w:tc>
        <w:tc>
          <w:tcPr>
            <w:tcW w:w="2429" w:type="dxa"/>
            <w:tcBorders/>
            <w:vAlign w:val="center"/>
          </w:tcPr>
          <w:p>
            <w:pPr>
              <w:pStyle w:val="TableContents"/>
              <w:bidi w:val="0"/>
              <w:spacing w:lineRule="auto" w:line="285" w:before="0" w:after="0"/>
              <w:ind w:left="0" w:right="0" w:hanging="0"/>
              <w:jc w:val="both"/>
              <w:rPr>
                <w:rFonts w:ascii="Arial;Helvetica;sans-serif" w:hAnsi="Arial;Helvetica;sans-serif"/>
                <w:sz w:val="19"/>
              </w:rPr>
            </w:pPr>
            <w:r>
              <w:rPr>
                <w:rFonts w:ascii="Arial;Helvetica;sans-serif" w:hAnsi="Arial;Helvetica;sans-serif"/>
                <w:sz w:val="19"/>
              </w:rPr>
              <w:t>+41 (41) 749-0500</w:t>
            </w:r>
          </w:p>
        </w:tc>
        <w:tc>
          <w:tcPr>
            <w:tcW w:w="109" w:type="dxa"/>
            <w:tcBorders>
              <w:right w:val="single" w:sz="2" w:space="0" w:color="D9D9D9"/>
            </w:tcBorders>
            <w:tcMar>
              <w:right w:w="28" w:type="dxa"/>
            </w:tcMar>
            <w:vAlign w:val="center"/>
          </w:tcPr>
          <w:p>
            <w:pPr>
              <w:pStyle w:val="TableContents"/>
              <w:bidi w:val="0"/>
              <w:spacing w:lineRule="auto" w:line="285" w:before="0" w:after="0"/>
              <w:ind w:left="0" w:right="0" w:hanging="0"/>
              <w:jc w:val="both"/>
              <w:rPr/>
            </w:pPr>
            <w:r>
              <w:rPr/>
              <w:t>​</w:t>
            </w:r>
          </w:p>
        </w:tc>
        <w:tc>
          <w:tcPr>
            <w:tcW w:w="604" w:type="dxa"/>
            <w:tcBorders>
              <w:left w:val="single" w:sz="2" w:space="0" w:color="D9D9D9"/>
            </w:tcBorders>
            <w:tcMar>
              <w:left w:w="28" w:type="dxa"/>
            </w:tcMar>
            <w:vAlign w:val="center"/>
          </w:tcPr>
          <w:p>
            <w:pPr>
              <w:pStyle w:val="TableContents"/>
              <w:bidi w:val="0"/>
              <w:spacing w:lineRule="auto" w:line="285" w:before="0" w:after="0"/>
              <w:ind w:left="0" w:right="0" w:hanging="0"/>
              <w:jc w:val="both"/>
              <w:rPr/>
            </w:pPr>
            <w:r>
              <w:rPr/>
              <w:drawing>
                <wp:inline distT="0" distB="0" distL="0" distR="0">
                  <wp:extent cx="328930" cy="311150"/>
                  <wp:effectExtent l="0" t="0" r="0" b="0"/>
                  <wp:docPr id="8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5" descr=""/>
                          <pic:cNvPicPr>
                            <a:picLocks noChangeAspect="1" noChangeArrowheads="1"/>
                          </pic:cNvPicPr>
                        </pic:nvPicPr>
                        <pic:blipFill>
                          <a:blip r:embed="rId56"/>
                          <a:stretch>
                            <a:fillRect/>
                          </a:stretch>
                        </pic:blipFill>
                        <pic:spPr bwMode="auto">
                          <a:xfrm>
                            <a:off x="0" y="0"/>
                            <a:ext cx="328930" cy="311150"/>
                          </a:xfrm>
                          <a:prstGeom prst="rect">
                            <a:avLst/>
                          </a:prstGeom>
                        </pic:spPr>
                      </pic:pic>
                    </a:graphicData>
                  </a:graphic>
                </wp:inline>
              </w:drawing>
            </w:r>
          </w:p>
        </w:tc>
        <w:tc>
          <w:tcPr>
            <w:tcW w:w="1912" w:type="dxa"/>
            <w:tcBorders/>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color w:val="4B4F54"/>
                <w:sz w:val="17"/>
              </w:rPr>
              <w:t>TELEPHONE</w:t>
              <w:br/>
              <w:t>NUMBER</w:t>
            </w:r>
            <w:r>
              <w:rPr>
                <w:rFonts w:ascii="Arial;Helvetica;sans-serif" w:hAnsi="Arial;Helvetica;sans-serif"/>
                <w:sz w:val="16"/>
              </w:rPr>
              <w:t> </w:t>
            </w:r>
          </w:p>
        </w:tc>
        <w:tc>
          <w:tcPr>
            <w:tcW w:w="2273" w:type="dxa"/>
            <w:tcBorders/>
            <w:vAlign w:val="center"/>
          </w:tcPr>
          <w:p>
            <w:pPr>
              <w:pStyle w:val="TableContents"/>
              <w:bidi w:val="0"/>
              <w:spacing w:lineRule="auto" w:line="285" w:before="0" w:after="0"/>
              <w:ind w:left="0" w:right="0" w:hanging="0"/>
              <w:jc w:val="both"/>
              <w:rPr>
                <w:rFonts w:ascii="Arial;Helvetica;sans-serif" w:hAnsi="Arial;Helvetica;sans-serif"/>
                <w:sz w:val="19"/>
              </w:rPr>
            </w:pPr>
            <w:r>
              <w:rPr>
                <w:rFonts w:ascii="Arial;Helvetica;sans-serif" w:hAnsi="Arial;Helvetica;sans-serif"/>
                <w:sz w:val="19"/>
              </w:rPr>
              <w:t>+1 (713) 232-7500</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sz w:val="20"/>
        </w:rPr>
      </w:pPr>
      <w:r>
        <w:rPr>
          <w:rFonts w:ascii="Arial;Helvetica;sans-serif" w:hAnsi="Arial;Helvetica;sans-serif"/>
          <w:b/>
          <w:color w:val="ECA44A"/>
          <w:spacing w:val="-8"/>
          <w:sz w:val="28"/>
        </w:rPr>
        <w:t>ANNUAL REPORT, CONSOLIDATED FINANCIAL STATEMENTS, STATUTORY</w:t>
      </w:r>
      <w:r>
        <w:rPr>
          <w:rFonts w:ascii="Arial;Helvetica;sans-serif" w:hAnsi="Arial;Helvetica;sans-serif"/>
          <w:b/>
          <w:color w:val="ECA44A"/>
          <w:sz w:val="20"/>
        </w:rPr>
        <w:t xml:space="preserve"> </w:t>
      </w:r>
      <w:r>
        <w:rPr>
          <w:rFonts w:ascii="Arial;Helvetica;sans-serif" w:hAnsi="Arial;Helvetica;sans-serif"/>
          <w:b/>
          <w:color w:val="ECA44A"/>
          <w:sz w:val="28"/>
        </w:rPr>
        <w:t>FINANCIAL STATEMENTS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 copy of the 2025 Annual Report (including the consolidated financial statements for fiscal year 2025, the statutory financial statements of Transocean Ltd. for fiscal year 2025 and the audit reports on such consolidated and statutory financial statements), the 2025 Swiss Statutory Compensation Report, and the 2025 Swiss Statutory Report on Non-Financial Matters is available electronically on our website at www.deepwater.com.</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Copies of these materials may be obtained without charge by contacting:</w:t>
      </w:r>
    </w:p>
    <w:tbl>
      <w:tblPr>
        <w:tblW w:w="10205" w:type="dxa"/>
        <w:jc w:val="left"/>
        <w:tblInd w:w="0" w:type="dxa"/>
        <w:tblLayout w:type="fixed"/>
        <w:tblCellMar>
          <w:top w:w="0" w:type="dxa"/>
          <w:left w:w="0" w:type="dxa"/>
          <w:bottom w:w="0" w:type="dxa"/>
          <w:right w:w="0" w:type="dxa"/>
        </w:tblCellMar>
      </w:tblPr>
      <w:tblGrid>
        <w:gridCol w:w="619"/>
        <w:gridCol w:w="2259"/>
        <w:gridCol w:w="2429"/>
        <w:gridCol w:w="109"/>
        <w:gridCol w:w="604"/>
        <w:gridCol w:w="1912"/>
        <w:gridCol w:w="2273"/>
      </w:tblGrid>
      <w:tr>
        <w:trPr/>
        <w:tc>
          <w:tcPr>
            <w:tcW w:w="2878" w:type="dxa"/>
            <w:gridSpan w:val="2"/>
            <w:tcBorders/>
            <w:vAlign w:val="center"/>
          </w:tcPr>
          <w:p>
            <w:pPr>
              <w:pStyle w:val="TableContents"/>
              <w:bidi w:val="0"/>
              <w:spacing w:before="0" w:after="283"/>
              <w:ind w:left="0" w:right="0" w:hanging="0"/>
              <w:jc w:val="left"/>
              <w:rPr>
                <w:sz w:val="4"/>
                <w:szCs w:val="4"/>
              </w:rPr>
            </w:pPr>
            <w:r>
              <w:rPr>
                <w:sz w:val="4"/>
                <w:szCs w:val="4"/>
              </w:rPr>
            </w:r>
          </w:p>
        </w:tc>
        <w:tc>
          <w:tcPr>
            <w:tcW w:w="242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2516" w:type="dxa"/>
            <w:gridSpan w:val="2"/>
            <w:tcBorders/>
            <w:vAlign w:val="center"/>
          </w:tcPr>
          <w:p>
            <w:pPr>
              <w:pStyle w:val="TableContents"/>
              <w:bidi w:val="0"/>
              <w:spacing w:before="0" w:after="283"/>
              <w:ind w:left="0" w:right="0" w:hanging="0"/>
              <w:jc w:val="left"/>
              <w:rPr>
                <w:sz w:val="4"/>
                <w:szCs w:val="4"/>
              </w:rPr>
            </w:pPr>
            <w:r>
              <w:rPr>
                <w:sz w:val="4"/>
                <w:szCs w:val="4"/>
              </w:rPr>
            </w:r>
          </w:p>
        </w:tc>
        <w:tc>
          <w:tcPr>
            <w:tcW w:w="2273" w:type="dxa"/>
            <w:tcBorders/>
            <w:vAlign w:val="center"/>
          </w:tcPr>
          <w:p>
            <w:pPr>
              <w:pStyle w:val="TableContents"/>
              <w:bidi w:val="0"/>
              <w:spacing w:before="0" w:after="283"/>
              <w:ind w:left="0" w:right="0" w:hanging="0"/>
              <w:jc w:val="left"/>
              <w:rPr>
                <w:sz w:val="4"/>
                <w:szCs w:val="4"/>
              </w:rPr>
            </w:pPr>
            <w:r>
              <w:rPr>
                <w:sz w:val="4"/>
                <w:szCs w:val="4"/>
              </w:rPr>
            </w:r>
          </w:p>
        </w:tc>
      </w:tr>
      <w:tr>
        <w:trPr/>
        <w:tc>
          <w:tcPr>
            <w:tcW w:w="619" w:type="dxa"/>
            <w:tcBorders/>
            <w:vAlign w:val="center"/>
          </w:tcPr>
          <w:p>
            <w:pPr>
              <w:pStyle w:val="TableContents"/>
              <w:bidi w:val="0"/>
              <w:spacing w:lineRule="auto" w:line="285" w:before="80" w:after="0"/>
              <w:ind w:left="0" w:right="0" w:hanging="0"/>
              <w:jc w:val="both"/>
              <w:rPr>
                <w:color w:val="4B4F54"/>
              </w:rPr>
            </w:pPr>
            <w:r>
              <w:rPr>
                <w:color w:val="4B4F54"/>
              </w:rPr>
              <w:drawing>
                <wp:inline distT="0" distB="0" distL="0" distR="0">
                  <wp:extent cx="313690" cy="301625"/>
                  <wp:effectExtent l="0" t="0" r="0" b="0"/>
                  <wp:docPr id="8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6" descr=""/>
                          <pic:cNvPicPr>
                            <a:picLocks noChangeAspect="1" noChangeArrowheads="1"/>
                          </pic:cNvPicPr>
                        </pic:nvPicPr>
                        <pic:blipFill>
                          <a:blip r:embed="rId57"/>
                          <a:stretch>
                            <a:fillRect/>
                          </a:stretch>
                        </pic:blipFill>
                        <pic:spPr bwMode="auto">
                          <a:xfrm>
                            <a:off x="0" y="0"/>
                            <a:ext cx="313690" cy="301625"/>
                          </a:xfrm>
                          <a:prstGeom prst="rect">
                            <a:avLst/>
                          </a:prstGeom>
                        </pic:spPr>
                      </pic:pic>
                    </a:graphicData>
                  </a:graphic>
                </wp:inline>
              </w:drawing>
            </w:r>
          </w:p>
        </w:tc>
        <w:tc>
          <w:tcPr>
            <w:tcW w:w="2259" w:type="dxa"/>
            <w:tcBorders/>
            <w:vAlign w:val="center"/>
          </w:tcPr>
          <w:p>
            <w:pPr>
              <w:pStyle w:val="TableContents"/>
              <w:bidi w:val="0"/>
              <w:spacing w:lineRule="auto" w:line="285" w:before="0" w:after="0"/>
              <w:ind w:left="0" w:right="0" w:hanging="0"/>
              <w:jc w:val="left"/>
              <w:rPr>
                <w:rFonts w:ascii="Arial;Helvetica;sans-serif" w:hAnsi="Arial;Helvetica;sans-serif"/>
                <w:color w:val="4B4F54"/>
                <w:sz w:val="17"/>
              </w:rPr>
            </w:pPr>
            <w:r>
              <w:rPr>
                <w:rFonts w:ascii="Arial;Helvetica;sans-serif" w:hAnsi="Arial;Helvetica;sans-serif"/>
                <w:color w:val="4B4F54"/>
                <w:sz w:val="17"/>
              </w:rPr>
              <w:t>OUR CORPORATE SECRETARY</w:t>
              <w:br/>
              <w:t>AT OUR REGISTERED</w:t>
              <w:br/>
              <w:t>OFFICE</w:t>
            </w:r>
          </w:p>
        </w:tc>
        <w:tc>
          <w:tcPr>
            <w:tcW w:w="2429" w:type="dxa"/>
            <w:tcBorders/>
            <w:vAlign w:val="center"/>
          </w:tcPr>
          <w:p>
            <w:pPr>
              <w:pStyle w:val="TableContents"/>
              <w:bidi w:val="0"/>
              <w:spacing w:lineRule="auto" w:line="285" w:before="0" w:after="0"/>
              <w:ind w:left="0" w:right="0" w:hanging="0"/>
              <w:jc w:val="left"/>
              <w:rPr>
                <w:rFonts w:ascii="Arial;Helvetica;sans-serif" w:hAnsi="Arial;Helvetica;sans-serif"/>
                <w:sz w:val="19"/>
              </w:rPr>
            </w:pPr>
            <w:r>
              <w:rPr>
                <w:rFonts w:ascii="Arial;Helvetica;sans-serif" w:hAnsi="Arial;Helvetica;sans-serif"/>
                <w:sz w:val="19"/>
              </w:rPr>
              <w:t>Transocean Ltd.</w:t>
            </w:r>
          </w:p>
          <w:p>
            <w:pPr>
              <w:pStyle w:val="TableContents"/>
              <w:bidi w:val="0"/>
              <w:spacing w:lineRule="auto" w:line="285" w:before="0" w:after="0"/>
              <w:ind w:left="0" w:right="0" w:hanging="0"/>
              <w:jc w:val="left"/>
              <w:rPr>
                <w:rFonts w:ascii="Arial;Helvetica;sans-serif" w:hAnsi="Arial;Helvetica;sans-serif"/>
                <w:sz w:val="19"/>
              </w:rPr>
            </w:pPr>
            <w:r>
              <w:rPr>
                <w:rFonts w:ascii="Arial;Helvetica;sans-serif" w:hAnsi="Arial;Helvetica;sans-serif"/>
                <w:sz w:val="19"/>
              </w:rPr>
              <w:t xml:space="preserve">Attention: Corporate Secretary </w:t>
            </w:r>
          </w:p>
          <w:p>
            <w:pPr>
              <w:pStyle w:val="TableContents"/>
              <w:bidi w:val="0"/>
              <w:spacing w:lineRule="auto" w:line="285" w:before="0" w:after="0"/>
              <w:ind w:left="0" w:right="0" w:hanging="0"/>
              <w:jc w:val="left"/>
              <w:rPr>
                <w:rFonts w:ascii="Arial;Helvetica;sans-serif" w:hAnsi="Arial;Helvetica;sans-serif"/>
                <w:sz w:val="19"/>
              </w:rPr>
            </w:pPr>
            <w:r>
              <w:rPr>
                <w:rFonts w:ascii="Arial;Helvetica;sans-serif" w:hAnsi="Arial;Helvetica;sans-serif"/>
                <w:sz w:val="19"/>
              </w:rPr>
              <w:t>Turmstrasse 30</w:t>
            </w:r>
          </w:p>
          <w:p>
            <w:pPr>
              <w:pStyle w:val="TableContents"/>
              <w:bidi w:val="0"/>
              <w:spacing w:lineRule="auto" w:line="285" w:before="0" w:after="0"/>
              <w:ind w:left="0" w:right="0" w:hanging="0"/>
              <w:jc w:val="left"/>
              <w:rPr>
                <w:rFonts w:ascii="Arial;Helvetica;sans-serif" w:hAnsi="Arial;Helvetica;sans-serif"/>
                <w:sz w:val="19"/>
              </w:rPr>
            </w:pPr>
            <w:r>
              <w:rPr>
                <w:rFonts w:ascii="Arial;Helvetica;sans-serif" w:hAnsi="Arial;Helvetica;sans-serif"/>
                <w:sz w:val="19"/>
              </w:rPr>
              <w:t>6312 Steinhausen, Switzerland</w:t>
            </w:r>
          </w:p>
        </w:tc>
        <w:tc>
          <w:tcPr>
            <w:tcW w:w="109" w:type="dxa"/>
            <w:tcBorders>
              <w:right w:val="single" w:sz="2" w:space="0" w:color="D9D9D9"/>
            </w:tcBorders>
            <w:tcMar>
              <w:right w:w="28" w:type="dxa"/>
            </w:tcMar>
            <w:vAlign w:val="center"/>
          </w:tcPr>
          <w:p>
            <w:pPr>
              <w:pStyle w:val="TableContents"/>
              <w:bidi w:val="0"/>
              <w:spacing w:lineRule="auto" w:line="285" w:before="0" w:after="0"/>
              <w:ind w:left="0" w:right="0" w:hanging="0"/>
              <w:jc w:val="both"/>
              <w:rPr/>
            </w:pPr>
            <w:r>
              <w:rPr/>
              <w:t>​</w:t>
            </w:r>
          </w:p>
        </w:tc>
        <w:tc>
          <w:tcPr>
            <w:tcW w:w="604" w:type="dxa"/>
            <w:tcBorders>
              <w:left w:val="single" w:sz="2" w:space="0" w:color="D9D9D9"/>
            </w:tcBorders>
            <w:tcMar>
              <w:left w:w="28" w:type="dxa"/>
            </w:tcMar>
            <w:vAlign w:val="center"/>
          </w:tcPr>
          <w:p>
            <w:pPr>
              <w:pStyle w:val="TableContents"/>
              <w:bidi w:val="0"/>
              <w:spacing w:lineRule="auto" w:line="285" w:before="80" w:after="0"/>
              <w:ind w:left="0" w:right="0" w:hanging="0"/>
              <w:jc w:val="both"/>
              <w:rPr>
                <w:color w:val="4B4F54"/>
              </w:rPr>
            </w:pPr>
            <w:r>
              <w:rPr>
                <w:color w:val="4B4F54"/>
              </w:rPr>
              <w:drawing>
                <wp:inline distT="0" distB="0" distL="0" distR="0">
                  <wp:extent cx="313690" cy="301625"/>
                  <wp:effectExtent l="0" t="0" r="0" b="0"/>
                  <wp:docPr id="8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7" descr=""/>
                          <pic:cNvPicPr>
                            <a:picLocks noChangeAspect="1" noChangeArrowheads="1"/>
                          </pic:cNvPicPr>
                        </pic:nvPicPr>
                        <pic:blipFill>
                          <a:blip r:embed="rId58"/>
                          <a:stretch>
                            <a:fillRect/>
                          </a:stretch>
                        </pic:blipFill>
                        <pic:spPr bwMode="auto">
                          <a:xfrm>
                            <a:off x="0" y="0"/>
                            <a:ext cx="313690" cy="301625"/>
                          </a:xfrm>
                          <a:prstGeom prst="rect">
                            <a:avLst/>
                          </a:prstGeom>
                        </pic:spPr>
                      </pic:pic>
                    </a:graphicData>
                  </a:graphic>
                </wp:inline>
              </w:drawing>
            </w:r>
          </w:p>
        </w:tc>
        <w:tc>
          <w:tcPr>
            <w:tcW w:w="1912" w:type="dxa"/>
            <w:tcBorders/>
            <w:vAlign w:val="center"/>
          </w:tcPr>
          <w:p>
            <w:pPr>
              <w:pStyle w:val="TableContents"/>
              <w:bidi w:val="0"/>
              <w:spacing w:lineRule="auto" w:line="285" w:before="0" w:after="0"/>
              <w:ind w:left="0" w:right="0" w:hanging="0"/>
              <w:jc w:val="left"/>
              <w:rPr>
                <w:rFonts w:ascii="Arial;Helvetica;sans-serif" w:hAnsi="Arial;Helvetica;sans-serif"/>
                <w:color w:val="4B4F54"/>
                <w:sz w:val="17"/>
              </w:rPr>
            </w:pPr>
            <w:r>
              <w:rPr>
                <w:rFonts w:ascii="Arial;Helvetica;sans-serif" w:hAnsi="Arial;Helvetica;sans-serif"/>
                <w:color w:val="4B4F54"/>
                <w:sz w:val="17"/>
              </w:rPr>
              <w:t>INVESTOR RELATIONS AT</w:t>
              <w:br/>
              <w:t>OUR OFFICES</w:t>
              <w:br/>
              <w:t>IN THE UNITED STATES</w:t>
            </w:r>
          </w:p>
        </w:tc>
        <w:tc>
          <w:tcPr>
            <w:tcW w:w="2273" w:type="dxa"/>
            <w:tcBorders/>
            <w:vAlign w:val="center"/>
          </w:tcPr>
          <w:p>
            <w:pPr>
              <w:pStyle w:val="TableContents"/>
              <w:bidi w:val="0"/>
              <w:spacing w:lineRule="auto" w:line="285" w:before="40" w:after="0"/>
              <w:ind w:left="0" w:right="0" w:hanging="0"/>
              <w:jc w:val="left"/>
              <w:rPr>
                <w:rFonts w:ascii="Arial;Helvetica;sans-serif" w:hAnsi="Arial;Helvetica;sans-serif"/>
                <w:sz w:val="19"/>
              </w:rPr>
            </w:pPr>
            <w:r>
              <w:rPr>
                <w:rFonts w:ascii="Arial;Helvetica;sans-serif" w:hAnsi="Arial;Helvetica;sans-serif"/>
                <w:sz w:val="19"/>
              </w:rPr>
              <w:t>Transocean Ltd.</w:t>
            </w:r>
          </w:p>
          <w:p>
            <w:pPr>
              <w:pStyle w:val="TableContents"/>
              <w:bidi w:val="0"/>
              <w:spacing w:lineRule="auto" w:line="285" w:before="0" w:after="0"/>
              <w:ind w:left="0" w:right="0" w:hanging="0"/>
              <w:jc w:val="left"/>
              <w:rPr>
                <w:rFonts w:ascii="Arial;Helvetica;sans-serif" w:hAnsi="Arial;Helvetica;sans-serif"/>
                <w:sz w:val="19"/>
              </w:rPr>
            </w:pPr>
            <w:r>
              <w:rPr>
                <w:rFonts w:ascii="Arial;Helvetica;sans-serif" w:hAnsi="Arial;Helvetica;sans-serif"/>
                <w:sz w:val="19"/>
              </w:rPr>
              <w:t>Attention: Investor Relations</w:t>
            </w:r>
          </w:p>
          <w:p>
            <w:pPr>
              <w:pStyle w:val="TableContents"/>
              <w:bidi w:val="0"/>
              <w:spacing w:lineRule="auto" w:line="285" w:before="0" w:after="0"/>
              <w:ind w:left="0" w:right="0" w:hanging="0"/>
              <w:jc w:val="left"/>
              <w:rPr>
                <w:rFonts w:ascii="Arial;Helvetica;sans-serif" w:hAnsi="Arial;Helvetica;sans-serif"/>
                <w:sz w:val="19"/>
              </w:rPr>
            </w:pPr>
            <w:r>
              <w:rPr>
                <w:rFonts w:ascii="Arial;Helvetica;sans-serif" w:hAnsi="Arial;Helvetica;sans-serif"/>
                <w:sz w:val="19"/>
              </w:rPr>
              <w:t>1414 Enclave Parkway</w:t>
            </w:r>
          </w:p>
          <w:p>
            <w:pPr>
              <w:pStyle w:val="TableContents"/>
              <w:bidi w:val="0"/>
              <w:spacing w:lineRule="auto" w:line="285" w:before="0" w:after="0"/>
              <w:ind w:left="0" w:right="0" w:hanging="0"/>
              <w:jc w:val="left"/>
              <w:rPr>
                <w:rFonts w:ascii="Arial;Helvetica;sans-serif" w:hAnsi="Arial;Helvetica;sans-serif"/>
                <w:sz w:val="19"/>
              </w:rPr>
            </w:pPr>
            <w:r>
              <w:rPr>
                <w:rFonts w:ascii="Arial;Helvetica;sans-serif" w:hAnsi="Arial;Helvetica;sans-serif"/>
                <w:sz w:val="19"/>
              </w:rPr>
              <w:t>Houston, Texas 77077</w:t>
            </w:r>
          </w:p>
          <w:p>
            <w:pPr>
              <w:pStyle w:val="TableContents"/>
              <w:bidi w:val="0"/>
              <w:spacing w:lineRule="auto" w:line="285" w:before="0" w:after="0"/>
              <w:ind w:left="0" w:right="0" w:hanging="0"/>
              <w:jc w:val="left"/>
              <w:rPr>
                <w:rFonts w:ascii="Arial;Helvetica;sans-serif" w:hAnsi="Arial;Helvetica;sans-serif"/>
                <w:sz w:val="19"/>
              </w:rPr>
            </w:pPr>
            <w:r>
              <w:rPr>
                <w:rFonts w:ascii="Arial;Helvetica;sans-serif" w:hAnsi="Arial;Helvetica;sans-serif"/>
                <w:sz w:val="19"/>
              </w:rPr>
              <w:t>USA</w:t>
            </w:r>
          </w:p>
        </w:tc>
      </w:tr>
      <w:tr>
        <w:trPr/>
        <w:tc>
          <w:tcPr>
            <w:tcW w:w="619"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59"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429" w:type="dxa"/>
            <w:tcBorders/>
            <w:vAlign w:val="center"/>
          </w:tcPr>
          <w:p>
            <w:pPr>
              <w:pStyle w:val="TableContents"/>
              <w:bidi w:val="0"/>
              <w:spacing w:lineRule="auto" w:line="285" w:before="0" w:after="0"/>
              <w:ind w:left="0" w:right="0" w:hanging="0"/>
              <w:jc w:val="left"/>
              <w:rPr/>
            </w:pPr>
            <w:r>
              <w:rPr/>
              <w:t>​</w:t>
            </w:r>
          </w:p>
        </w:tc>
        <w:tc>
          <w:tcPr>
            <w:tcW w:w="109" w:type="dxa"/>
            <w:tcBorders>
              <w:right w:val="single" w:sz="2" w:space="0" w:color="D9D9D9"/>
            </w:tcBorders>
            <w:tcMar>
              <w:right w:w="28" w:type="dxa"/>
            </w:tcMar>
            <w:vAlign w:val="center"/>
          </w:tcPr>
          <w:p>
            <w:pPr>
              <w:pStyle w:val="TableContents"/>
              <w:bidi w:val="0"/>
              <w:spacing w:lineRule="auto" w:line="285" w:before="0" w:after="0"/>
              <w:ind w:left="0" w:right="0" w:hanging="0"/>
              <w:jc w:val="both"/>
              <w:rPr/>
            </w:pPr>
            <w:r>
              <w:rPr/>
              <w:t>​</w:t>
            </w:r>
          </w:p>
        </w:tc>
        <w:tc>
          <w:tcPr>
            <w:tcW w:w="604" w:type="dxa"/>
            <w:tcBorders>
              <w:left w:val="single" w:sz="2" w:space="0" w:color="D9D9D9"/>
            </w:tcBorders>
            <w:tcMar>
              <w:left w:w="28" w:type="dxa"/>
            </w:tcMar>
            <w:vAlign w:val="center"/>
          </w:tcPr>
          <w:p>
            <w:pPr>
              <w:pStyle w:val="TableContents"/>
              <w:bidi w:val="0"/>
              <w:spacing w:lineRule="auto" w:line="285" w:before="0" w:after="0"/>
              <w:ind w:left="0" w:right="0" w:hanging="0"/>
              <w:jc w:val="both"/>
              <w:rPr/>
            </w:pPr>
            <w:r>
              <w:rPr/>
              <w:t>​</w:t>
            </w:r>
          </w:p>
        </w:tc>
        <w:tc>
          <w:tcPr>
            <w:tcW w:w="1912"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73" w:type="dxa"/>
            <w:tcBorders/>
            <w:vAlign w:val="center"/>
          </w:tcPr>
          <w:p>
            <w:pPr>
              <w:pStyle w:val="TableContents"/>
              <w:bidi w:val="0"/>
              <w:spacing w:lineRule="auto" w:line="285" w:before="0" w:after="0"/>
              <w:ind w:left="0" w:right="0" w:hanging="0"/>
              <w:jc w:val="left"/>
              <w:rPr/>
            </w:pPr>
            <w:r>
              <w:rPr/>
              <w:t>​</w:t>
            </w:r>
          </w:p>
        </w:tc>
      </w:tr>
      <w:tr>
        <w:trPr/>
        <w:tc>
          <w:tcPr>
            <w:tcW w:w="619" w:type="dxa"/>
            <w:tcBorders/>
            <w:vAlign w:val="center"/>
          </w:tcPr>
          <w:p>
            <w:pPr>
              <w:pStyle w:val="TableContents"/>
              <w:bidi w:val="0"/>
              <w:spacing w:lineRule="auto" w:line="285" w:before="0" w:after="0"/>
              <w:ind w:left="0" w:right="0" w:hanging="0"/>
              <w:jc w:val="both"/>
              <w:rPr>
                <w:color w:val="4B4F54"/>
              </w:rPr>
            </w:pPr>
            <w:r>
              <w:rPr>
                <w:color w:val="4B4F54"/>
              </w:rPr>
              <w:drawing>
                <wp:inline distT="0" distB="0" distL="0" distR="0">
                  <wp:extent cx="328930" cy="311150"/>
                  <wp:effectExtent l="0" t="0" r="0" b="0"/>
                  <wp:docPr id="8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8" descr=""/>
                          <pic:cNvPicPr>
                            <a:picLocks noChangeAspect="1" noChangeArrowheads="1"/>
                          </pic:cNvPicPr>
                        </pic:nvPicPr>
                        <pic:blipFill>
                          <a:blip r:embed="rId59"/>
                          <a:stretch>
                            <a:fillRect/>
                          </a:stretch>
                        </pic:blipFill>
                        <pic:spPr bwMode="auto">
                          <a:xfrm>
                            <a:off x="0" y="0"/>
                            <a:ext cx="328930" cy="311150"/>
                          </a:xfrm>
                          <a:prstGeom prst="rect">
                            <a:avLst/>
                          </a:prstGeom>
                        </pic:spPr>
                      </pic:pic>
                    </a:graphicData>
                  </a:graphic>
                </wp:inline>
              </w:drawing>
            </w:r>
          </w:p>
        </w:tc>
        <w:tc>
          <w:tcPr>
            <w:tcW w:w="2259" w:type="dxa"/>
            <w:tcBorders/>
            <w:vAlign w:val="center"/>
          </w:tcPr>
          <w:p>
            <w:pPr>
              <w:pStyle w:val="TableContents"/>
              <w:bidi w:val="0"/>
              <w:spacing w:lineRule="auto" w:line="285" w:before="0" w:after="0"/>
              <w:ind w:left="0" w:right="0" w:hanging="0"/>
              <w:jc w:val="both"/>
              <w:rPr>
                <w:rFonts w:ascii="Arial;Helvetica;sans-serif" w:hAnsi="Arial;Helvetica;sans-serif"/>
                <w:color w:val="4B4F54"/>
                <w:sz w:val="17"/>
              </w:rPr>
            </w:pPr>
            <w:r>
              <w:rPr>
                <w:rFonts w:ascii="Arial;Helvetica;sans-serif" w:hAnsi="Arial;Helvetica;sans-serif"/>
                <w:color w:val="4B4F54"/>
                <w:sz w:val="17"/>
              </w:rPr>
              <w:t>TELEPHONE</w:t>
              <w:br/>
              <w:t>NUMBER </w:t>
            </w:r>
          </w:p>
        </w:tc>
        <w:tc>
          <w:tcPr>
            <w:tcW w:w="2429" w:type="dxa"/>
            <w:tcBorders/>
            <w:vAlign w:val="center"/>
          </w:tcPr>
          <w:p>
            <w:pPr>
              <w:pStyle w:val="TableContents"/>
              <w:bidi w:val="0"/>
              <w:spacing w:lineRule="auto" w:line="285" w:before="0" w:after="0"/>
              <w:ind w:left="0" w:right="0" w:hanging="0"/>
              <w:jc w:val="both"/>
              <w:rPr>
                <w:rFonts w:ascii="Arial;Helvetica;sans-serif" w:hAnsi="Arial;Helvetica;sans-serif"/>
                <w:sz w:val="19"/>
              </w:rPr>
            </w:pPr>
            <w:r>
              <w:rPr>
                <w:rFonts w:ascii="Arial;Helvetica;sans-serif" w:hAnsi="Arial;Helvetica;sans-serif"/>
                <w:sz w:val="19"/>
              </w:rPr>
              <w:t>+41 (41) 749-0500</w:t>
            </w:r>
          </w:p>
        </w:tc>
        <w:tc>
          <w:tcPr>
            <w:tcW w:w="109" w:type="dxa"/>
            <w:tcBorders>
              <w:right w:val="single" w:sz="2" w:space="0" w:color="D9D9D9"/>
            </w:tcBorders>
            <w:tcMar>
              <w:right w:w="28" w:type="dxa"/>
            </w:tcMar>
            <w:vAlign w:val="center"/>
          </w:tcPr>
          <w:p>
            <w:pPr>
              <w:pStyle w:val="TableContents"/>
              <w:bidi w:val="0"/>
              <w:spacing w:lineRule="auto" w:line="285" w:before="0" w:after="0"/>
              <w:ind w:left="0" w:right="0" w:hanging="0"/>
              <w:jc w:val="both"/>
              <w:rPr/>
            </w:pPr>
            <w:r>
              <w:rPr/>
              <w:t>​</w:t>
            </w:r>
          </w:p>
        </w:tc>
        <w:tc>
          <w:tcPr>
            <w:tcW w:w="604" w:type="dxa"/>
            <w:tcBorders>
              <w:left w:val="single" w:sz="2" w:space="0" w:color="D9D9D9"/>
            </w:tcBorders>
            <w:tcMar>
              <w:left w:w="28" w:type="dxa"/>
            </w:tcMar>
            <w:vAlign w:val="center"/>
          </w:tcPr>
          <w:p>
            <w:pPr>
              <w:pStyle w:val="TableContents"/>
              <w:bidi w:val="0"/>
              <w:spacing w:lineRule="auto" w:line="285" w:before="0" w:after="0"/>
              <w:ind w:left="0" w:right="0" w:hanging="0"/>
              <w:jc w:val="both"/>
              <w:rPr/>
            </w:pPr>
            <w:r>
              <w:rPr/>
              <w:drawing>
                <wp:inline distT="0" distB="0" distL="0" distR="0">
                  <wp:extent cx="328930" cy="311150"/>
                  <wp:effectExtent l="0" t="0" r="0" b="0"/>
                  <wp:docPr id="8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9" descr=""/>
                          <pic:cNvPicPr>
                            <a:picLocks noChangeAspect="1" noChangeArrowheads="1"/>
                          </pic:cNvPicPr>
                        </pic:nvPicPr>
                        <pic:blipFill>
                          <a:blip r:embed="rId60"/>
                          <a:stretch>
                            <a:fillRect/>
                          </a:stretch>
                        </pic:blipFill>
                        <pic:spPr bwMode="auto">
                          <a:xfrm>
                            <a:off x="0" y="0"/>
                            <a:ext cx="328930" cy="311150"/>
                          </a:xfrm>
                          <a:prstGeom prst="rect">
                            <a:avLst/>
                          </a:prstGeom>
                        </pic:spPr>
                      </pic:pic>
                    </a:graphicData>
                  </a:graphic>
                </wp:inline>
              </w:drawing>
            </w:r>
          </w:p>
        </w:tc>
        <w:tc>
          <w:tcPr>
            <w:tcW w:w="1912" w:type="dxa"/>
            <w:tcBorders/>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color w:val="4B4F54"/>
                <w:sz w:val="17"/>
              </w:rPr>
              <w:t>TELEPHONE</w:t>
              <w:br/>
              <w:t>NUMBER</w:t>
            </w:r>
            <w:r>
              <w:rPr>
                <w:rFonts w:ascii="Arial;Helvetica;sans-serif" w:hAnsi="Arial;Helvetica;sans-serif"/>
                <w:sz w:val="16"/>
              </w:rPr>
              <w:t> </w:t>
            </w:r>
          </w:p>
        </w:tc>
        <w:tc>
          <w:tcPr>
            <w:tcW w:w="2273" w:type="dxa"/>
            <w:tcBorders/>
            <w:vAlign w:val="center"/>
          </w:tcPr>
          <w:p>
            <w:pPr>
              <w:pStyle w:val="TableContents"/>
              <w:bidi w:val="0"/>
              <w:spacing w:lineRule="auto" w:line="285" w:before="0" w:after="0"/>
              <w:ind w:left="0" w:right="0" w:hanging="0"/>
              <w:jc w:val="both"/>
              <w:rPr>
                <w:rFonts w:ascii="Arial;Helvetica;sans-serif" w:hAnsi="Arial;Helvetica;sans-serif"/>
                <w:sz w:val="19"/>
              </w:rPr>
            </w:pPr>
            <w:r>
              <w:rPr>
                <w:rFonts w:ascii="Arial;Helvetica;sans-serif" w:hAnsi="Arial;Helvetica;sans-serif"/>
                <w:sz w:val="19"/>
              </w:rPr>
              <w:t>+1 (713) 232-7500</w:t>
            </w:r>
          </w:p>
        </w:tc>
      </w:tr>
    </w:tbl>
    <w:p>
      <w:pPr>
        <w:pStyle w:val="TextBody"/>
        <w:bidi w:val="0"/>
        <w:spacing w:lineRule="auto" w:line="285" w:before="0" w:after="0"/>
        <w:ind w:left="0" w:right="0" w:hanging="0"/>
        <w:jc w:val="both"/>
        <w:rPr/>
      </w:pPr>
      <w:r>
        <w:rPr/>
        <w:t>​</w:t>
      </w:r>
    </w:p>
    <w:tbl>
      <w:tblPr>
        <w:tblW w:w="3365" w:type="dxa"/>
        <w:jc w:val="left"/>
        <w:tblInd w:w="0" w:type="dxa"/>
        <w:tblLayout w:type="fixed"/>
        <w:tblCellMar>
          <w:top w:w="0" w:type="dxa"/>
          <w:left w:w="0" w:type="dxa"/>
          <w:bottom w:w="0" w:type="dxa"/>
          <w:right w:w="0" w:type="dxa"/>
        </w:tblCellMar>
      </w:tblPr>
      <w:tblGrid>
        <w:gridCol w:w="124"/>
        <w:gridCol w:w="3241"/>
      </w:tblGrid>
      <w:tr>
        <w:trPr/>
        <w:tc>
          <w:tcPr>
            <w:tcW w:w="124" w:type="dxa"/>
            <w:tcBorders/>
            <w:vAlign w:val="center"/>
          </w:tcPr>
          <w:p>
            <w:pPr>
              <w:pStyle w:val="TableContents"/>
              <w:bidi w:val="0"/>
              <w:spacing w:lineRule="auto" w:line="285" w:before="0" w:after="0"/>
              <w:ind w:left="0" w:right="0" w:hanging="0"/>
              <w:jc w:val="both"/>
              <w:rPr/>
            </w:pPr>
            <w:r>
              <w:rPr/>
              <w:t>​</w:t>
            </w:r>
          </w:p>
        </w:tc>
        <w:tc>
          <w:tcPr>
            <w:tcW w:w="3241" w:type="dxa"/>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pBdr/>
              <w:bidi w:val="0"/>
              <w:spacing w:lineRule="auto" w:line="285" w:before="0" w:after="0"/>
              <w:ind w:left="0" w:right="0" w:hanging="0"/>
              <w:jc w:val="both"/>
              <w:rPr/>
            </w:pPr>
            <w:r>
              <w:rPr/>
              <w:t>​</w:t>
            </w:r>
          </w:p>
        </w:tc>
        <w:tc>
          <w:tcPr>
            <w:tcW w:w="3241" w:type="dxa"/>
            <w:tcBorders/>
            <w:vAlign w:val="center"/>
          </w:tcPr>
          <w:p>
            <w:pPr>
              <w:pStyle w:val="TableContents"/>
              <w:pBdr/>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On behalf of the Board of Directors,</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3241" w:type="dxa"/>
            <w:tcBorders/>
            <w:vAlign w:val="center"/>
          </w:tcPr>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3241"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b/>
                <w:color w:val="00556F"/>
                <w:sz w:val="24"/>
              </w:rPr>
              <w:t>JEREMY D. THIGPEN</w:t>
            </w:r>
            <w:r>
              <w:rPr>
                <w:rFonts w:ascii="Arial;Helvetica;sans-serif" w:hAnsi="Arial;Helvetica;sans-serif"/>
                <w:sz w:val="20"/>
              </w:rPr>
              <w:br/>
              <w:t>Chair of the Board of Directors</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Steinhausen, Switzerland</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 ], 2026</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P-14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Arial;Helvetica;sans-serif" w:hAnsi="Arial;Helvetica;sans-serif"/>
          <w:b/>
          <w:color w:val="ECA44A"/>
          <w:sz w:val="40"/>
        </w:rPr>
      </w:pPr>
      <w:bookmarkStart w:id="32" w:name="IMPORTANTNOTICE"/>
      <w:bookmarkStart w:id="33" w:name="_5939ad12_246c_42e0_b0dc_e324e2951ff7"/>
      <w:bookmarkEnd w:id="32"/>
      <w:bookmarkEnd w:id="33"/>
      <w:r>
        <w:rPr>
          <w:rFonts w:ascii="Arial;Helvetica;sans-serif" w:hAnsi="Arial;Helvetica;sans-serif"/>
          <w:b/>
          <w:color w:val="ECA44A"/>
          <w:sz w:val="40"/>
        </w:rPr>
        <w:t>IMPORTANT NOTICE REGARDING THE AVAILABILITY OF PROXY MATERIALS</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85" w:before="0" w:after="0"/>
              <w:ind w:left="0" w:right="0" w:hanging="0"/>
              <w:jc w:val="both"/>
              <w:rPr/>
            </w:pPr>
            <w:r>
              <w:rPr/>
              <w:t>​</w:t>
            </w:r>
          </w:p>
        </w:tc>
      </w:tr>
      <w:tr>
        <w:trPr/>
        <w:tc>
          <w:tcPr>
            <w:tcW w:w="10205" w:type="dxa"/>
            <w:tcBorders/>
            <w:shd w:fill="F2F2F2" w:val="clear"/>
            <w:vAlign w:val="center"/>
          </w:tcPr>
          <w:p>
            <w:pPr>
              <w:pStyle w:val="TableContents"/>
              <w:bidi w:val="0"/>
              <w:spacing w:lineRule="auto" w:line="285" w:before="120" w:after="200"/>
              <w:ind w:left="0" w:right="0" w:hanging="0"/>
              <w:jc w:val="left"/>
              <w:rPr>
                <w:rFonts w:ascii="Arial;Helvetica;sans-serif" w:hAnsi="Arial;Helvetica;sans-serif"/>
                <w:b/>
                <w:color w:val="005670"/>
                <w:sz w:val="20"/>
              </w:rPr>
            </w:pPr>
            <w:r>
              <w:rPr>
                <w:rFonts w:ascii="Arial;Helvetica;sans-serif" w:hAnsi="Arial;Helvetica;sans-serif"/>
                <w:b/>
                <w:color w:val="005670"/>
                <w:sz w:val="20"/>
              </w:rPr>
              <w:t>YOUR VOTE IS IMPORTANT</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You may designate a proxy to vote your shares by submitting your voting instructions electronically over the internet, by calling the toll-free number or, if you requested a printed copy of the proxy materials, by completing, signing and returning by mail the proxy card you will receive in response to your request. Please review the instructions in the Notice of Internet Availability of Proxy Materials and the proxy statement.</w:t>
            </w:r>
          </w:p>
        </w:tc>
      </w:tr>
      <w:tr>
        <w:trPr/>
        <w:tc>
          <w:tcPr>
            <w:tcW w:w="10205" w:type="dxa"/>
            <w:tcBorders/>
            <w:shd w:fill="F2F2F2" w:val="clear"/>
            <w:vAlign w:val="center"/>
          </w:tcPr>
          <w:p>
            <w:pPr>
              <w:pStyle w:val="TableContents"/>
              <w:bidi w:val="0"/>
              <w:spacing w:lineRule="auto" w:line="285" w:before="0" w:after="200"/>
              <w:ind w:left="0" w:right="0" w:hanging="0"/>
              <w:jc w:val="both"/>
              <w:rPr>
                <w:rFonts w:ascii="Arial;Helvetica;sans-serif" w:hAnsi="Arial;Helvetica;sans-serif"/>
                <w:b w:val="false"/>
                <w:sz w:val="20"/>
              </w:rPr>
            </w:pPr>
            <w:r>
              <w:rPr>
                <w:rFonts w:ascii="Arial;Helvetica;sans-serif" w:hAnsi="Arial;Helvetica;sans-serif"/>
                <w:b w:val="false"/>
                <w:sz w:val="20"/>
              </w:rPr>
              <w:t>Shareholders who hold their shares in the name of a bank, broker or other nominee should follow the instructions provided by their bank, broker or nominee for voting their shares, including whether they may submit voting instructions by mail, telephone or over the internet.</w:t>
            </w:r>
          </w:p>
        </w:tc>
      </w:tr>
      <w:tr>
        <w:trPr/>
        <w:tc>
          <w:tcPr>
            <w:tcW w:w="10205" w:type="dxa"/>
            <w:tcBorders/>
            <w:shd w:fill="F2F2F2" w:val="clear"/>
            <w:vAlign w:val="center"/>
          </w:tcPr>
          <w:p>
            <w:pPr>
              <w:pStyle w:val="TableContents"/>
              <w:bidi w:val="0"/>
              <w:spacing w:lineRule="auto" w:line="285" w:before="0" w:after="0"/>
              <w:ind w:left="0" w:right="0" w:hanging="0"/>
              <w:jc w:val="left"/>
              <w:rPr>
                <w:rFonts w:ascii="Arial;Helvetica;sans-serif" w:hAnsi="Arial;Helvetica;sans-serif"/>
                <w:b/>
                <w:color w:val="005670"/>
                <w:sz w:val="20"/>
              </w:rPr>
            </w:pPr>
            <w:r>
              <w:rPr>
                <w:rFonts w:ascii="Arial;Helvetica;sans-serif" w:hAnsi="Arial;Helvetica;sans-serif"/>
                <w:b/>
                <w:color w:val="005670"/>
                <w:sz w:val="20"/>
              </w:rPr>
              <w:t>IMPORTANT NOTICE REGARDING THE AVAILABILITY OF PROXY MATERIALS FOR THE 2026 ANNUAL GENERAL MEETING TO BE HELD ON MAY 22, 2026</w:t>
            </w:r>
          </w:p>
        </w:tc>
      </w:tr>
      <w:tr>
        <w:trPr/>
        <w:tc>
          <w:tcPr>
            <w:tcW w:w="10205" w:type="dxa"/>
            <w:tcBorders/>
            <w:shd w:fill="F2F2F2" w:val="clear"/>
            <w:vAlign w:val="center"/>
          </w:tcPr>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 xml:space="preserve">Our proxy statement and 2025 Annual Report are available at </w:t>
            </w:r>
            <w:r>
              <w:rPr>
                <w:rFonts w:ascii="Arial;Helvetica;sans-serif" w:hAnsi="Arial;Helvetica;sans-serif"/>
                <w:color w:val="005670"/>
                <w:sz w:val="20"/>
              </w:rPr>
              <w:t>www.proxyvote.com</w:t>
            </w:r>
            <w:r>
              <w:rPr>
                <w:rFonts w:ascii="Arial;Helvetica;sans-serif" w:hAnsi="Arial;Helvetica;sans-serif"/>
                <w:sz w:val="20"/>
              </w:rPr>
              <w:t xml:space="preserve"> or on our website </w:t>
            </w:r>
            <w:r>
              <w:rPr>
                <w:rFonts w:ascii="Arial;Helvetica;sans-serif" w:hAnsi="Arial;Helvetica;sans-serif"/>
                <w:color w:val="005670"/>
                <w:sz w:val="20"/>
              </w:rPr>
              <w:t>investor.deepwater.com</w:t>
            </w:r>
            <w:r>
              <w:rPr>
                <w:rFonts w:ascii="Arial;Helvetica;sans-serif" w:hAnsi="Arial;Helvetica;sans-serif"/>
                <w:sz w:val="20"/>
              </w:rPr>
              <w:t xml:space="preserve"> under “Financial Reports ― Annual and Quarterly Reports.” Information contained on or accessible from our website is not incorporated by reference into this proxy statement and should not be considered a part of this report or any other filing that we make with the SEC. Furthermore, references to our website URLs are intended to be inactive textual references only.</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P-15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rFonts w:ascii="Arial;Helvetica;sans-serif" w:hAnsi="Arial;Helvetica;sans-serif"/>
          <w:b/>
          <w:color w:val="ECA44A"/>
          <w:sz w:val="40"/>
        </w:rPr>
      </w:pPr>
      <w:bookmarkStart w:id="34" w:name="PROXYSTATEMENT"/>
      <w:bookmarkStart w:id="35" w:name="_ef044bab_177e_4e19_84d6_83443eb255b3"/>
      <w:bookmarkEnd w:id="34"/>
      <w:bookmarkEnd w:id="35"/>
      <w:r>
        <w:rPr>
          <w:rFonts w:ascii="Arial;Helvetica;sans-serif" w:hAnsi="Arial;Helvetica;sans-serif"/>
          <w:b/>
          <w:color w:val="ECA44A"/>
          <w:sz w:val="40"/>
        </w:rPr>
        <w:t>PROXY STATEMENT</w:t>
      </w:r>
    </w:p>
    <w:tbl>
      <w:tblPr>
        <w:tblW w:w="5786" w:type="dxa"/>
        <w:jc w:val="left"/>
        <w:tblInd w:w="0" w:type="dxa"/>
        <w:tblLayout w:type="fixed"/>
        <w:tblCellMar>
          <w:top w:w="0" w:type="dxa"/>
          <w:left w:w="0" w:type="dxa"/>
          <w:bottom w:w="0" w:type="dxa"/>
          <w:right w:w="0" w:type="dxa"/>
        </w:tblCellMar>
      </w:tblPr>
      <w:tblGrid>
        <w:gridCol w:w="1966"/>
        <w:gridCol w:w="109"/>
        <w:gridCol w:w="2041"/>
        <w:gridCol w:w="109"/>
        <w:gridCol w:w="1561"/>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p>
        </w:tc>
      </w:tr>
      <w:tr>
        <w:trPr/>
        <w:tc>
          <w:tcPr>
            <w:tcW w:w="1966" w:type="dxa"/>
            <w:tcBorders/>
            <w:vAlign w:val="center"/>
          </w:tcPr>
          <w:p>
            <w:pPr>
              <w:pStyle w:val="TableContents"/>
              <w:bidi w:val="0"/>
              <w:spacing w:lineRule="auto" w:line="285" w:before="120" w:after="60"/>
              <w:ind w:left="0" w:right="0" w:hanging="0"/>
              <w:jc w:val="center"/>
              <w:rPr>
                <w:color w:val="4B4F54"/>
              </w:rPr>
            </w:pPr>
            <w:r>
              <w:rPr>
                <w:color w:val="4B4F54"/>
              </w:rPr>
              <w:drawing>
                <wp:inline distT="0" distB="0" distL="0" distR="0">
                  <wp:extent cx="311150" cy="301625"/>
                  <wp:effectExtent l="0" t="0" r="0" b="0"/>
                  <wp:docPr id="8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0" descr=""/>
                          <pic:cNvPicPr>
                            <a:picLocks noChangeAspect="1" noChangeArrowheads="1"/>
                          </pic:cNvPicPr>
                        </pic:nvPicPr>
                        <pic:blipFill>
                          <a:blip r:embed="rId61"/>
                          <a:stretch>
                            <a:fillRect/>
                          </a:stretch>
                        </pic:blipFill>
                        <pic:spPr bwMode="auto">
                          <a:xfrm>
                            <a:off x="0" y="0"/>
                            <a:ext cx="311150" cy="301625"/>
                          </a:xfrm>
                          <a:prstGeom prst="rect">
                            <a:avLst/>
                          </a:prstGeom>
                        </pic:spPr>
                      </pic:pic>
                    </a:graphicData>
                  </a:graphic>
                </wp:inline>
              </w:drawing>
            </w:r>
          </w:p>
        </w:tc>
        <w:tc>
          <w:tcPr>
            <w:tcW w:w="109" w:type="dxa"/>
            <w:tcBorders/>
            <w:vAlign w:val="center"/>
          </w:tcPr>
          <w:p>
            <w:pPr>
              <w:pStyle w:val="TableContents"/>
              <w:bidi w:val="0"/>
              <w:spacing w:lineRule="auto" w:line="285" w:before="120" w:after="0"/>
              <w:ind w:left="0" w:right="0" w:hanging="0"/>
              <w:jc w:val="both"/>
              <w:rPr/>
            </w:pPr>
            <w:r>
              <w:rPr/>
              <w:t>​</w:t>
            </w:r>
          </w:p>
        </w:tc>
        <w:tc>
          <w:tcPr>
            <w:tcW w:w="2041" w:type="dxa"/>
            <w:tcBorders/>
            <w:vAlign w:val="center"/>
          </w:tcPr>
          <w:p>
            <w:pPr>
              <w:pStyle w:val="TableContents"/>
              <w:bidi w:val="0"/>
              <w:spacing w:lineRule="auto" w:line="285" w:before="120" w:after="60"/>
              <w:ind w:left="0" w:right="0" w:hanging="0"/>
              <w:jc w:val="center"/>
              <w:rPr>
                <w:color w:val="4B4F54"/>
              </w:rPr>
            </w:pPr>
            <w:r>
              <w:rPr>
                <w:color w:val="4B4F54"/>
              </w:rPr>
              <w:drawing>
                <wp:inline distT="0" distB="0" distL="0" distR="0">
                  <wp:extent cx="219710" cy="301625"/>
                  <wp:effectExtent l="0" t="0" r="0" b="0"/>
                  <wp:docPr id="8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1" descr=""/>
                          <pic:cNvPicPr>
                            <a:picLocks noChangeAspect="1" noChangeArrowheads="1"/>
                          </pic:cNvPicPr>
                        </pic:nvPicPr>
                        <pic:blipFill>
                          <a:blip r:embed="rId62"/>
                          <a:stretch>
                            <a:fillRect/>
                          </a:stretch>
                        </pic:blipFill>
                        <pic:spPr bwMode="auto">
                          <a:xfrm>
                            <a:off x="0" y="0"/>
                            <a:ext cx="219710" cy="301625"/>
                          </a:xfrm>
                          <a:prstGeom prst="rect">
                            <a:avLst/>
                          </a:prstGeom>
                        </pic:spPr>
                      </pic:pic>
                    </a:graphicData>
                  </a:graphic>
                </wp:inline>
              </w:drawing>
            </w:r>
          </w:p>
        </w:tc>
        <w:tc>
          <w:tcPr>
            <w:tcW w:w="109" w:type="dxa"/>
            <w:tcBorders/>
            <w:vAlign w:val="center"/>
          </w:tcPr>
          <w:p>
            <w:pPr>
              <w:pStyle w:val="TableContents"/>
              <w:bidi w:val="0"/>
              <w:spacing w:lineRule="auto" w:line="285" w:before="120" w:after="0"/>
              <w:ind w:left="0" w:right="0" w:hanging="0"/>
              <w:jc w:val="center"/>
              <w:rPr/>
            </w:pPr>
            <w:r>
              <w:rPr/>
              <w:t>​</w:t>
            </w:r>
          </w:p>
        </w:tc>
        <w:tc>
          <w:tcPr>
            <w:tcW w:w="1561" w:type="dxa"/>
            <w:tcBorders/>
            <w:vAlign w:val="center"/>
          </w:tcPr>
          <w:p>
            <w:pPr>
              <w:pStyle w:val="TableContents"/>
              <w:bidi w:val="0"/>
              <w:spacing w:lineRule="auto" w:line="285" w:before="120" w:after="60"/>
              <w:ind w:left="0" w:right="0" w:hanging="0"/>
              <w:jc w:val="center"/>
              <w:rPr/>
            </w:pPr>
            <w:r>
              <w:rPr/>
              <w:drawing>
                <wp:inline distT="0" distB="0" distL="0" distR="0">
                  <wp:extent cx="338455" cy="301625"/>
                  <wp:effectExtent l="0" t="0" r="0" b="0"/>
                  <wp:docPr id="8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2" descr=""/>
                          <pic:cNvPicPr>
                            <a:picLocks noChangeAspect="1" noChangeArrowheads="1"/>
                          </pic:cNvPicPr>
                        </pic:nvPicPr>
                        <pic:blipFill>
                          <a:blip r:embed="rId63"/>
                          <a:stretch>
                            <a:fillRect/>
                          </a:stretch>
                        </pic:blipFill>
                        <pic:spPr bwMode="auto">
                          <a:xfrm>
                            <a:off x="0" y="0"/>
                            <a:ext cx="338455" cy="301625"/>
                          </a:xfrm>
                          <a:prstGeom prst="rect">
                            <a:avLst/>
                          </a:prstGeom>
                        </pic:spPr>
                      </pic:pic>
                    </a:graphicData>
                  </a:graphic>
                </wp:inline>
              </w:drawing>
            </w:r>
          </w:p>
        </w:tc>
      </w:tr>
      <w:tr>
        <w:trPr/>
        <w:tc>
          <w:tcPr>
            <w:tcW w:w="196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9"/>
              </w:rPr>
            </w:pPr>
            <w:r>
              <w:rPr>
                <w:rFonts w:ascii="Arial;Helvetica;sans-serif" w:hAnsi="Arial;Helvetica;sans-serif"/>
                <w:b/>
                <w:color w:val="4B4F54"/>
                <w:sz w:val="19"/>
              </w:rPr>
              <w:t>WHEN</w:t>
            </w:r>
          </w:p>
        </w:tc>
        <w:tc>
          <w:tcPr>
            <w:tcW w:w="109"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04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9"/>
              </w:rPr>
            </w:pPr>
            <w:r>
              <w:rPr>
                <w:rFonts w:ascii="Arial;Helvetica;sans-serif" w:hAnsi="Arial;Helvetica;sans-serif"/>
                <w:b/>
                <w:color w:val="4B4F54"/>
                <w:sz w:val="19"/>
              </w:rPr>
              <w:t>WHERE</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5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9"/>
              </w:rPr>
            </w:pPr>
            <w:r>
              <w:rPr>
                <w:rFonts w:ascii="Arial;Helvetica;sans-serif" w:hAnsi="Arial;Helvetica;sans-serif"/>
                <w:b/>
                <w:color w:val="4B4F54"/>
                <w:sz w:val="19"/>
              </w:rPr>
              <w:t>RECORD DATE</w:t>
            </w:r>
          </w:p>
        </w:tc>
      </w:tr>
      <w:tr>
        <w:trPr/>
        <w:tc>
          <w:tcPr>
            <w:tcW w:w="1966" w:type="dxa"/>
            <w:tcBorders/>
            <w:vAlign w:val="center"/>
          </w:tcPr>
          <w:p>
            <w:pPr>
              <w:pStyle w:val="TableContents"/>
              <w:bidi w:val="0"/>
              <w:spacing w:lineRule="auto" w:line="285" w:before="80" w:after="0"/>
              <w:ind w:left="0" w:right="0" w:hanging="0"/>
              <w:jc w:val="center"/>
              <w:rPr>
                <w:rFonts w:ascii="Arial;Helvetica;sans-serif" w:hAnsi="Arial;Helvetica;sans-serif"/>
                <w:sz w:val="20"/>
              </w:rPr>
            </w:pPr>
            <w:r>
              <w:rPr>
                <w:rFonts w:ascii="Arial;Helvetica;sans-serif" w:hAnsi="Arial;Helvetica;sans-serif"/>
                <w:sz w:val="20"/>
              </w:rPr>
              <w:t>Friday, May 22, 2026</w:t>
            </w:r>
          </w:p>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8:00 a.m. Swiss time</w:t>
            </w:r>
          </w:p>
        </w:tc>
        <w:tc>
          <w:tcPr>
            <w:tcW w:w="109" w:type="dxa"/>
            <w:tcBorders/>
            <w:vAlign w:val="center"/>
          </w:tcPr>
          <w:p>
            <w:pPr>
              <w:pStyle w:val="TableContents"/>
              <w:bidi w:val="0"/>
              <w:spacing w:lineRule="auto" w:line="285" w:before="0" w:after="0"/>
              <w:ind w:left="0" w:right="0" w:hanging="0"/>
              <w:jc w:val="both"/>
              <w:rPr/>
            </w:pPr>
            <w:r>
              <w:rPr/>
              <w:t>​</w:t>
            </w:r>
          </w:p>
        </w:tc>
        <w:tc>
          <w:tcPr>
            <w:tcW w:w="2041" w:type="dxa"/>
            <w:tcBorders/>
            <w:vAlign w:val="center"/>
          </w:tcPr>
          <w:p>
            <w:pPr>
              <w:pStyle w:val="TableContents"/>
              <w:bidi w:val="0"/>
              <w:spacing w:lineRule="auto" w:line="285" w:before="80" w:after="0"/>
              <w:ind w:left="0" w:right="0" w:hanging="0"/>
              <w:jc w:val="center"/>
              <w:rPr>
                <w:rFonts w:ascii="Arial;Helvetica;sans-serif" w:hAnsi="Arial;Helvetica;sans-serif"/>
                <w:sz w:val="20"/>
              </w:rPr>
            </w:pPr>
            <w:r>
              <w:rPr>
                <w:rFonts w:ascii="Arial;Helvetica;sans-serif" w:hAnsi="Arial;Helvetica;sans-serif"/>
                <w:sz w:val="20"/>
              </w:rPr>
              <w:t>Parkhotel Zug</w:t>
            </w:r>
          </w:p>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Industriestrasse 14</w:t>
            </w:r>
          </w:p>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6302 Zug, Switzerland</w:t>
            </w:r>
          </w:p>
        </w:tc>
        <w:tc>
          <w:tcPr>
            <w:tcW w:w="109" w:type="dxa"/>
            <w:tcBorders/>
            <w:vAlign w:val="center"/>
          </w:tcPr>
          <w:p>
            <w:pPr>
              <w:pStyle w:val="TableContents"/>
              <w:bidi w:val="0"/>
              <w:spacing w:lineRule="auto" w:line="285" w:before="80" w:after="0"/>
              <w:ind w:left="0" w:right="0" w:hanging="0"/>
              <w:jc w:val="center"/>
              <w:rPr/>
            </w:pPr>
            <w:r>
              <w:rPr/>
              <w:t>​</w:t>
            </w:r>
          </w:p>
        </w:tc>
        <w:tc>
          <w:tcPr>
            <w:tcW w:w="1561" w:type="dxa"/>
            <w:tcBorders/>
            <w:vAlign w:val="center"/>
          </w:tcPr>
          <w:p>
            <w:pPr>
              <w:pStyle w:val="TableContents"/>
              <w:bidi w:val="0"/>
              <w:spacing w:lineRule="auto" w:line="285" w:before="80" w:after="0"/>
              <w:ind w:left="0" w:right="0" w:hanging="0"/>
              <w:jc w:val="center"/>
              <w:rPr>
                <w:rFonts w:ascii="Arial;Helvetica;sans-serif" w:hAnsi="Arial;Helvetica;sans-serif"/>
                <w:sz w:val="20"/>
              </w:rPr>
            </w:pPr>
            <w:r>
              <w:rPr>
                <w:rFonts w:ascii="Arial;Helvetica;sans-serif" w:hAnsi="Arial;Helvetica;sans-serif"/>
                <w:sz w:val="20"/>
              </w:rPr>
              <w:t>May 4, 2026</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ECA44A"/>
          <w:sz w:val="40"/>
        </w:rPr>
      </w:pPr>
      <w:bookmarkStart w:id="36" w:name="INFORMATIONABOUTTHEMEETINGANDVOTING"/>
      <w:bookmarkStart w:id="37" w:name="INFORMATION_37650"/>
      <w:bookmarkEnd w:id="36"/>
      <w:bookmarkEnd w:id="37"/>
      <w:r>
        <w:rPr>
          <w:rFonts w:ascii="Arial;Helvetica;sans-serif" w:hAnsi="Arial;Helvetica;sans-serif"/>
          <w:b/>
          <w:color w:val="ECA44A"/>
          <w:sz w:val="40"/>
        </w:rPr>
        <w:t>INFORMATION ABOUT THE MEETING AND VOTING</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This proxy statement is furnished in connection with the solicitation of proxies by Transocean Ltd., on behalf of the Board of Directors, to be voted at our 2026 Annual General Meeting to be held on May 22, 2026, at 8:00 a.m. Swiss time, at the Parkhotel Zug, Industriestrasse 14, 6302 Zug, Switzerland. The Notice or proxy statement and form of proxy, as appropriate, are first being mailed to shareholders on or about [ ], 2026.</w:t>
      </w:r>
    </w:p>
    <w:p>
      <w:pPr>
        <w:pStyle w:val="TextBody"/>
        <w:bidi w:val="0"/>
        <w:spacing w:lineRule="auto" w:line="285" w:before="0" w:after="200"/>
        <w:ind w:left="0" w:right="0" w:hanging="0"/>
        <w:jc w:val="both"/>
        <w:rPr>
          <w:rFonts w:ascii="Arial;Helvetica;sans-serif" w:hAnsi="Arial;Helvetica;sans-serif"/>
          <w:b/>
          <w:sz w:val="24"/>
        </w:rPr>
      </w:pPr>
      <w:r>
        <w:rPr>
          <w:rFonts w:ascii="Arial;Helvetica;sans-serif" w:hAnsi="Arial;Helvetica;sans-serif"/>
          <w:b/>
          <w:sz w:val="24"/>
        </w:rPr>
        <w:t>RECORD DATE</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Only shareholders of record on May 4, 2026, are entitled to notice of and to grant proxies to vote at, the 2026 Annual General Meeting. No shareholder will be entered in Transocean Ltd.’s share register with voting rights between the close of business on May 4, 2026, and the opening of business on the day following the 2026 Annual General Meeting.</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 xml:space="preserve">While no shareholder will be entered in Transocean Ltd.’s share register as a shareholder with voting rights between the close of business on May 4, 2026, and the opening of business on the day following the 2026 Annual General Meeting, </w:t>
      </w:r>
      <w:r>
        <w:rPr>
          <w:rFonts w:ascii="Arial;Helvetica;sans-serif" w:hAnsi="Arial;Helvetica;sans-serif"/>
          <w:b/>
          <w:i/>
          <w:sz w:val="20"/>
        </w:rPr>
        <w:t>share blocking and re-registration are not requirements for any shares of Transocean Ltd. to be voted at the meeting, and all shares may be traded after the record date</w:t>
      </w:r>
      <w:r>
        <w:rPr>
          <w:rFonts w:ascii="Arial;Helvetica;sans-serif" w:hAnsi="Arial;Helvetica;sans-serif"/>
          <w:sz w:val="20"/>
        </w:rPr>
        <w:t>. Computershare, which maintains Transocean Ltd.’s share register, will continue to register transfers of Transocean Ltd. shares in the share register in its capacity as transfer agent during this period.</w:t>
      </w:r>
    </w:p>
    <w:p>
      <w:pPr>
        <w:pStyle w:val="TextBody"/>
        <w:bidi w:val="0"/>
        <w:spacing w:lineRule="auto" w:line="285" w:before="0" w:after="200"/>
        <w:ind w:left="0" w:right="0" w:hanging="0"/>
        <w:jc w:val="both"/>
        <w:rPr>
          <w:rFonts w:ascii="Arial;Helvetica;sans-serif" w:hAnsi="Arial;Helvetica;sans-serif"/>
          <w:b/>
          <w:sz w:val="24"/>
        </w:rPr>
      </w:pPr>
      <w:r>
        <w:rPr>
          <w:rFonts w:ascii="Arial;Helvetica;sans-serif" w:hAnsi="Arial;Helvetica;sans-serif"/>
          <w:b/>
          <w:sz w:val="24"/>
        </w:rPr>
        <w:t>QUORUM</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Our Articles of Association provide that the presence of shareholders, in person or by proxy, holding at least a majority of all the shares entitled to vote at the time the meeting proceeds to business constitutes a quorum for purposes of convening the 2026 Annual General Meeting and voting on all of the matters described in the notice of meeting. Abstentions and “broker non-votes” will be counted as present for purposes of determining whether the relevant quorums at the meeting are satisfied, so long as the broker has discretion to vote the shares on at least one matter before the 2026 Annual General Meeting.</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P-16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38" w:name="_201f457d_dc63_441d_88df_2481fea4ca80"/>
      <w:bookmarkStart w:id="39" w:name="_201f457d_dc63_441d_88df_2481fea4ca80"/>
      <w:bookmarkEnd w:id="39"/>
    </w:p>
    <w:tbl>
      <w:tblPr>
        <w:tblW w:w="7175" w:type="dxa"/>
        <w:jc w:val="left"/>
        <w:tblInd w:w="0" w:type="dxa"/>
        <w:tblLayout w:type="fixed"/>
        <w:tblCellMar>
          <w:top w:w="0" w:type="dxa"/>
          <w:left w:w="0" w:type="dxa"/>
          <w:bottom w:w="0" w:type="dxa"/>
          <w:right w:w="0" w:type="dxa"/>
        </w:tblCellMar>
      </w:tblPr>
      <w:tblGrid>
        <w:gridCol w:w="124"/>
        <w:gridCol w:w="7051"/>
      </w:tblGrid>
      <w:tr>
        <w:trPr/>
        <w:tc>
          <w:tcPr>
            <w:tcW w:w="124" w:type="dxa"/>
            <w:tcBorders/>
            <w:vAlign w:val="center"/>
          </w:tcPr>
          <w:p>
            <w:pPr>
              <w:pStyle w:val="TableContents"/>
              <w:bidi w:val="0"/>
              <w:spacing w:lineRule="auto" w:line="285" w:before="0" w:after="0"/>
              <w:ind w:left="0" w:right="0" w:hanging="0"/>
              <w:jc w:val="both"/>
              <w:rPr/>
            </w:pPr>
            <w:r>
              <w:rPr/>
              <w:t>​</w:t>
            </w:r>
          </w:p>
        </w:tc>
        <w:tc>
          <w:tcPr>
            <w:tcW w:w="705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7051" w:type="dxa"/>
            <w:tcBorders>
              <w:top w:val="single" w:sz="2" w:space="0" w:color="000000"/>
              <w:bottom w:val="single" w:sz="12" w:space="0" w:color="D9D9D9"/>
              <w:right w:val="single" w:sz="2" w:space="0" w:color="000000"/>
            </w:tcBorders>
            <w:shd w:fill="005670" w:val="clear"/>
            <w:tcMar>
              <w:top w:w="28" w:type="dxa"/>
              <w:bottom w:w="28" w:type="dxa"/>
              <w:right w:w="103"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PROXY STATEMENT | INFORMATION ABOUT THE MEETING AND VOTING</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ECA44A"/>
          <w:sz w:val="28"/>
        </w:rPr>
      </w:pPr>
      <w:bookmarkStart w:id="40" w:name="_015157f5_7c31_4459_83a9_201e877e87dd"/>
      <w:bookmarkEnd w:id="40"/>
      <w:r>
        <w:rPr>
          <w:rFonts w:ascii="Arial;Helvetica;sans-serif" w:hAnsi="Arial;Helvetica;sans-serif"/>
          <w:b/>
          <w:color w:val="ECA44A"/>
          <w:sz w:val="28"/>
        </w:rPr>
        <w:t>VOTES REQUIRED</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following table sets forth the applicable vote standard required to pass each enumerated agenda item:</w:t>
      </w:r>
    </w:p>
    <w:tbl>
      <w:tblPr>
        <w:tblW w:w="10205" w:type="dxa"/>
        <w:jc w:val="left"/>
        <w:tblInd w:w="0" w:type="dxa"/>
        <w:tblLayout w:type="fixed"/>
        <w:tblCellMar>
          <w:top w:w="0" w:type="dxa"/>
          <w:left w:w="0" w:type="dxa"/>
          <w:bottom w:w="28" w:type="dxa"/>
          <w:right w:w="0" w:type="dxa"/>
        </w:tblCellMar>
      </w:tblPr>
      <w:tblGrid>
        <w:gridCol w:w="916"/>
        <w:gridCol w:w="346"/>
        <w:gridCol w:w="5074"/>
        <w:gridCol w:w="226"/>
        <w:gridCol w:w="280"/>
        <w:gridCol w:w="814"/>
        <w:gridCol w:w="613"/>
        <w:gridCol w:w="128"/>
        <w:gridCol w:w="616"/>
        <w:gridCol w:w="275"/>
        <w:gridCol w:w="917"/>
      </w:tblGrid>
      <w:tr>
        <w:trPr/>
        <w:tc>
          <w:tcPr>
            <w:tcW w:w="916" w:type="dxa"/>
            <w:tcBorders>
              <w:bottom w:val="single" w:sz="12" w:space="0" w:color="ECA44A"/>
            </w:tcBorders>
            <w:vAlign w:val="center"/>
          </w:tcPr>
          <w:p>
            <w:pPr>
              <w:pStyle w:val="TableContents"/>
              <w:bidi w:val="0"/>
              <w:spacing w:lineRule="auto" w:line="285" w:before="0" w:after="40"/>
              <w:ind w:left="0" w:right="0" w:hanging="0"/>
              <w:jc w:val="center"/>
              <w:rPr>
                <w:rFonts w:ascii="Arial;Helvetica;sans-serif" w:hAnsi="Arial;Helvetica;sans-serif"/>
                <w:sz w:val="18"/>
              </w:rPr>
            </w:pPr>
            <w:r>
              <w:rPr>
                <w:rFonts w:ascii="Arial;Helvetica;sans-serif" w:hAnsi="Arial;Helvetica;sans-serif"/>
                <w:b/>
                <w:color w:val="4B4F54"/>
                <w:sz w:val="18"/>
              </w:rPr>
              <w:t>AGENDA</w:t>
            </w:r>
            <w:r>
              <w:rPr>
                <w:rFonts w:ascii="Arial;Helvetica;sans-serif" w:hAnsi="Arial;Helvetica;sans-serif"/>
                <w:color w:val="4B4F54"/>
                <w:sz w:val="18"/>
              </w:rPr>
              <w:br/>
            </w:r>
            <w:r>
              <w:rPr>
                <w:rFonts w:ascii="Arial;Helvetica;sans-serif" w:hAnsi="Arial;Helvetica;sans-serif"/>
                <w:b/>
                <w:color w:val="4B4F54"/>
                <w:sz w:val="18"/>
              </w:rPr>
              <w:t>ITEM</w:t>
            </w:r>
          </w:p>
        </w:tc>
        <w:tc>
          <w:tcPr>
            <w:tcW w:w="346" w:type="dxa"/>
            <w:tcBorders>
              <w:bottom w:val="single" w:sz="12" w:space="0" w:color="000000"/>
            </w:tcBorders>
            <w:vAlign w:val="center"/>
          </w:tcPr>
          <w:p>
            <w:pPr>
              <w:pStyle w:val="TableContents"/>
              <w:bidi w:val="0"/>
              <w:spacing w:lineRule="auto" w:line="285" w:before="0" w:after="40"/>
              <w:ind w:left="0" w:right="0" w:hanging="0"/>
              <w:jc w:val="both"/>
              <w:rPr/>
            </w:pPr>
            <w:r>
              <w:rPr/>
              <w:t>  ​ ​ ​</w:t>
            </w:r>
          </w:p>
        </w:tc>
        <w:tc>
          <w:tcPr>
            <w:tcW w:w="5074" w:type="dxa"/>
            <w:tcBorders>
              <w:bottom w:val="single" w:sz="12" w:space="0" w:color="ECA44A"/>
            </w:tcBorders>
            <w:vAlign w:val="center"/>
          </w:tcPr>
          <w:p>
            <w:pPr>
              <w:pStyle w:val="TableContents"/>
              <w:bidi w:val="0"/>
              <w:spacing w:lineRule="auto" w:line="285" w:before="0" w:after="40"/>
              <w:ind w:left="0" w:right="0" w:hanging="0"/>
              <w:jc w:val="left"/>
              <w:rPr>
                <w:rFonts w:ascii="Arial;Helvetica;sans-serif" w:hAnsi="Arial;Helvetica;sans-serif"/>
                <w:b/>
                <w:color w:val="4B4F54"/>
                <w:sz w:val="18"/>
              </w:rPr>
            </w:pPr>
            <w:r>
              <w:rPr>
                <w:rFonts w:ascii="Arial;Helvetica;sans-serif" w:hAnsi="Arial;Helvetica;sans-serif"/>
                <w:b/>
                <w:color w:val="4B4F54"/>
                <w:sz w:val="18"/>
              </w:rPr>
              <w:t>DESCRIPTION</w:t>
            </w:r>
          </w:p>
        </w:tc>
        <w:tc>
          <w:tcPr>
            <w:tcW w:w="226" w:type="dxa"/>
            <w:tcBorders>
              <w:bottom w:val="single" w:sz="12" w:space="0" w:color="000000"/>
            </w:tcBorders>
            <w:vAlign w:val="center"/>
          </w:tcPr>
          <w:p>
            <w:pPr>
              <w:pStyle w:val="TableContents"/>
              <w:bidi w:val="0"/>
              <w:spacing w:lineRule="auto" w:line="285" w:before="0" w:after="40"/>
              <w:ind w:left="0" w:right="0" w:hanging="0"/>
              <w:jc w:val="both"/>
              <w:rPr/>
            </w:pPr>
            <w:r>
              <w:rPr/>
              <w:t>  ​</w:t>
            </w:r>
          </w:p>
        </w:tc>
        <w:tc>
          <w:tcPr>
            <w:tcW w:w="1094" w:type="dxa"/>
            <w:gridSpan w:val="2"/>
            <w:tcBorders>
              <w:bottom w:val="single" w:sz="12" w:space="0" w:color="ECA44A"/>
            </w:tcBorders>
            <w:vAlign w:val="center"/>
          </w:tcPr>
          <w:p>
            <w:pPr>
              <w:pStyle w:val="TableContents"/>
              <w:bidi w:val="0"/>
              <w:spacing w:lineRule="auto" w:line="240" w:before="0" w:after="40"/>
              <w:ind w:left="0" w:right="0" w:hanging="0"/>
              <w:jc w:val="center"/>
              <w:rPr>
                <w:rFonts w:ascii="Arial;Helvetica;sans-serif" w:hAnsi="Arial;Helvetica;sans-serif"/>
                <w:sz w:val="18"/>
              </w:rPr>
            </w:pPr>
            <w:r>
              <w:rPr>
                <w:rFonts w:ascii="Arial;Helvetica;sans-serif" w:hAnsi="Arial;Helvetica;sans-serif"/>
                <w:b/>
                <w:color w:val="4B4F54"/>
                <w:sz w:val="18"/>
              </w:rPr>
              <w:t>RELATIVE</w:t>
            </w:r>
            <w:r>
              <w:rPr>
                <w:rFonts w:ascii="Arial;Helvetica;sans-serif" w:hAnsi="Arial;Helvetica;sans-serif"/>
                <w:color w:val="4B4F54"/>
                <w:sz w:val="18"/>
              </w:rPr>
              <w:br/>
            </w:r>
            <w:r>
              <w:rPr>
                <w:rFonts w:ascii="Arial;Helvetica;sans-serif" w:hAnsi="Arial;Helvetica;sans-serif"/>
                <w:b/>
                <w:color w:val="4B4F54"/>
                <w:sz w:val="18"/>
              </w:rPr>
              <w:t>MAJORITY</w:t>
            </w:r>
            <w:r>
              <w:rPr>
                <w:rFonts w:ascii="Arial;Helvetica;sans-serif" w:hAnsi="Arial;Helvetica;sans-serif"/>
                <w:b/>
                <w:color w:val="4B4F54"/>
                <w:sz w:val="14"/>
              </w:rPr>
              <w:t>(1)</w:t>
            </w:r>
          </w:p>
        </w:tc>
        <w:tc>
          <w:tcPr>
            <w:tcW w:w="1357" w:type="dxa"/>
            <w:gridSpan w:val="3"/>
            <w:tcBorders>
              <w:bottom w:val="single" w:sz="12" w:space="0" w:color="ECA44A"/>
            </w:tcBorders>
            <w:vAlign w:val="center"/>
          </w:tcPr>
          <w:p>
            <w:pPr>
              <w:pStyle w:val="TableContents"/>
              <w:bidi w:val="0"/>
              <w:spacing w:lineRule="auto" w:line="285" w:before="0" w:after="40"/>
              <w:ind w:left="0" w:right="0" w:hanging="0"/>
              <w:jc w:val="center"/>
              <w:rPr>
                <w:rFonts w:ascii="Arial;Helvetica;sans-serif" w:hAnsi="Arial;Helvetica;sans-serif"/>
                <w:b/>
                <w:color w:val="4B4F54"/>
                <w:sz w:val="18"/>
              </w:rPr>
            </w:pPr>
            <w:r>
              <w:rPr>
                <w:rFonts w:ascii="Arial;Helvetica;sans-serif" w:hAnsi="Arial;Helvetica;sans-serif"/>
                <w:b/>
                <w:color w:val="4B4F54"/>
                <w:sz w:val="18"/>
              </w:rPr>
              <w:t>TWO-THIRDS MAJORITY</w:t>
            </w:r>
          </w:p>
        </w:tc>
        <w:tc>
          <w:tcPr>
            <w:tcW w:w="1192" w:type="dxa"/>
            <w:gridSpan w:val="2"/>
            <w:tcBorders>
              <w:bottom w:val="single" w:sz="12" w:space="0" w:color="ECA44A"/>
            </w:tcBorders>
            <w:vAlign w:val="center"/>
          </w:tcPr>
          <w:p>
            <w:pPr>
              <w:pStyle w:val="TableContents"/>
              <w:bidi w:val="0"/>
              <w:spacing w:lineRule="auto" w:line="285" w:before="0" w:after="40"/>
              <w:ind w:left="0" w:right="0" w:hanging="0"/>
              <w:jc w:val="center"/>
              <w:rPr>
                <w:rFonts w:ascii="Arial;Helvetica;sans-serif" w:hAnsi="Arial;Helvetica;sans-serif"/>
                <w:sz w:val="18"/>
              </w:rPr>
            </w:pPr>
            <w:r>
              <w:rPr>
                <w:rFonts w:ascii="Arial;Helvetica;sans-serif" w:hAnsi="Arial;Helvetica;sans-serif"/>
                <w:b/>
                <w:color w:val="4B4F54"/>
                <w:sz w:val="18"/>
              </w:rPr>
              <w:t>PLURALITY OF</w:t>
            </w:r>
            <w:r>
              <w:rPr>
                <w:rFonts w:ascii="Arial;Helvetica;sans-serif" w:hAnsi="Arial;Helvetica;sans-serif"/>
                <w:color w:val="4B4F54"/>
                <w:sz w:val="18"/>
              </w:rPr>
              <w:br/>
            </w:r>
            <w:r>
              <w:rPr>
                <w:rFonts w:ascii="Arial;Helvetica;sans-serif" w:hAnsi="Arial;Helvetica;sans-serif"/>
                <w:b/>
                <w:color w:val="4B4F54"/>
                <w:sz w:val="18"/>
              </w:rPr>
              <w:t>VOTES</w:t>
            </w:r>
          </w:p>
        </w:tc>
      </w:tr>
      <w:tr>
        <w:trPr/>
        <w:tc>
          <w:tcPr>
            <w:tcW w:w="916" w:type="dxa"/>
            <w:tcBorders>
              <w:top w:val="single" w:sz="12" w:space="0" w:color="ECA44A"/>
              <w:bottom w:val="single" w:sz="2" w:space="0" w:color="D9D9D9"/>
            </w:tcBorders>
            <w:tcMar>
              <w:top w:w="28" w:type="dxa"/>
            </w:tcMar>
            <w:vAlign w:val="center"/>
          </w:tcPr>
          <w:p>
            <w:pPr>
              <w:pStyle w:val="TableContents"/>
              <w:pBdr/>
              <w:bidi w:val="0"/>
              <w:spacing w:lineRule="auto" w:line="285" w:before="8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1</w:t>
            </w:r>
          </w:p>
        </w:tc>
        <w:tc>
          <w:tcPr>
            <w:tcW w:w="346" w:type="dxa"/>
            <w:tcBorders>
              <w:bottom w:val="single" w:sz="2" w:space="0" w:color="D9D9D9"/>
            </w:tcBorders>
            <w:vAlign w:val="center"/>
          </w:tcPr>
          <w:p>
            <w:pPr>
              <w:pStyle w:val="TableContents"/>
              <w:pBdr/>
              <w:bidi w:val="0"/>
              <w:spacing w:lineRule="auto" w:line="285" w:before="0" w:after="0"/>
              <w:ind w:left="0" w:right="0" w:hanging="0"/>
              <w:jc w:val="both"/>
              <w:rPr/>
            </w:pPr>
            <w:r>
              <w:rPr/>
              <w:t>​</w:t>
            </w:r>
          </w:p>
        </w:tc>
        <w:tc>
          <w:tcPr>
            <w:tcW w:w="5074" w:type="dxa"/>
            <w:tcBorders>
              <w:top w:val="single" w:sz="12" w:space="0" w:color="ECA44A"/>
              <w:bottom w:val="single" w:sz="2" w:space="0" w:color="D9D9D9"/>
            </w:tcBorders>
            <w:tcMar>
              <w:top w:w="28" w:type="dxa"/>
            </w:tcMar>
            <w:vAlign w:val="center"/>
          </w:tcPr>
          <w:p>
            <w:pPr>
              <w:pStyle w:val="TableContents"/>
              <w:bidi w:val="0"/>
              <w:spacing w:lineRule="auto" w:line="285" w:before="80" w:after="0"/>
              <w:ind w:left="0" w:right="0" w:hanging="0"/>
              <w:jc w:val="left"/>
              <w:rPr>
                <w:rFonts w:ascii="Arial;Helvetica;sans-serif" w:hAnsi="Arial;Helvetica;sans-serif"/>
                <w:sz w:val="18"/>
              </w:rPr>
            </w:pPr>
            <w:r>
              <w:rPr>
                <w:rFonts w:ascii="Arial;Helvetica;sans-serif" w:hAnsi="Arial;Helvetica;sans-serif"/>
                <w:sz w:val="18"/>
              </w:rPr>
              <w:t>Approval of (A) the 2025 Annual Report, Including the Audited Consolidated Financial Statements of Transocean Ltd. for Fiscal Year 2025, and the Audited Statutory Financial Statements of Transocean Ltd. for Fiscal Year 2025; and Advisory Votes to Approve (B) the Swiss Statutory Compensation Report for Fiscal Year 2025 and (C) the Swiss Statutory Report on Non-Financial Matters Report for Fiscal Year 2025</w:t>
            </w:r>
          </w:p>
        </w:tc>
        <w:tc>
          <w:tcPr>
            <w:tcW w:w="226" w:type="dxa"/>
            <w:tcBorders>
              <w:bottom w:val="single" w:sz="2" w:space="0" w:color="D9D9D9"/>
            </w:tcBorders>
            <w:vAlign w:val="center"/>
          </w:tcPr>
          <w:p>
            <w:pPr>
              <w:pStyle w:val="TableContents"/>
              <w:bidi w:val="0"/>
              <w:spacing w:lineRule="auto" w:line="285" w:before="0" w:after="0"/>
              <w:ind w:left="0" w:right="0" w:hanging="0"/>
              <w:jc w:val="both"/>
              <w:rPr/>
            </w:pPr>
            <w:r>
              <w:rPr/>
              <w:t>​</w:t>
            </w:r>
          </w:p>
        </w:tc>
        <w:tc>
          <w:tcPr>
            <w:tcW w:w="280" w:type="dxa"/>
            <w:tcBorders>
              <w:top w:val="single" w:sz="12" w:space="0" w:color="ECA44A"/>
              <w:bottom w:val="single" w:sz="2" w:space="0" w:color="D9D9D9"/>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814" w:type="dxa"/>
            <w:tcBorders>
              <w:top w:val="single" w:sz="12" w:space="0" w:color="ECA44A"/>
              <w:bottom w:val="single" w:sz="2" w:space="0" w:color="D9D9D9"/>
            </w:tcBorders>
            <w:tcMar>
              <w:top w:w="28" w:type="dxa"/>
            </w:tcMar>
            <w:vAlign w:val="center"/>
          </w:tcPr>
          <w:p>
            <w:pPr>
              <w:pStyle w:val="TableContents"/>
              <w:bidi w:val="0"/>
              <w:spacing w:lineRule="auto" w:line="285" w:before="0" w:after="0"/>
              <w:ind w:left="0" w:right="0" w:hanging="0"/>
              <w:jc w:val="left"/>
              <w:rPr>
                <w:color w:val="00556F"/>
              </w:rPr>
            </w:pPr>
            <w:r>
              <w:rPr>
                <w:color w:val="00556F"/>
              </w:rPr>
              <w:t>✓</w:t>
            </w:r>
          </w:p>
        </w:tc>
        <w:tc>
          <w:tcPr>
            <w:tcW w:w="1357" w:type="dxa"/>
            <w:gridSpan w:val="3"/>
            <w:tcBorders>
              <w:top w:val="single" w:sz="12" w:space="0" w:color="ECA44A"/>
              <w:bottom w:val="single" w:sz="2" w:space="0" w:color="D9D9D9"/>
            </w:tcBorders>
            <w:tcMar>
              <w:top w:w="28" w:type="dxa"/>
            </w:tcMar>
            <w:vAlign w:val="center"/>
          </w:tcPr>
          <w:p>
            <w:pPr>
              <w:pStyle w:val="TableContents"/>
              <w:bidi w:val="0"/>
              <w:spacing w:lineRule="auto" w:line="285" w:before="0" w:after="0"/>
              <w:ind w:left="0" w:right="0" w:hanging="0"/>
              <w:jc w:val="right"/>
              <w:rPr/>
            </w:pPr>
            <w:r>
              <w:rPr/>
              <w:t>​</w:t>
            </w:r>
          </w:p>
        </w:tc>
        <w:tc>
          <w:tcPr>
            <w:tcW w:w="1192" w:type="dxa"/>
            <w:gridSpan w:val="2"/>
            <w:tcBorders>
              <w:top w:val="single" w:sz="12" w:space="0" w:color="ECA44A"/>
              <w:bottom w:val="single" w:sz="2" w:space="0" w:color="D9D9D9"/>
            </w:tcBorders>
            <w:tcMar>
              <w:top w:w="28" w:type="dxa"/>
            </w:tcMar>
            <w:vAlign w:val="center"/>
          </w:tcPr>
          <w:p>
            <w:pPr>
              <w:pStyle w:val="TableContents"/>
              <w:bidi w:val="0"/>
              <w:spacing w:lineRule="auto" w:line="285" w:before="0" w:after="0"/>
              <w:ind w:left="0" w:right="0" w:hanging="0"/>
              <w:jc w:val="center"/>
              <w:rPr/>
            </w:pPr>
            <w:r>
              <w:rPr/>
              <w:t>​</w:t>
            </w:r>
          </w:p>
        </w:tc>
      </w:tr>
      <w:tr>
        <w:trPr/>
        <w:tc>
          <w:tcPr>
            <w:tcW w:w="916" w:type="dxa"/>
            <w:tcBorders>
              <w:top w:val="single" w:sz="2" w:space="0" w:color="D9D9D9"/>
              <w:bottom w:val="single" w:sz="2" w:space="0" w:color="D9D9D9"/>
            </w:tcBorders>
            <w:tcMar>
              <w:top w:w="28" w:type="dxa"/>
            </w:tcMar>
            <w:vAlign w:val="center"/>
          </w:tcPr>
          <w:p>
            <w:pPr>
              <w:pStyle w:val="TableContents"/>
              <w:pBdr/>
              <w:bidi w:val="0"/>
              <w:spacing w:lineRule="auto" w:line="285" w:before="8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2</w:t>
            </w:r>
          </w:p>
        </w:tc>
        <w:tc>
          <w:tcPr>
            <w:tcW w:w="346"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both"/>
              <w:rPr/>
            </w:pPr>
            <w:r>
              <w:rPr/>
              <w:t>​</w:t>
            </w:r>
          </w:p>
        </w:tc>
        <w:tc>
          <w:tcPr>
            <w:tcW w:w="5074"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left"/>
              <w:rPr>
                <w:rFonts w:ascii="Arial;Helvetica;sans-serif" w:hAnsi="Arial;Helvetica;sans-serif"/>
                <w:sz w:val="18"/>
              </w:rPr>
            </w:pPr>
            <w:r>
              <w:rPr>
                <w:rFonts w:ascii="Arial;Helvetica;sans-serif" w:hAnsi="Arial;Helvetica;sans-serif"/>
                <w:sz w:val="18"/>
              </w:rPr>
              <w:t>Discharge of the Members of the Board of Directors and the Executive Management Team from Liability for Activities During Fiscal Year 2025</w:t>
            </w:r>
          </w:p>
        </w:tc>
        <w:tc>
          <w:tcPr>
            <w:tcW w:w="226"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both"/>
              <w:rPr/>
            </w:pPr>
            <w:r>
              <w:rPr/>
              <w:t>​</w:t>
            </w:r>
          </w:p>
        </w:tc>
        <w:tc>
          <w:tcPr>
            <w:tcW w:w="280"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both"/>
              <w:rPr/>
            </w:pPr>
            <w:r>
              <w:rPr/>
              <w:t>​</w:t>
            </w:r>
          </w:p>
        </w:tc>
        <w:tc>
          <w:tcPr>
            <w:tcW w:w="814" w:type="dxa"/>
            <w:tcBorders>
              <w:top w:val="single" w:sz="2" w:space="0" w:color="D9D9D9"/>
              <w:bottom w:val="single" w:sz="2" w:space="0" w:color="D9D9D9"/>
            </w:tcBorders>
            <w:tcMar>
              <w:top w:w="28" w:type="dxa"/>
            </w:tcMar>
            <w:vAlign w:val="center"/>
          </w:tcPr>
          <w:p>
            <w:pPr>
              <w:pStyle w:val="TableContents"/>
              <w:bidi w:val="0"/>
              <w:spacing w:lineRule="auto" w:line="240" w:before="80" w:after="0"/>
              <w:ind w:left="0" w:right="0" w:hanging="0"/>
              <w:jc w:val="left"/>
              <w:rPr/>
            </w:pPr>
            <w:r>
              <w:rPr>
                <w:color w:val="00556F"/>
              </w:rPr>
              <w:t>✓</w:t>
            </w:r>
            <w:r>
              <w:rPr>
                <w:rFonts w:ascii="Arial;Helvetica;sans-serif" w:hAnsi="Arial;Helvetica;sans-serif"/>
                <w:sz w:val="15"/>
              </w:rPr>
              <w:t>(2)</w:t>
            </w:r>
          </w:p>
        </w:tc>
        <w:tc>
          <w:tcPr>
            <w:tcW w:w="1357" w:type="dxa"/>
            <w:gridSpan w:val="3"/>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right"/>
              <w:rPr/>
            </w:pPr>
            <w:r>
              <w:rPr/>
              <w:t>​</w:t>
            </w:r>
          </w:p>
        </w:tc>
        <w:tc>
          <w:tcPr>
            <w:tcW w:w="1192" w:type="dxa"/>
            <w:gridSpan w:val="2"/>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center"/>
              <w:rPr/>
            </w:pPr>
            <w:r>
              <w:rPr/>
              <w:t>​</w:t>
            </w:r>
          </w:p>
        </w:tc>
      </w:tr>
      <w:tr>
        <w:trPr/>
        <w:tc>
          <w:tcPr>
            <w:tcW w:w="916" w:type="dxa"/>
            <w:tcBorders>
              <w:top w:val="single" w:sz="2" w:space="0" w:color="D9D9D9"/>
              <w:bottom w:val="single" w:sz="2" w:space="0" w:color="D9D9D9"/>
            </w:tcBorders>
            <w:tcMar>
              <w:top w:w="28" w:type="dxa"/>
            </w:tcMar>
            <w:vAlign w:val="center"/>
          </w:tcPr>
          <w:p>
            <w:pPr>
              <w:pStyle w:val="TableContents"/>
              <w:pBdr/>
              <w:bidi w:val="0"/>
              <w:spacing w:lineRule="auto" w:line="285" w:before="8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3</w:t>
            </w:r>
          </w:p>
        </w:tc>
        <w:tc>
          <w:tcPr>
            <w:tcW w:w="346"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both"/>
              <w:rPr/>
            </w:pPr>
            <w:r>
              <w:rPr/>
              <w:t>​</w:t>
            </w:r>
          </w:p>
        </w:tc>
        <w:tc>
          <w:tcPr>
            <w:tcW w:w="5074"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left"/>
              <w:rPr>
                <w:rFonts w:ascii="Arial;Helvetica;sans-serif" w:hAnsi="Arial;Helvetica;sans-serif"/>
                <w:sz w:val="18"/>
              </w:rPr>
            </w:pPr>
            <w:r>
              <w:rPr>
                <w:rFonts w:ascii="Arial;Helvetica;sans-serif" w:hAnsi="Arial;Helvetica;sans-serif"/>
                <w:sz w:val="18"/>
              </w:rPr>
              <w:t>Appropriation of the Accumulated Losses for Fiscal Year 2025</w:t>
            </w:r>
          </w:p>
        </w:tc>
        <w:tc>
          <w:tcPr>
            <w:tcW w:w="226"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both"/>
              <w:rPr/>
            </w:pPr>
            <w:r>
              <w:rPr/>
              <w:t>​</w:t>
            </w:r>
          </w:p>
        </w:tc>
        <w:tc>
          <w:tcPr>
            <w:tcW w:w="280" w:type="dxa"/>
            <w:tcBorders>
              <w:top w:val="single" w:sz="2" w:space="0" w:color="D9D9D9"/>
              <w:bottom w:val="single" w:sz="2" w:space="0" w:color="D9D9D9"/>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814"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left"/>
              <w:rPr>
                <w:color w:val="00556F"/>
              </w:rPr>
            </w:pPr>
            <w:r>
              <w:rPr>
                <w:color w:val="00556F"/>
              </w:rPr>
              <w:t>✓</w:t>
            </w:r>
          </w:p>
        </w:tc>
        <w:tc>
          <w:tcPr>
            <w:tcW w:w="1357" w:type="dxa"/>
            <w:gridSpan w:val="3"/>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right"/>
              <w:rPr/>
            </w:pPr>
            <w:r>
              <w:rPr/>
              <w:t>​</w:t>
            </w:r>
          </w:p>
        </w:tc>
        <w:tc>
          <w:tcPr>
            <w:tcW w:w="1192" w:type="dxa"/>
            <w:gridSpan w:val="2"/>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center"/>
              <w:rPr/>
            </w:pPr>
            <w:r>
              <w:rPr/>
              <w:t>​</w:t>
            </w:r>
          </w:p>
        </w:tc>
      </w:tr>
      <w:tr>
        <w:trPr/>
        <w:tc>
          <w:tcPr>
            <w:tcW w:w="916" w:type="dxa"/>
            <w:tcBorders>
              <w:top w:val="single" w:sz="2" w:space="0" w:color="D9D9D9"/>
              <w:bottom w:val="single" w:sz="2" w:space="0" w:color="D9D9D9"/>
            </w:tcBorders>
            <w:tcMar>
              <w:top w:w="28" w:type="dxa"/>
            </w:tcMar>
            <w:vAlign w:val="center"/>
          </w:tcPr>
          <w:p>
            <w:pPr>
              <w:pStyle w:val="TableContents"/>
              <w:pBdr/>
              <w:bidi w:val="0"/>
              <w:spacing w:lineRule="auto" w:line="285" w:before="8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4</w:t>
            </w:r>
          </w:p>
        </w:tc>
        <w:tc>
          <w:tcPr>
            <w:tcW w:w="346"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both"/>
              <w:rPr/>
            </w:pPr>
            <w:r>
              <w:rPr/>
              <w:t>​</w:t>
            </w:r>
          </w:p>
        </w:tc>
        <w:tc>
          <w:tcPr>
            <w:tcW w:w="5074"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left"/>
              <w:rPr>
                <w:rFonts w:ascii="Arial;Helvetica;sans-serif" w:hAnsi="Arial;Helvetica;sans-serif"/>
                <w:sz w:val="18"/>
              </w:rPr>
            </w:pPr>
            <w:r>
              <w:rPr>
                <w:rFonts w:ascii="Arial;Helvetica;sans-serif" w:hAnsi="Arial;Helvetica;sans-serif"/>
                <w:sz w:val="18"/>
              </w:rPr>
              <w:t>Approval of Shares Authorized for Issuance</w:t>
            </w:r>
          </w:p>
        </w:tc>
        <w:tc>
          <w:tcPr>
            <w:tcW w:w="226"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both"/>
              <w:rPr/>
            </w:pPr>
            <w:r>
              <w:rPr/>
              <w:t>​</w:t>
            </w:r>
          </w:p>
        </w:tc>
        <w:tc>
          <w:tcPr>
            <w:tcW w:w="280" w:type="dxa"/>
            <w:tcBorders>
              <w:top w:val="single" w:sz="2" w:space="0" w:color="D9D9D9"/>
              <w:bottom w:val="single" w:sz="2" w:space="0" w:color="D9D9D9"/>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814"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both"/>
              <w:rPr/>
            </w:pPr>
            <w:r>
              <w:rPr/>
              <w:t>​</w:t>
            </w:r>
          </w:p>
        </w:tc>
        <w:tc>
          <w:tcPr>
            <w:tcW w:w="741" w:type="dxa"/>
            <w:gridSpan w:val="2"/>
            <w:tcBorders>
              <w:top w:val="single" w:sz="2" w:space="0" w:color="D9D9D9"/>
              <w:bottom w:val="single" w:sz="2" w:space="0" w:color="D9D9D9"/>
            </w:tcBorders>
            <w:tcMar>
              <w:top w:w="28" w:type="dxa"/>
            </w:tcMar>
            <w:vAlign w:val="center"/>
          </w:tcPr>
          <w:p>
            <w:pPr>
              <w:pStyle w:val="TableContents"/>
              <w:bidi w:val="0"/>
              <w:spacing w:lineRule="auto" w:line="240" w:before="80" w:after="0"/>
              <w:ind w:left="0" w:right="0" w:hanging="0"/>
              <w:jc w:val="right"/>
              <w:rPr/>
            </w:pPr>
            <w:r>
              <w:rPr>
                <w:color w:val="00556F"/>
              </w:rPr>
              <w:t>✓</w:t>
            </w:r>
            <w:r>
              <w:rPr>
                <w:rFonts w:ascii="Arial;Helvetica;sans-serif" w:hAnsi="Arial;Helvetica;sans-serif"/>
                <w:sz w:val="15"/>
              </w:rPr>
              <w:t>(3)</w:t>
            </w:r>
          </w:p>
        </w:tc>
        <w:tc>
          <w:tcPr>
            <w:tcW w:w="616"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right"/>
              <w:rPr/>
            </w:pPr>
            <w:r>
              <w:rPr/>
              <w:t>​</w:t>
            </w:r>
          </w:p>
        </w:tc>
        <w:tc>
          <w:tcPr>
            <w:tcW w:w="1192" w:type="dxa"/>
            <w:gridSpan w:val="2"/>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center"/>
              <w:rPr/>
            </w:pPr>
            <w:r>
              <w:rPr/>
              <w:t>​</w:t>
            </w:r>
          </w:p>
        </w:tc>
      </w:tr>
      <w:tr>
        <w:trPr/>
        <w:tc>
          <w:tcPr>
            <w:tcW w:w="916" w:type="dxa"/>
            <w:tcBorders>
              <w:top w:val="single" w:sz="2" w:space="0" w:color="D9D9D9"/>
              <w:bottom w:val="single" w:sz="2" w:space="0" w:color="D9D9D9"/>
            </w:tcBorders>
            <w:tcMar>
              <w:top w:w="28" w:type="dxa"/>
            </w:tcMar>
            <w:vAlign w:val="center"/>
          </w:tcPr>
          <w:p>
            <w:pPr>
              <w:pStyle w:val="TableContents"/>
              <w:pBdr/>
              <w:bidi w:val="0"/>
              <w:spacing w:lineRule="auto" w:line="285" w:before="8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5</w:t>
            </w:r>
          </w:p>
        </w:tc>
        <w:tc>
          <w:tcPr>
            <w:tcW w:w="346"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both"/>
              <w:rPr/>
            </w:pPr>
            <w:r>
              <w:rPr/>
              <w:t>​</w:t>
            </w:r>
          </w:p>
        </w:tc>
        <w:tc>
          <w:tcPr>
            <w:tcW w:w="5074"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left"/>
              <w:rPr>
                <w:rFonts w:ascii="Arial;Helvetica;sans-serif" w:hAnsi="Arial;Helvetica;sans-serif"/>
                <w:sz w:val="18"/>
              </w:rPr>
            </w:pPr>
            <w:r>
              <w:rPr>
                <w:rFonts w:ascii="Arial;Helvetica;sans-serif" w:hAnsi="Arial;Helvetica;sans-serif"/>
                <w:sz w:val="18"/>
              </w:rPr>
              <w:t>Election of 11 Directors</w:t>
            </w:r>
          </w:p>
        </w:tc>
        <w:tc>
          <w:tcPr>
            <w:tcW w:w="226"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both"/>
              <w:rPr/>
            </w:pPr>
            <w:r>
              <w:rPr/>
              <w:t>​</w:t>
            </w:r>
          </w:p>
        </w:tc>
        <w:tc>
          <w:tcPr>
            <w:tcW w:w="1094" w:type="dxa"/>
            <w:gridSpan w:val="2"/>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center"/>
              <w:rPr/>
            </w:pPr>
            <w:r>
              <w:rPr/>
              <w:t>​</w:t>
            </w:r>
          </w:p>
        </w:tc>
        <w:tc>
          <w:tcPr>
            <w:tcW w:w="741" w:type="dxa"/>
            <w:gridSpan w:val="2"/>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right"/>
              <w:rPr/>
            </w:pPr>
            <w:r>
              <w:rPr/>
              <w:t>​</w:t>
            </w:r>
          </w:p>
        </w:tc>
        <w:tc>
          <w:tcPr>
            <w:tcW w:w="616"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right"/>
              <w:rPr/>
            </w:pPr>
            <w:r>
              <w:rPr/>
              <w:t>​</w:t>
            </w:r>
          </w:p>
        </w:tc>
        <w:tc>
          <w:tcPr>
            <w:tcW w:w="275"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center"/>
              <w:rPr>
                <w:color w:val="00556F"/>
              </w:rPr>
            </w:pPr>
            <w:r>
              <w:rPr>
                <w:color w:val="00556F"/>
              </w:rPr>
              <w:t>​</w:t>
            </w:r>
          </w:p>
        </w:tc>
        <w:tc>
          <w:tcPr>
            <w:tcW w:w="917" w:type="dxa"/>
            <w:tcBorders>
              <w:top w:val="single" w:sz="2" w:space="0" w:color="D9D9D9"/>
              <w:bottom w:val="single" w:sz="2" w:space="0" w:color="D9D9D9"/>
            </w:tcBorders>
            <w:tcMar>
              <w:top w:w="28" w:type="dxa"/>
            </w:tcMar>
            <w:vAlign w:val="center"/>
          </w:tcPr>
          <w:p>
            <w:pPr>
              <w:pStyle w:val="TableContents"/>
              <w:bidi w:val="0"/>
              <w:spacing w:lineRule="auto" w:line="240" w:before="80" w:after="0"/>
              <w:ind w:left="0" w:right="0" w:hanging="0"/>
              <w:jc w:val="left"/>
              <w:rPr/>
            </w:pPr>
            <w:r>
              <w:rPr>
                <w:color w:val="00556F"/>
              </w:rPr>
              <w:t>✓</w:t>
            </w:r>
            <w:r>
              <w:rPr>
                <w:rFonts w:ascii="Arial;Helvetica;sans-serif" w:hAnsi="Arial;Helvetica;sans-serif"/>
                <w:sz w:val="15"/>
              </w:rPr>
              <w:t>(4)(5)</w:t>
            </w:r>
          </w:p>
        </w:tc>
      </w:tr>
      <w:tr>
        <w:trPr/>
        <w:tc>
          <w:tcPr>
            <w:tcW w:w="916" w:type="dxa"/>
            <w:tcBorders>
              <w:top w:val="single" w:sz="2" w:space="0" w:color="D9D9D9"/>
              <w:bottom w:val="single" w:sz="2" w:space="0" w:color="D9D9D9"/>
            </w:tcBorders>
            <w:tcMar>
              <w:top w:w="28" w:type="dxa"/>
            </w:tcMar>
            <w:vAlign w:val="center"/>
          </w:tcPr>
          <w:p>
            <w:pPr>
              <w:pStyle w:val="TableContents"/>
              <w:pBdr/>
              <w:bidi w:val="0"/>
              <w:spacing w:lineRule="auto" w:line="285" w:before="8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6</w:t>
            </w:r>
          </w:p>
        </w:tc>
        <w:tc>
          <w:tcPr>
            <w:tcW w:w="346"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both"/>
              <w:rPr/>
            </w:pPr>
            <w:r>
              <w:rPr/>
              <w:t>​</w:t>
            </w:r>
          </w:p>
        </w:tc>
        <w:tc>
          <w:tcPr>
            <w:tcW w:w="5074"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left"/>
              <w:rPr>
                <w:rFonts w:ascii="Arial;Helvetica;sans-serif" w:hAnsi="Arial;Helvetica;sans-serif"/>
                <w:sz w:val="18"/>
              </w:rPr>
            </w:pPr>
            <w:r>
              <w:rPr>
                <w:rFonts w:ascii="Arial;Helvetica;sans-serif" w:hAnsi="Arial;Helvetica;sans-serif"/>
                <w:sz w:val="18"/>
              </w:rPr>
              <w:t>Election of the Chair of the Board of Directors</w:t>
            </w:r>
          </w:p>
        </w:tc>
        <w:tc>
          <w:tcPr>
            <w:tcW w:w="226"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both"/>
              <w:rPr/>
            </w:pPr>
            <w:r>
              <w:rPr/>
              <w:t>​</w:t>
            </w:r>
          </w:p>
        </w:tc>
        <w:tc>
          <w:tcPr>
            <w:tcW w:w="1094" w:type="dxa"/>
            <w:gridSpan w:val="2"/>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center"/>
              <w:rPr/>
            </w:pPr>
            <w:r>
              <w:rPr/>
              <w:t>​</w:t>
            </w:r>
          </w:p>
        </w:tc>
        <w:tc>
          <w:tcPr>
            <w:tcW w:w="1357" w:type="dxa"/>
            <w:gridSpan w:val="3"/>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right"/>
              <w:rPr/>
            </w:pPr>
            <w:r>
              <w:rPr/>
              <w:t>​</w:t>
            </w:r>
          </w:p>
        </w:tc>
        <w:tc>
          <w:tcPr>
            <w:tcW w:w="275" w:type="dxa"/>
            <w:tcBorders>
              <w:top w:val="single" w:sz="2" w:space="0" w:color="D9D9D9"/>
              <w:bottom w:val="single" w:sz="2" w:space="0" w:color="D9D9D9"/>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917" w:type="dxa"/>
            <w:tcBorders>
              <w:top w:val="single" w:sz="2" w:space="0" w:color="D9D9D9"/>
              <w:bottom w:val="single" w:sz="2" w:space="0" w:color="D9D9D9"/>
            </w:tcBorders>
            <w:tcMar>
              <w:top w:w="28" w:type="dxa"/>
            </w:tcMar>
            <w:vAlign w:val="center"/>
          </w:tcPr>
          <w:p>
            <w:pPr>
              <w:pStyle w:val="TableContents"/>
              <w:bidi w:val="0"/>
              <w:spacing w:lineRule="auto" w:line="240" w:before="80" w:after="0"/>
              <w:ind w:left="0" w:right="0" w:hanging="0"/>
              <w:jc w:val="left"/>
              <w:rPr/>
            </w:pPr>
            <w:r>
              <w:rPr>
                <w:color w:val="00556F"/>
              </w:rPr>
              <w:t>✓</w:t>
            </w:r>
            <w:r>
              <w:rPr>
                <w:rFonts w:ascii="Arial;Helvetica;sans-serif" w:hAnsi="Arial;Helvetica;sans-serif"/>
                <w:sz w:val="15"/>
              </w:rPr>
              <w:t>(4)</w:t>
            </w:r>
          </w:p>
        </w:tc>
      </w:tr>
      <w:tr>
        <w:trPr/>
        <w:tc>
          <w:tcPr>
            <w:tcW w:w="916" w:type="dxa"/>
            <w:tcBorders>
              <w:top w:val="single" w:sz="2" w:space="0" w:color="D9D9D9"/>
              <w:bottom w:val="single" w:sz="2" w:space="0" w:color="D9D9D9"/>
            </w:tcBorders>
            <w:tcMar>
              <w:top w:w="28" w:type="dxa"/>
            </w:tcMar>
            <w:vAlign w:val="center"/>
          </w:tcPr>
          <w:p>
            <w:pPr>
              <w:pStyle w:val="TableContents"/>
              <w:pBdr/>
              <w:bidi w:val="0"/>
              <w:spacing w:lineRule="auto" w:line="285" w:before="8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7</w:t>
            </w:r>
          </w:p>
        </w:tc>
        <w:tc>
          <w:tcPr>
            <w:tcW w:w="346"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both"/>
              <w:rPr/>
            </w:pPr>
            <w:r>
              <w:rPr/>
              <w:t>​</w:t>
            </w:r>
          </w:p>
        </w:tc>
        <w:tc>
          <w:tcPr>
            <w:tcW w:w="5074"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left"/>
              <w:rPr>
                <w:rFonts w:ascii="Arial;Helvetica;sans-serif" w:hAnsi="Arial;Helvetica;sans-serif"/>
                <w:sz w:val="18"/>
              </w:rPr>
            </w:pPr>
            <w:r>
              <w:rPr>
                <w:rFonts w:ascii="Arial;Helvetica;sans-serif" w:hAnsi="Arial;Helvetica;sans-serif"/>
                <w:sz w:val="18"/>
              </w:rPr>
              <w:t>Election of the Members of the Compensation Committee</w:t>
            </w:r>
          </w:p>
        </w:tc>
        <w:tc>
          <w:tcPr>
            <w:tcW w:w="226"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both"/>
              <w:rPr/>
            </w:pPr>
            <w:r>
              <w:rPr/>
              <w:t>​</w:t>
            </w:r>
          </w:p>
        </w:tc>
        <w:tc>
          <w:tcPr>
            <w:tcW w:w="1094" w:type="dxa"/>
            <w:gridSpan w:val="2"/>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center"/>
              <w:rPr/>
            </w:pPr>
            <w:r>
              <w:rPr/>
              <w:t>​</w:t>
            </w:r>
          </w:p>
        </w:tc>
        <w:tc>
          <w:tcPr>
            <w:tcW w:w="1357" w:type="dxa"/>
            <w:gridSpan w:val="3"/>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right"/>
              <w:rPr/>
            </w:pPr>
            <w:r>
              <w:rPr/>
              <w:t>​</w:t>
            </w:r>
          </w:p>
        </w:tc>
        <w:tc>
          <w:tcPr>
            <w:tcW w:w="275" w:type="dxa"/>
            <w:tcBorders>
              <w:top w:val="single" w:sz="2" w:space="0" w:color="D9D9D9"/>
              <w:bottom w:val="single" w:sz="2" w:space="0" w:color="D9D9D9"/>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917" w:type="dxa"/>
            <w:tcBorders>
              <w:top w:val="single" w:sz="2" w:space="0" w:color="D9D9D9"/>
              <w:bottom w:val="single" w:sz="2" w:space="0" w:color="D9D9D9"/>
            </w:tcBorders>
            <w:tcMar>
              <w:top w:w="28" w:type="dxa"/>
            </w:tcMar>
            <w:vAlign w:val="center"/>
          </w:tcPr>
          <w:p>
            <w:pPr>
              <w:pStyle w:val="TableContents"/>
              <w:bidi w:val="0"/>
              <w:spacing w:lineRule="auto" w:line="240" w:before="80" w:after="0"/>
              <w:ind w:left="0" w:right="0" w:hanging="0"/>
              <w:jc w:val="left"/>
              <w:rPr/>
            </w:pPr>
            <w:r>
              <w:rPr>
                <w:color w:val="00556F"/>
              </w:rPr>
              <w:t>✓</w:t>
            </w:r>
            <w:r>
              <w:rPr>
                <w:rFonts w:ascii="Arial;Helvetica;sans-serif" w:hAnsi="Arial;Helvetica;sans-serif"/>
                <w:sz w:val="15"/>
              </w:rPr>
              <w:t>(4)</w:t>
            </w:r>
          </w:p>
        </w:tc>
      </w:tr>
      <w:tr>
        <w:trPr/>
        <w:tc>
          <w:tcPr>
            <w:tcW w:w="916" w:type="dxa"/>
            <w:tcBorders>
              <w:top w:val="single" w:sz="2" w:space="0" w:color="D9D9D9"/>
              <w:bottom w:val="single" w:sz="2" w:space="0" w:color="D9D9D9"/>
            </w:tcBorders>
            <w:tcMar>
              <w:top w:w="28" w:type="dxa"/>
            </w:tcMar>
            <w:vAlign w:val="center"/>
          </w:tcPr>
          <w:p>
            <w:pPr>
              <w:pStyle w:val="TableContents"/>
              <w:pBdr/>
              <w:bidi w:val="0"/>
              <w:spacing w:lineRule="auto" w:line="285" w:before="8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8</w:t>
            </w:r>
          </w:p>
        </w:tc>
        <w:tc>
          <w:tcPr>
            <w:tcW w:w="346"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both"/>
              <w:rPr/>
            </w:pPr>
            <w:r>
              <w:rPr/>
              <w:t>​</w:t>
            </w:r>
          </w:p>
        </w:tc>
        <w:tc>
          <w:tcPr>
            <w:tcW w:w="5074"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left"/>
              <w:rPr>
                <w:rFonts w:ascii="Arial;Helvetica;sans-serif" w:hAnsi="Arial;Helvetica;sans-serif"/>
                <w:sz w:val="18"/>
              </w:rPr>
            </w:pPr>
            <w:r>
              <w:rPr>
                <w:rFonts w:ascii="Arial;Helvetica;sans-serif" w:hAnsi="Arial;Helvetica;sans-serif"/>
                <w:sz w:val="18"/>
              </w:rPr>
              <w:t>Reelection of the Independent Proxy</w:t>
            </w:r>
          </w:p>
        </w:tc>
        <w:tc>
          <w:tcPr>
            <w:tcW w:w="226"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both"/>
              <w:rPr/>
            </w:pPr>
            <w:r>
              <w:rPr/>
              <w:t>​</w:t>
            </w:r>
          </w:p>
        </w:tc>
        <w:tc>
          <w:tcPr>
            <w:tcW w:w="280"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center"/>
              <w:rPr/>
            </w:pPr>
            <w:r>
              <w:rPr/>
              <w:t>​</w:t>
            </w:r>
          </w:p>
        </w:tc>
        <w:tc>
          <w:tcPr>
            <w:tcW w:w="814"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left"/>
              <w:rPr>
                <w:color w:val="00556F"/>
              </w:rPr>
            </w:pPr>
            <w:r>
              <w:rPr>
                <w:color w:val="00556F"/>
              </w:rPr>
              <w:t>✓</w:t>
            </w:r>
          </w:p>
        </w:tc>
        <w:tc>
          <w:tcPr>
            <w:tcW w:w="1357" w:type="dxa"/>
            <w:gridSpan w:val="3"/>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right"/>
              <w:rPr/>
            </w:pPr>
            <w:r>
              <w:rPr/>
              <w:t>​</w:t>
            </w:r>
          </w:p>
        </w:tc>
        <w:tc>
          <w:tcPr>
            <w:tcW w:w="275" w:type="dxa"/>
            <w:tcBorders>
              <w:top w:val="single" w:sz="2" w:space="0" w:color="D9D9D9"/>
              <w:bottom w:val="single" w:sz="2" w:space="0" w:color="D9D9D9"/>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917"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both"/>
              <w:rPr/>
            </w:pPr>
            <w:r>
              <w:rPr/>
              <w:t>​</w:t>
            </w:r>
          </w:p>
        </w:tc>
      </w:tr>
      <w:tr>
        <w:trPr/>
        <w:tc>
          <w:tcPr>
            <w:tcW w:w="916" w:type="dxa"/>
            <w:tcBorders>
              <w:top w:val="single" w:sz="2" w:space="0" w:color="D9D9D9"/>
              <w:bottom w:val="single" w:sz="2" w:space="0" w:color="D9D9D9"/>
            </w:tcBorders>
            <w:tcMar>
              <w:top w:w="28" w:type="dxa"/>
            </w:tcMar>
            <w:vAlign w:val="center"/>
          </w:tcPr>
          <w:p>
            <w:pPr>
              <w:pStyle w:val="TableContents"/>
              <w:pBdr/>
              <w:bidi w:val="0"/>
              <w:spacing w:lineRule="auto" w:line="285" w:before="8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9</w:t>
            </w:r>
          </w:p>
        </w:tc>
        <w:tc>
          <w:tcPr>
            <w:tcW w:w="346"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both"/>
              <w:rPr/>
            </w:pPr>
            <w:r>
              <w:rPr/>
              <w:t>​</w:t>
            </w:r>
          </w:p>
        </w:tc>
        <w:tc>
          <w:tcPr>
            <w:tcW w:w="5074"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left"/>
              <w:rPr>
                <w:rFonts w:ascii="Arial;Helvetica;sans-serif" w:hAnsi="Arial;Helvetica;sans-serif"/>
                <w:sz w:val="18"/>
              </w:rPr>
            </w:pPr>
            <w:r>
              <w:rPr>
                <w:rFonts w:ascii="Arial;Helvetica;sans-serif" w:hAnsi="Arial;Helvetica;sans-serif"/>
                <w:sz w:val="18"/>
              </w:rPr>
              <w:t>Ratification of Ernst &amp; Young LLP as the Company’s Independent Registered Public Accounting Firm for Fiscal Year 2026 and Reelection of Ernst &amp; Young Ltd, Zurich, as the Company’s Auditor for a Further One-Year Term</w:t>
            </w:r>
          </w:p>
        </w:tc>
        <w:tc>
          <w:tcPr>
            <w:tcW w:w="226"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both"/>
              <w:rPr/>
            </w:pPr>
            <w:r>
              <w:rPr/>
              <w:t>​</w:t>
            </w:r>
          </w:p>
        </w:tc>
        <w:tc>
          <w:tcPr>
            <w:tcW w:w="280" w:type="dxa"/>
            <w:tcBorders>
              <w:top w:val="single" w:sz="2" w:space="0" w:color="D9D9D9"/>
              <w:bottom w:val="single" w:sz="2" w:space="0" w:color="D9D9D9"/>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814" w:type="dxa"/>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left"/>
              <w:rPr>
                <w:color w:val="00556F"/>
              </w:rPr>
            </w:pPr>
            <w:r>
              <w:rPr>
                <w:color w:val="00556F"/>
              </w:rPr>
              <w:t>✓</w:t>
            </w:r>
          </w:p>
        </w:tc>
        <w:tc>
          <w:tcPr>
            <w:tcW w:w="1357" w:type="dxa"/>
            <w:gridSpan w:val="3"/>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right"/>
              <w:rPr/>
            </w:pPr>
            <w:r>
              <w:rPr/>
              <w:t>​</w:t>
            </w:r>
          </w:p>
        </w:tc>
        <w:tc>
          <w:tcPr>
            <w:tcW w:w="1192" w:type="dxa"/>
            <w:gridSpan w:val="2"/>
            <w:tcBorders>
              <w:top w:val="single" w:sz="2" w:space="0" w:color="D9D9D9"/>
              <w:bottom w:val="single" w:sz="2" w:space="0" w:color="D9D9D9"/>
            </w:tcBorders>
            <w:tcMar>
              <w:top w:w="28" w:type="dxa"/>
            </w:tcMar>
            <w:vAlign w:val="center"/>
          </w:tcPr>
          <w:p>
            <w:pPr>
              <w:pStyle w:val="TableContents"/>
              <w:bidi w:val="0"/>
              <w:spacing w:lineRule="auto" w:line="285" w:before="80" w:after="0"/>
              <w:ind w:left="0" w:right="0" w:hanging="0"/>
              <w:jc w:val="center"/>
              <w:rPr/>
            </w:pPr>
            <w:r>
              <w:rPr/>
              <w:t>​</w:t>
            </w:r>
          </w:p>
        </w:tc>
      </w:tr>
      <w:tr>
        <w:trPr/>
        <w:tc>
          <w:tcPr>
            <w:tcW w:w="916" w:type="dxa"/>
            <w:tcBorders>
              <w:top w:val="single" w:sz="2" w:space="0" w:color="D9D9D9"/>
              <w:bottom w:val="single" w:sz="2" w:space="0" w:color="D3D3D3"/>
            </w:tcBorders>
            <w:tcMar>
              <w:top w:w="28" w:type="dxa"/>
            </w:tcMar>
            <w:vAlign w:val="center"/>
          </w:tcPr>
          <w:p>
            <w:pPr>
              <w:pStyle w:val="TableContents"/>
              <w:pBdr/>
              <w:bidi w:val="0"/>
              <w:spacing w:lineRule="auto" w:line="285" w:before="8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10</w:t>
            </w:r>
          </w:p>
        </w:tc>
        <w:tc>
          <w:tcPr>
            <w:tcW w:w="346" w:type="dxa"/>
            <w:tcBorders>
              <w:top w:val="single" w:sz="2" w:space="0" w:color="D9D9D9"/>
              <w:bottom w:val="single" w:sz="2" w:space="0" w:color="D3D3D3"/>
            </w:tcBorders>
            <w:tcMar>
              <w:top w:w="28" w:type="dxa"/>
            </w:tcMar>
            <w:vAlign w:val="center"/>
          </w:tcPr>
          <w:p>
            <w:pPr>
              <w:pStyle w:val="TableContents"/>
              <w:bidi w:val="0"/>
              <w:spacing w:lineRule="auto" w:line="285" w:before="80" w:after="0"/>
              <w:ind w:left="0" w:right="0" w:hanging="0"/>
              <w:jc w:val="both"/>
              <w:rPr/>
            </w:pPr>
            <w:r>
              <w:rPr/>
              <w:t>​</w:t>
            </w:r>
          </w:p>
        </w:tc>
        <w:tc>
          <w:tcPr>
            <w:tcW w:w="5074" w:type="dxa"/>
            <w:tcBorders>
              <w:top w:val="single" w:sz="2" w:space="0" w:color="D9D9D9"/>
              <w:bottom w:val="single" w:sz="2" w:space="0" w:color="D3D3D3"/>
            </w:tcBorders>
            <w:tcMar>
              <w:top w:w="28" w:type="dxa"/>
            </w:tcMar>
            <w:vAlign w:val="center"/>
          </w:tcPr>
          <w:p>
            <w:pPr>
              <w:pStyle w:val="TableContents"/>
              <w:bidi w:val="0"/>
              <w:spacing w:lineRule="auto" w:line="285" w:before="80" w:after="80"/>
              <w:ind w:left="0" w:right="0" w:hanging="0"/>
              <w:jc w:val="left"/>
              <w:rPr>
                <w:rFonts w:ascii="Arial;Helvetica;sans-serif" w:hAnsi="Arial;Helvetica;sans-serif"/>
                <w:sz w:val="18"/>
              </w:rPr>
            </w:pPr>
            <w:r>
              <w:rPr>
                <w:rFonts w:ascii="Arial;Helvetica;sans-serif" w:hAnsi="Arial;Helvetica;sans-serif"/>
                <w:sz w:val="18"/>
              </w:rPr>
              <w:t>Advisory Vote to Approve Named Executive Officer Compensation for Fiscal Year 2026</w:t>
            </w:r>
          </w:p>
        </w:tc>
        <w:tc>
          <w:tcPr>
            <w:tcW w:w="226" w:type="dxa"/>
            <w:tcBorders>
              <w:top w:val="single" w:sz="2" w:space="0" w:color="D9D9D9"/>
              <w:bottom w:val="single" w:sz="2" w:space="0" w:color="D3D3D3"/>
            </w:tcBorders>
            <w:tcMar>
              <w:top w:w="28" w:type="dxa"/>
            </w:tcMar>
            <w:vAlign w:val="center"/>
          </w:tcPr>
          <w:p>
            <w:pPr>
              <w:pStyle w:val="TableContents"/>
              <w:bidi w:val="0"/>
              <w:spacing w:lineRule="auto" w:line="285" w:before="80" w:after="0"/>
              <w:ind w:left="0" w:right="0" w:hanging="0"/>
              <w:jc w:val="both"/>
              <w:rPr/>
            </w:pPr>
            <w:r>
              <w:rPr/>
              <w:t>​</w:t>
            </w:r>
          </w:p>
        </w:tc>
        <w:tc>
          <w:tcPr>
            <w:tcW w:w="280" w:type="dxa"/>
            <w:tcBorders>
              <w:top w:val="single" w:sz="2" w:space="0" w:color="D9D9D9"/>
              <w:bottom w:val="single" w:sz="2" w:space="0" w:color="D3D3D3"/>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814" w:type="dxa"/>
            <w:tcBorders>
              <w:top w:val="single" w:sz="2" w:space="0" w:color="D9D9D9"/>
              <w:bottom w:val="single" w:sz="2" w:space="0" w:color="D3D3D3"/>
            </w:tcBorders>
            <w:tcMar>
              <w:top w:w="28" w:type="dxa"/>
            </w:tcMar>
            <w:vAlign w:val="center"/>
          </w:tcPr>
          <w:p>
            <w:pPr>
              <w:pStyle w:val="TableContents"/>
              <w:bidi w:val="0"/>
              <w:spacing w:lineRule="auto" w:line="240" w:before="80" w:after="0"/>
              <w:ind w:left="0" w:right="0" w:hanging="0"/>
              <w:jc w:val="left"/>
              <w:rPr/>
            </w:pPr>
            <w:r>
              <w:rPr>
                <w:color w:val="00556F"/>
              </w:rPr>
              <w:t>✓</w:t>
            </w:r>
            <w:r>
              <w:rPr>
                <w:rFonts w:ascii="Arial;Helvetica;sans-serif" w:hAnsi="Arial;Helvetica;sans-serif"/>
                <w:sz w:val="15"/>
              </w:rPr>
              <w:t>(6)</w:t>
            </w:r>
          </w:p>
        </w:tc>
        <w:tc>
          <w:tcPr>
            <w:tcW w:w="1357" w:type="dxa"/>
            <w:gridSpan w:val="3"/>
            <w:tcBorders>
              <w:top w:val="single" w:sz="2" w:space="0" w:color="D9D9D9"/>
              <w:bottom w:val="single" w:sz="2" w:space="0" w:color="D3D3D3"/>
            </w:tcBorders>
            <w:tcMar>
              <w:top w:w="28" w:type="dxa"/>
            </w:tcMar>
            <w:vAlign w:val="center"/>
          </w:tcPr>
          <w:p>
            <w:pPr>
              <w:pStyle w:val="TableContents"/>
              <w:bidi w:val="0"/>
              <w:spacing w:lineRule="auto" w:line="285" w:before="80" w:after="0"/>
              <w:ind w:left="0" w:right="0" w:hanging="0"/>
              <w:jc w:val="right"/>
              <w:rPr/>
            </w:pPr>
            <w:r>
              <w:rPr/>
              <w:t>​</w:t>
            </w:r>
          </w:p>
        </w:tc>
        <w:tc>
          <w:tcPr>
            <w:tcW w:w="1192" w:type="dxa"/>
            <w:gridSpan w:val="2"/>
            <w:tcBorders>
              <w:top w:val="single" w:sz="2" w:space="0" w:color="D9D9D9"/>
              <w:bottom w:val="single" w:sz="2" w:space="0" w:color="D3D3D3"/>
            </w:tcBorders>
            <w:tcMar>
              <w:top w:w="28" w:type="dxa"/>
            </w:tcMar>
            <w:vAlign w:val="center"/>
          </w:tcPr>
          <w:p>
            <w:pPr>
              <w:pStyle w:val="TableContents"/>
              <w:bidi w:val="0"/>
              <w:spacing w:lineRule="auto" w:line="285" w:before="80" w:after="0"/>
              <w:ind w:left="0" w:right="0" w:hanging="0"/>
              <w:jc w:val="center"/>
              <w:rPr/>
            </w:pPr>
            <w:r>
              <w:rPr/>
              <w:t>​</w:t>
            </w:r>
          </w:p>
        </w:tc>
      </w:tr>
      <w:tr>
        <w:trPr/>
        <w:tc>
          <w:tcPr>
            <w:tcW w:w="916" w:type="dxa"/>
            <w:tcBorders>
              <w:top w:val="single" w:sz="2" w:space="0" w:color="D3D3D3"/>
              <w:bottom w:val="single" w:sz="12" w:space="0" w:color="ECA44A"/>
            </w:tcBorders>
            <w:tcMar>
              <w:top w:w="28" w:type="dxa"/>
            </w:tcMar>
            <w:vAlign w:val="center"/>
          </w:tcPr>
          <w:p>
            <w:pPr>
              <w:pStyle w:val="TableContents"/>
              <w:pBdr/>
              <w:bidi w:val="0"/>
              <w:spacing w:lineRule="auto" w:line="285" w:before="80" w:after="0"/>
              <w:ind w:left="0" w:right="0" w:hanging="0"/>
              <w:jc w:val="center"/>
              <w:rPr>
                <w:rFonts w:ascii="Arial;Helvetica;sans-serif" w:hAnsi="Arial;Helvetica;sans-serif"/>
                <w:b/>
                <w:color w:val="005670"/>
                <w:sz w:val="28"/>
              </w:rPr>
            </w:pPr>
            <w:r>
              <w:rPr>
                <w:rFonts w:ascii="Arial;Helvetica;sans-serif" w:hAnsi="Arial;Helvetica;sans-serif"/>
                <w:b/>
                <w:color w:val="005670"/>
                <w:sz w:val="28"/>
              </w:rPr>
              <w:t>11</w:t>
            </w:r>
          </w:p>
        </w:tc>
        <w:tc>
          <w:tcPr>
            <w:tcW w:w="346" w:type="dxa"/>
            <w:tcBorders>
              <w:top w:val="single" w:sz="2" w:space="0" w:color="D3D3D3"/>
              <w:bottom w:val="single" w:sz="12" w:space="0" w:color="ECA44A"/>
            </w:tcBorders>
            <w:tcMar>
              <w:top w:w="28" w:type="dxa"/>
            </w:tcMar>
            <w:vAlign w:val="center"/>
          </w:tcPr>
          <w:p>
            <w:pPr>
              <w:pStyle w:val="TableContents"/>
              <w:bidi w:val="0"/>
              <w:spacing w:lineRule="auto" w:line="285" w:before="80" w:after="0"/>
              <w:ind w:left="0" w:right="0" w:hanging="0"/>
              <w:jc w:val="both"/>
              <w:rPr/>
            </w:pPr>
            <w:r>
              <w:rPr/>
              <w:t>​</w:t>
            </w:r>
          </w:p>
        </w:tc>
        <w:tc>
          <w:tcPr>
            <w:tcW w:w="5074" w:type="dxa"/>
            <w:tcBorders>
              <w:top w:val="single" w:sz="2" w:space="0" w:color="D3D3D3"/>
              <w:bottom w:val="single" w:sz="12" w:space="0" w:color="ECA44A"/>
            </w:tcBorders>
            <w:tcMar>
              <w:top w:w="28" w:type="dxa"/>
            </w:tcMar>
            <w:vAlign w:val="center"/>
          </w:tcPr>
          <w:p>
            <w:pPr>
              <w:pStyle w:val="TableContents"/>
              <w:bidi w:val="0"/>
              <w:spacing w:lineRule="auto" w:line="285" w:before="80" w:after="0"/>
              <w:ind w:left="0" w:right="0" w:hanging="0"/>
              <w:jc w:val="left"/>
              <w:rPr>
                <w:rFonts w:ascii="Arial;Helvetica;sans-serif" w:hAnsi="Arial;Helvetica;sans-serif"/>
                <w:sz w:val="18"/>
              </w:rPr>
            </w:pPr>
            <w:r>
              <w:rPr>
                <w:rFonts w:ascii="Arial;Helvetica;sans-serif" w:hAnsi="Arial;Helvetica;sans-serif"/>
                <w:sz w:val="18"/>
              </w:rPr>
              <w:t>Prospective Vote on the Maximum Compensation of (A) the Board of Directors and (B) the Executive Management Team</w:t>
            </w:r>
          </w:p>
        </w:tc>
        <w:tc>
          <w:tcPr>
            <w:tcW w:w="226" w:type="dxa"/>
            <w:tcBorders>
              <w:top w:val="single" w:sz="2" w:space="0" w:color="D3D3D3"/>
              <w:bottom w:val="single" w:sz="12" w:space="0" w:color="ECA44A"/>
            </w:tcBorders>
            <w:tcMar>
              <w:top w:w="28" w:type="dxa"/>
            </w:tcMar>
            <w:vAlign w:val="center"/>
          </w:tcPr>
          <w:p>
            <w:pPr>
              <w:pStyle w:val="TableContents"/>
              <w:bidi w:val="0"/>
              <w:spacing w:lineRule="auto" w:line="285" w:before="80" w:after="0"/>
              <w:ind w:left="0" w:right="0" w:hanging="0"/>
              <w:jc w:val="both"/>
              <w:rPr/>
            </w:pPr>
            <w:r>
              <w:rPr/>
              <w:t>​</w:t>
            </w:r>
          </w:p>
        </w:tc>
        <w:tc>
          <w:tcPr>
            <w:tcW w:w="280" w:type="dxa"/>
            <w:tcBorders>
              <w:top w:val="single" w:sz="2" w:space="0" w:color="D3D3D3"/>
              <w:bottom w:val="single" w:sz="12" w:space="0" w:color="ECA44A"/>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814" w:type="dxa"/>
            <w:tcBorders>
              <w:top w:val="single" w:sz="2" w:space="0" w:color="D3D3D3"/>
              <w:bottom w:val="single" w:sz="12" w:space="0" w:color="ECA44A"/>
            </w:tcBorders>
            <w:tcMar>
              <w:top w:w="28" w:type="dxa"/>
            </w:tcMar>
            <w:vAlign w:val="center"/>
          </w:tcPr>
          <w:p>
            <w:pPr>
              <w:pStyle w:val="TableContents"/>
              <w:bidi w:val="0"/>
              <w:spacing w:lineRule="auto" w:line="285" w:before="80" w:after="0"/>
              <w:ind w:left="0" w:right="0" w:hanging="0"/>
              <w:jc w:val="both"/>
              <w:rPr>
                <w:color w:val="00556F"/>
              </w:rPr>
            </w:pPr>
            <w:r>
              <w:rPr>
                <w:color w:val="00556F"/>
              </w:rPr>
              <w:t>✓</w:t>
            </w:r>
          </w:p>
        </w:tc>
        <w:tc>
          <w:tcPr>
            <w:tcW w:w="613" w:type="dxa"/>
            <w:tcBorders>
              <w:top w:val="single" w:sz="2" w:space="0" w:color="D3D3D3"/>
              <w:bottom w:val="single" w:sz="12" w:space="0" w:color="ECA44A"/>
            </w:tcBorders>
            <w:tcMar>
              <w:top w:w="28" w:type="dxa"/>
            </w:tcMar>
            <w:vAlign w:val="center"/>
          </w:tcPr>
          <w:p>
            <w:pPr>
              <w:pStyle w:val="TableContents"/>
              <w:bidi w:val="0"/>
              <w:spacing w:lineRule="auto" w:line="285" w:before="80" w:after="0"/>
              <w:ind w:left="0" w:right="0" w:hanging="0"/>
              <w:jc w:val="right"/>
              <w:rPr/>
            </w:pPr>
            <w:r>
              <w:rPr/>
              <w:t>​</w:t>
            </w:r>
          </w:p>
        </w:tc>
        <w:tc>
          <w:tcPr>
            <w:tcW w:w="744" w:type="dxa"/>
            <w:gridSpan w:val="2"/>
            <w:tcBorders>
              <w:top w:val="single" w:sz="2" w:space="0" w:color="D3D3D3"/>
              <w:bottom w:val="single" w:sz="12" w:space="0" w:color="ECA44A"/>
            </w:tcBorders>
            <w:tcMar>
              <w:top w:w="28" w:type="dxa"/>
            </w:tcMar>
            <w:vAlign w:val="center"/>
          </w:tcPr>
          <w:p>
            <w:pPr>
              <w:pStyle w:val="TableContents"/>
              <w:bidi w:val="0"/>
              <w:spacing w:lineRule="auto" w:line="285" w:before="80" w:after="0"/>
              <w:ind w:left="0" w:right="0" w:hanging="0"/>
              <w:jc w:val="center"/>
              <w:rPr/>
            </w:pPr>
            <w:r>
              <w:rPr/>
              <w:t>​</w:t>
            </w:r>
          </w:p>
        </w:tc>
        <w:tc>
          <w:tcPr>
            <w:tcW w:w="1192" w:type="dxa"/>
            <w:gridSpan w:val="2"/>
            <w:tcBorders>
              <w:top w:val="single" w:sz="2" w:space="0" w:color="D3D3D3"/>
              <w:bottom w:val="single" w:sz="12" w:space="0" w:color="ECA44A"/>
            </w:tcBorders>
            <w:tcMar>
              <w:top w:w="28" w:type="dxa"/>
            </w:tcMar>
            <w:vAlign w:val="center"/>
          </w:tcPr>
          <w:p>
            <w:pPr>
              <w:pStyle w:val="TableContents"/>
              <w:bidi w:val="0"/>
              <w:spacing w:lineRule="auto" w:line="285" w:before="80" w:after="0"/>
              <w:ind w:left="0" w:right="288" w:hanging="0"/>
              <w:jc w:val="center"/>
              <w:rPr/>
            </w:pPr>
            <w:r>
              <w:rPr/>
              <w:t>​</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07"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Affirmative vote of a simple majority of the votes cast at the 2026 Annual General Meeting on the applicable agenda item. Abstentions, broker non-votes (if any) or blank or invalid ballots are not counted for such purposes and have no impact on the approval of such agenda item.</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1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Affirmative vote of a simple majority of the votes cast at the 2026 Annual General Meeting on the applicable agenda item. Shares held by members of the Board of Directors and members of the Company’s Executive Management Team are not entitled to vote on this matter and are not counted for this agenda item. Abstentions, broker non-votes (if any) or blank or invalid ballots are not counted for such purposes and have no impact on the approval of such agenda item.</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9902"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affirmative vote of at least two-thirds of the shares represented at the 2026 Annual General Meeting and entitled to vote on that agenda item. An abstention, blank or invalid ballot will have the effect of a vote “AGAINST” this proposal.</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w:t>
            </w:r>
          </w:p>
        </w:tc>
        <w:tc>
          <w:tcPr>
            <w:tcW w:w="9904"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Affirmative vote of a plurality of the votes cast at the 2026 Annual General Meeting. The plurality requirement means that the nominee who receives the largest number of votes for a position as a director, or the Chair or a position on the Compensation </w:t>
            </w:r>
          </w:p>
        </w:tc>
      </w:tr>
    </w:tbl>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P-17    Proxy Statement</w:t>
      </w:r>
    </w:p>
    <w:p>
      <w:pPr>
        <w:pStyle w:val="TextBody"/>
        <w:bidi w:val="0"/>
        <w:spacing w:lineRule="auto" w:line="285" w:before="0" w:after="360"/>
        <w:ind w:left="0" w:right="0" w:hanging="0"/>
        <w:jc w:val="both"/>
        <w:rPr/>
      </w:pPr>
      <w:hyperlink w:anchor="TOC">
        <w:bookmarkStart w:id="41" w:name="_37fa0bb2_9137_4746_a659_24b58e0d9d72"/>
        <w:bookmarkEnd w:id="41"/>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42" w:name="_3f64d5de_93f4_4899_8e8b_13a196c02676"/>
      <w:bookmarkStart w:id="43" w:name="_3f64d5de_93f4_4899_8e8b_13a196c02676"/>
      <w:bookmarkEnd w:id="43"/>
    </w:p>
    <w:tbl>
      <w:tblPr>
        <w:tblW w:w="7175" w:type="dxa"/>
        <w:jc w:val="left"/>
        <w:tblInd w:w="0" w:type="dxa"/>
        <w:tblLayout w:type="fixed"/>
        <w:tblCellMar>
          <w:top w:w="0" w:type="dxa"/>
          <w:left w:w="0" w:type="dxa"/>
          <w:bottom w:w="0" w:type="dxa"/>
          <w:right w:w="0" w:type="dxa"/>
        </w:tblCellMar>
      </w:tblPr>
      <w:tblGrid>
        <w:gridCol w:w="7021"/>
        <w:gridCol w:w="154"/>
      </w:tblGrid>
      <w:tr>
        <w:trPr/>
        <w:tc>
          <w:tcPr>
            <w:tcW w:w="7021"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7021" w:type="dxa"/>
            <w:tcBorders>
              <w:top w:val="single" w:sz="2" w:space="0" w:color="000000"/>
              <w:left w:val="single" w:sz="2" w:space="0" w:color="000000"/>
              <w:bottom w:val="single" w:sz="12" w:space="0" w:color="D9D9D9"/>
            </w:tcBorders>
            <w:shd w:fill="005670" w:val="clear"/>
            <w:tcMar>
              <w:top w:w="28" w:type="dxa"/>
              <w:left w:w="103" w:type="dxa"/>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PROXY STATEMENT | INFORMATION ABOUT THE MEETING AND VOTING</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Committee, as applicable, is elected to that position. Only votes “FOR” are counted in determining whether a plurality has been cast in favor of a nominee. Abstentions, broker non-votes, blank or invalid ballots are not counted for such purposes and shall have no impact on the election of such nominees. As described later in this proxy statement, our Corporate Governance Guidelines set forth our procedures if a nominee for director is elected but does not receive more votes cast “FOR” than “AGAINST” the nominee’s election.</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w:t>
            </w:r>
          </w:p>
        </w:tc>
        <w:tc>
          <w:tcPr>
            <w:tcW w:w="9914"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Even if a nominee receives a plurality of votes that nominee may not ultimately serve as a director if the nominee does not receive more votes cast “FOR” than “AGAINST” the nominee’s election, and the Company’s Board of Directors accepts the resignation of the nominee pursuant to the Company’s majority vote policy, as described later in this proxy statement.</w:t>
            </w:r>
          </w:p>
        </w:tc>
      </w:tr>
    </w:tbl>
    <w:tbl>
      <w:tblPr>
        <w:tblW w:w="6497" w:type="dxa"/>
        <w:jc w:val="left"/>
        <w:tblInd w:w="0" w:type="dxa"/>
        <w:tblLayout w:type="fixed"/>
        <w:tblCellMar>
          <w:top w:w="0" w:type="dxa"/>
          <w:left w:w="0" w:type="dxa"/>
          <w:bottom w:w="0" w:type="dxa"/>
          <w:right w:w="0" w:type="dxa"/>
        </w:tblCellMar>
      </w:tblPr>
      <w:tblGrid>
        <w:gridCol w:w="331"/>
        <w:gridCol w:w="6166"/>
      </w:tblGrid>
      <w:tr>
        <w:trPr/>
        <w:tc>
          <w:tcPr>
            <w:tcW w:w="33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(6)</w:t>
            </w:r>
          </w:p>
        </w:tc>
        <w:tc>
          <w:tcPr>
            <w:tcW w:w="616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proposal is an advisory vote; as such, the vote is not binding on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200"/>
        <w:ind w:left="0" w:right="0" w:hanging="0"/>
        <w:jc w:val="both"/>
        <w:rPr>
          <w:color w:val="ECA44A"/>
        </w:rPr>
      </w:pPr>
      <w:r>
        <w:rPr>
          <w:color w:val="ECA44A"/>
        </w:rPr>
        <w:t>​</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OUTSTANDING SHARES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As of March 4, 2026, there were 1,106,750,627 Transocean Ltd. shares deemed to be outstanding, which exclude an aggregate of 97,259,054 shares held by us or our subsidiaries as of such date. Only registered holders of our shares on May 4, 2026, the record date established for the 2026 Annual General Meeting, are entitled to notice of and to vote at the meeting. Holders of shares on the record date are entitled to one vote for each share held.</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VOTING PROCEDURES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 copy of the Notice of Internet Availability of Proxy Materials is being sent to each shareholder registered in Transocean Ltd.’s share register as of the close of business on March 25, 2026. Any additional shareholders who are registered in Transocean Ltd.’s share register as of the close of business on May 4, 2026, but who were not registered in the share register as of March 25, 2026, will receive a copy of the proxy materials, including a proxy card, as soon as practicable after May 4, 2026. Shareholders not registered in Transocean Ltd.’s share register as of May 4, 2026, will not be entitled to vote or grant proxies to vote at the 2026 Annual General Meeting.</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If you are registered as a shareholder in Transocean Ltd.’s share register as of May 4, 2026, or if you hold shares of Transocean Ltd. in “street name” as of such date, you may grant a proxy to vote on each of the proposals and any modification to any of the proposals or other matter on which voting is permissible under Swiss law and which is properly presented at the meeting for consideration in one of the following ways:</w:t>
      </w:r>
    </w:p>
    <w:tbl>
      <w:tblPr>
        <w:tblW w:w="10205" w:type="dxa"/>
        <w:jc w:val="left"/>
        <w:tblInd w:w="0" w:type="dxa"/>
        <w:tblLayout w:type="fixed"/>
        <w:tblCellMar>
          <w:top w:w="0" w:type="dxa"/>
          <w:left w:w="0" w:type="dxa"/>
          <w:bottom w:w="0" w:type="dxa"/>
          <w:right w:w="0" w:type="dxa"/>
        </w:tblCellMar>
      </w:tblPr>
      <w:tblGrid>
        <w:gridCol w:w="619"/>
        <w:gridCol w:w="8888"/>
        <w:gridCol w:w="698"/>
      </w:tblGrid>
      <w:tr>
        <w:trPr/>
        <w:tc>
          <w:tcPr>
            <w:tcW w:w="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93065" cy="29210"/>
                      <wp:effectExtent l="0" t="0" r="0" b="0"/>
                      <wp:wrapNone/>
                      <wp:docPr id="90" name="Frame28"/>
                      <a:graphic xmlns:a="http://schemas.openxmlformats.org/drawingml/2006/main">
                        <a:graphicData uri="http://schemas.microsoft.com/office/word/2010/wordprocessingShape">
                          <wps:wsp>
                            <wps:cNvSpPr txBox="1"/>
                            <wps:spPr>
                              <a:xfrm>
                                <a:off x="0" y="0"/>
                                <a:ext cx="3930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643880" cy="29210"/>
                      <wp:effectExtent l="0" t="0" r="0" b="0"/>
                      <wp:wrapNone/>
                      <wp:docPr id="91" name="Frame29"/>
                      <a:graphic xmlns:a="http://schemas.openxmlformats.org/drawingml/2006/main">
                        <a:graphicData uri="http://schemas.microsoft.com/office/word/2010/wordprocessingShape">
                          <wps:wsp>
                            <wps:cNvSpPr txBox="1"/>
                            <wps:spPr>
                              <a:xfrm>
                                <a:off x="0" y="0"/>
                                <a:ext cx="56438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43230" cy="175260"/>
                      <wp:effectExtent l="0" t="0" r="0" b="0"/>
                      <wp:wrapNone/>
                      <wp:docPr id="92" name="Frame30"/>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619" w:type="dxa"/>
            <w:tcBorders/>
            <w:vAlign w:val="center"/>
          </w:tcPr>
          <w:p>
            <w:pPr>
              <w:pStyle w:val="TableContents"/>
              <w:bidi w:val="0"/>
              <w:spacing w:lineRule="auto" w:line="285" w:before="0" w:after="0"/>
              <w:ind w:left="0" w:right="0" w:hanging="0"/>
              <w:jc w:val="both"/>
              <w:rPr/>
            </w:pPr>
            <w:r>
              <w:rPr/>
              <w:drawing>
                <wp:inline distT="0" distB="0" distL="0" distR="0">
                  <wp:extent cx="328930" cy="201295"/>
                  <wp:effectExtent l="0" t="0" r="0" b="0"/>
                  <wp:docPr id="9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3" descr=""/>
                          <pic:cNvPicPr>
                            <a:picLocks noChangeAspect="1" noChangeArrowheads="1"/>
                          </pic:cNvPicPr>
                        </pic:nvPicPr>
                        <pic:blipFill>
                          <a:blip r:embed="rId64"/>
                          <a:stretch>
                            <a:fillRect/>
                          </a:stretch>
                        </pic:blipFill>
                        <pic:spPr bwMode="auto">
                          <a:xfrm>
                            <a:off x="0" y="0"/>
                            <a:ext cx="328930" cy="201295"/>
                          </a:xfrm>
                          <a:prstGeom prst="rect">
                            <a:avLst/>
                          </a:prstGeom>
                        </pic:spPr>
                      </pic:pic>
                    </a:graphicData>
                  </a:graphic>
                </wp:inline>
              </w:drawing>
            </w:r>
          </w:p>
        </w:tc>
        <w:tc>
          <w:tcPr>
            <w:tcW w:w="8888" w:type="dxa"/>
            <w:tcBorders>
              <w:bottom w:val="single" w:sz="12" w:space="0" w:color="ECA44A"/>
            </w:tcBorders>
            <w:tcMar>
              <w:bottom w:w="28" w:type="dxa"/>
            </w:tcMar>
            <w:vAlign w:val="center"/>
          </w:tcPr>
          <w:p>
            <w:pPr>
              <w:pStyle w:val="TableContents"/>
              <w:bidi w:val="0"/>
              <w:spacing w:lineRule="auto" w:line="285" w:before="0" w:after="40"/>
              <w:ind w:left="0" w:right="0" w:hanging="0"/>
              <w:jc w:val="both"/>
              <w:rPr>
                <w:rFonts w:ascii="Arial;Helvetica;sans-serif" w:hAnsi="Arial;Helvetica;sans-serif"/>
                <w:b/>
                <w:color w:val="4B4F54"/>
                <w:sz w:val="24"/>
              </w:rPr>
            </w:pPr>
            <w:r>
              <w:rPr>
                <w:rFonts w:ascii="Arial;Helvetica;sans-serif" w:hAnsi="Arial;Helvetica;sans-serif"/>
                <w:b/>
                <w:color w:val="4B4F54"/>
                <w:sz w:val="24"/>
              </w:rPr>
              <w:t>BY INTERNET</w:t>
            </w:r>
          </w:p>
        </w:tc>
        <w:tc>
          <w:tcPr>
            <w:tcW w:w="698" w:type="dxa"/>
            <w:tcBorders>
              <w:bottom w:val="single" w:sz="12" w:space="0" w:color="000000"/>
            </w:tcBorders>
            <w:tcMar>
              <w:bottom w:w="28" w:type="dxa"/>
            </w:tcMar>
            <w:vAlign w:val="center"/>
          </w:tcPr>
          <w:p>
            <w:pPr>
              <w:pStyle w:val="TableContents"/>
              <w:bidi w:val="0"/>
              <w:spacing w:lineRule="auto" w:line="285" w:before="0" w:after="0"/>
              <w:ind w:left="0" w:right="0" w:hanging="0"/>
              <w:jc w:val="both"/>
              <w:rPr/>
            </w:pPr>
            <w:r>
              <w:rPr/>
              <w:t>​</w:t>
            </w:r>
          </w:p>
        </w:tc>
      </w:tr>
      <w:tr>
        <w:trPr/>
        <w:tc>
          <w:tcPr>
            <w:tcW w:w="619" w:type="dxa"/>
            <w:tcBorders/>
            <w:vAlign w:val="center"/>
          </w:tcPr>
          <w:p>
            <w:pPr>
              <w:pStyle w:val="TableContents"/>
              <w:bidi w:val="0"/>
              <w:spacing w:lineRule="auto" w:line="285" w:before="0" w:after="0"/>
              <w:ind w:left="0" w:right="0" w:hanging="0"/>
              <w:jc w:val="both"/>
              <w:rPr/>
            </w:pPr>
            <w:r>
              <w:rPr/>
              <w:t>​</w:t>
            </w:r>
          </w:p>
        </w:tc>
        <w:tc>
          <w:tcPr>
            <w:tcW w:w="9586"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Go to </w:t>
            </w:r>
            <w:r>
              <w:rPr>
                <w:rFonts w:ascii="Arial;Helvetica;sans-serif" w:hAnsi="Arial;Helvetica;sans-serif"/>
                <w:color w:val="005670"/>
                <w:sz w:val="20"/>
              </w:rPr>
              <w:t>www.proxyvote.com</w:t>
            </w:r>
            <w:r>
              <w:rPr>
                <w:rFonts w:ascii="Arial;Helvetica;sans-serif" w:hAnsi="Arial;Helvetica;sans-serif"/>
                <w:sz w:val="20"/>
              </w:rPr>
              <w:t xml:space="preserve"> 24 hours a day, seven days a week, and follow the instructions. You will need the 16-digit control number that is included in the Notice, proxy card or voting instruction form that is sent to you. The internet system allows you to confirm that the system has properly recorded your voting instructions. This method of submitting voting instructions will be available up until 2:00 p.m. Eastern Daylight Time on Thursday, May 21, 2026 (8:00 p.m. Swiss time on Thursday, May 21, 2026) unless extended by the Company.</w:t>
            </w:r>
          </w:p>
        </w:tc>
      </w:tr>
      <w:tr>
        <w:trPr/>
        <w:tc>
          <w:tcPr>
            <w:tcW w:w="619" w:type="dxa"/>
            <w:tcBorders/>
            <w:vAlign w:val="center"/>
          </w:tcPr>
          <w:p>
            <w:pPr>
              <w:pStyle w:val="TableContents"/>
              <w:bidi w:val="0"/>
              <w:spacing w:lineRule="auto" w:line="285" w:before="0" w:after="0"/>
              <w:ind w:left="0" w:right="0" w:hanging="0"/>
              <w:jc w:val="both"/>
              <w:rPr/>
            </w:pPr>
            <w:r>
              <w:rPr/>
              <w:t>​</w:t>
            </w:r>
          </w:p>
        </w:tc>
        <w:tc>
          <w:tcPr>
            <w:tcW w:w="9586" w:type="dxa"/>
            <w:gridSpan w:val="2"/>
            <w:tcBorders/>
            <w:vAlign w:val="center"/>
          </w:tcPr>
          <w:p>
            <w:pPr>
              <w:pStyle w:val="TableContents"/>
              <w:bidi w:val="0"/>
              <w:spacing w:lineRule="auto" w:line="285" w:before="0" w:after="0"/>
              <w:ind w:left="0" w:right="0" w:hanging="0"/>
              <w:jc w:val="both"/>
              <w:rPr/>
            </w:pPr>
            <w:r>
              <w:rPr/>
              <w:t>​</w:t>
            </w:r>
          </w:p>
        </w:tc>
      </w:tr>
      <w:tr>
        <w:trPr/>
        <w:tc>
          <w:tcPr>
            <w:tcW w:w="619" w:type="dxa"/>
            <w:tcBorders/>
            <w:vAlign w:val="center"/>
          </w:tcPr>
          <w:p>
            <w:pPr>
              <w:pStyle w:val="TableContents"/>
              <w:bidi w:val="0"/>
              <w:spacing w:lineRule="auto" w:line="285" w:before="40" w:after="0"/>
              <w:ind w:left="0" w:right="0" w:hanging="0"/>
              <w:jc w:val="both"/>
              <w:rPr/>
            </w:pPr>
            <w:r>
              <w:rPr/>
              <w:drawing>
                <wp:inline distT="0" distB="0" distL="0" distR="0">
                  <wp:extent cx="328930" cy="311150"/>
                  <wp:effectExtent l="0" t="0" r="0" b="0"/>
                  <wp:docPr id="9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4" descr=""/>
                          <pic:cNvPicPr>
                            <a:picLocks noChangeAspect="1" noChangeArrowheads="1"/>
                          </pic:cNvPicPr>
                        </pic:nvPicPr>
                        <pic:blipFill>
                          <a:blip r:embed="rId65"/>
                          <a:stretch>
                            <a:fillRect/>
                          </a:stretch>
                        </pic:blipFill>
                        <pic:spPr bwMode="auto">
                          <a:xfrm>
                            <a:off x="0" y="0"/>
                            <a:ext cx="328930" cy="311150"/>
                          </a:xfrm>
                          <a:prstGeom prst="rect">
                            <a:avLst/>
                          </a:prstGeom>
                        </pic:spPr>
                      </pic:pic>
                    </a:graphicData>
                  </a:graphic>
                </wp:inline>
              </w:drawing>
            </w:r>
          </w:p>
        </w:tc>
        <w:tc>
          <w:tcPr>
            <w:tcW w:w="8888" w:type="dxa"/>
            <w:tcBorders>
              <w:bottom w:val="single" w:sz="12" w:space="0" w:color="ECA44A"/>
            </w:tcBorders>
            <w:tcMar>
              <w:bottom w:w="28" w:type="dxa"/>
            </w:tcMar>
            <w:vAlign w:val="center"/>
          </w:tcPr>
          <w:p>
            <w:pPr>
              <w:pStyle w:val="TableContents"/>
              <w:bidi w:val="0"/>
              <w:spacing w:lineRule="auto" w:line="285" w:before="0" w:after="40"/>
              <w:ind w:left="0" w:right="0" w:hanging="0"/>
              <w:jc w:val="both"/>
              <w:rPr>
                <w:rFonts w:ascii="Arial;Helvetica;sans-serif" w:hAnsi="Arial;Helvetica;sans-serif"/>
                <w:b/>
                <w:color w:val="4B4F54"/>
                <w:sz w:val="24"/>
              </w:rPr>
            </w:pPr>
            <w:r>
              <w:rPr>
                <w:rFonts w:ascii="Arial;Helvetica;sans-serif" w:hAnsi="Arial;Helvetica;sans-serif"/>
                <w:b/>
                <w:color w:val="4B4F54"/>
                <w:sz w:val="24"/>
              </w:rPr>
              <w:t>BY TELEPHONE</w:t>
            </w:r>
          </w:p>
        </w:tc>
        <w:tc>
          <w:tcPr>
            <w:tcW w:w="698" w:type="dxa"/>
            <w:tcBorders>
              <w:bottom w:val="single" w:sz="12" w:space="0" w:color="000000"/>
            </w:tcBorders>
            <w:tcMar>
              <w:bottom w:w="28" w:type="dxa"/>
            </w:tcMar>
            <w:vAlign w:val="center"/>
          </w:tcPr>
          <w:p>
            <w:pPr>
              <w:pStyle w:val="TableContents"/>
              <w:bidi w:val="0"/>
              <w:spacing w:lineRule="auto" w:line="285" w:before="0" w:after="0"/>
              <w:ind w:left="0" w:right="0" w:hanging="0"/>
              <w:jc w:val="both"/>
              <w:rPr/>
            </w:pPr>
            <w:r>
              <w:rPr/>
              <w:t>​</w:t>
            </w:r>
          </w:p>
        </w:tc>
      </w:tr>
      <w:tr>
        <w:trPr/>
        <w:tc>
          <w:tcPr>
            <w:tcW w:w="619" w:type="dxa"/>
            <w:tcBorders/>
            <w:vAlign w:val="center"/>
          </w:tcPr>
          <w:p>
            <w:pPr>
              <w:pStyle w:val="TableContents"/>
              <w:bidi w:val="0"/>
              <w:spacing w:lineRule="auto" w:line="285" w:before="0" w:after="0"/>
              <w:ind w:left="0" w:right="0" w:hanging="0"/>
              <w:jc w:val="both"/>
              <w:rPr/>
            </w:pPr>
            <w:r>
              <w:rPr/>
              <w:t>​</w:t>
            </w:r>
          </w:p>
        </w:tc>
        <w:tc>
          <w:tcPr>
            <w:tcW w:w="9586"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On a touch-tone telephone, call toll-free +1 (800) 690-6903, 24 hours a day, seven days a week, and follow the instructions. You will need the 16-digit control number that is included in the Notice, proxy card or voting instruction form that is sent to you. As with the internet system, you will be able to confirm that the telephonic system has properly recorded your votes. This method of submitting voting instructions will be available up until 2:00 p.m. Eastern Daylight Time on Thursday, May 21, 2026 (8:00 p.m. Swiss time on Thursday, May 21, 2026) unless extended by the Company. If you are a holder of record, you cannot vote by telephone.</w:t>
            </w:r>
          </w:p>
        </w:tc>
      </w:tr>
      <w:tr>
        <w:trPr/>
        <w:tc>
          <w:tcPr>
            <w:tcW w:w="619" w:type="dxa"/>
            <w:tcBorders/>
            <w:vAlign w:val="center"/>
          </w:tcPr>
          <w:p>
            <w:pPr>
              <w:pStyle w:val="TableContents"/>
              <w:bidi w:val="0"/>
              <w:spacing w:lineRule="auto" w:line="285" w:before="0" w:after="0"/>
              <w:ind w:left="0" w:right="0" w:hanging="0"/>
              <w:jc w:val="both"/>
              <w:rPr/>
            </w:pPr>
            <w:r>
              <w:rPr/>
              <w:t>​</w:t>
            </w:r>
          </w:p>
        </w:tc>
        <w:tc>
          <w:tcPr>
            <w:tcW w:w="9586" w:type="dxa"/>
            <w:gridSpan w:val="2"/>
            <w:tcBorders/>
            <w:vAlign w:val="center"/>
          </w:tcPr>
          <w:p>
            <w:pPr>
              <w:pStyle w:val="TableContents"/>
              <w:bidi w:val="0"/>
              <w:spacing w:lineRule="auto" w:line="285" w:before="0" w:after="0"/>
              <w:ind w:left="0" w:right="0" w:hanging="0"/>
              <w:jc w:val="both"/>
              <w:rPr/>
            </w:pPr>
            <w:r>
              <w:rPr/>
              <w:t>​</w:t>
            </w:r>
          </w:p>
        </w:tc>
      </w:tr>
      <w:tr>
        <w:trPr/>
        <w:tc>
          <w:tcPr>
            <w:tcW w:w="619" w:type="dxa"/>
            <w:tcBorders/>
            <w:vAlign w:val="center"/>
          </w:tcPr>
          <w:p>
            <w:pPr>
              <w:pStyle w:val="TableContents"/>
              <w:bidi w:val="0"/>
              <w:spacing w:lineRule="auto" w:line="285" w:before="0" w:after="0"/>
              <w:ind w:left="0" w:right="0" w:hanging="0"/>
              <w:jc w:val="both"/>
              <w:rPr/>
            </w:pPr>
            <w:r>
              <w:rPr/>
              <w:drawing>
                <wp:inline distT="0" distB="0" distL="0" distR="0">
                  <wp:extent cx="301625" cy="283210"/>
                  <wp:effectExtent l="0" t="0" r="0" b="0"/>
                  <wp:docPr id="9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5" descr=""/>
                          <pic:cNvPicPr>
                            <a:picLocks noChangeAspect="1" noChangeArrowheads="1"/>
                          </pic:cNvPicPr>
                        </pic:nvPicPr>
                        <pic:blipFill>
                          <a:blip r:embed="rId66"/>
                          <a:stretch>
                            <a:fillRect/>
                          </a:stretch>
                        </pic:blipFill>
                        <pic:spPr bwMode="auto">
                          <a:xfrm>
                            <a:off x="0" y="0"/>
                            <a:ext cx="301625" cy="283210"/>
                          </a:xfrm>
                          <a:prstGeom prst="rect">
                            <a:avLst/>
                          </a:prstGeom>
                        </pic:spPr>
                      </pic:pic>
                    </a:graphicData>
                  </a:graphic>
                </wp:inline>
              </w:drawing>
            </w:r>
          </w:p>
        </w:tc>
        <w:tc>
          <w:tcPr>
            <w:tcW w:w="8888" w:type="dxa"/>
            <w:tcBorders>
              <w:bottom w:val="single" w:sz="12" w:space="0" w:color="ECA44A"/>
            </w:tcBorders>
            <w:tcMar>
              <w:bottom w:w="28" w:type="dxa"/>
            </w:tcMar>
            <w:vAlign w:val="center"/>
          </w:tcPr>
          <w:p>
            <w:pPr>
              <w:pStyle w:val="TableContents"/>
              <w:bidi w:val="0"/>
              <w:spacing w:lineRule="auto" w:line="285" w:before="0" w:after="40"/>
              <w:ind w:left="0" w:right="0" w:hanging="0"/>
              <w:jc w:val="both"/>
              <w:rPr>
                <w:rFonts w:ascii="Arial;Helvetica;sans-serif" w:hAnsi="Arial;Helvetica;sans-serif"/>
                <w:b/>
                <w:color w:val="4B4F54"/>
                <w:sz w:val="24"/>
              </w:rPr>
            </w:pPr>
            <w:r>
              <w:rPr>
                <w:rFonts w:ascii="Arial;Helvetica;sans-serif" w:hAnsi="Arial;Helvetica;sans-serif"/>
                <w:b/>
                <w:color w:val="4B4F54"/>
                <w:sz w:val="24"/>
              </w:rPr>
              <w:t>BY MAIL</w:t>
            </w:r>
          </w:p>
        </w:tc>
        <w:tc>
          <w:tcPr>
            <w:tcW w:w="698" w:type="dxa"/>
            <w:tcBorders>
              <w:bottom w:val="single" w:sz="12" w:space="0" w:color="000000"/>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P-18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7175" w:type="dxa"/>
        <w:jc w:val="left"/>
        <w:tblInd w:w="0" w:type="dxa"/>
        <w:tblLayout w:type="fixed"/>
        <w:tblCellMar>
          <w:top w:w="0" w:type="dxa"/>
          <w:left w:w="0" w:type="dxa"/>
          <w:bottom w:w="0" w:type="dxa"/>
          <w:right w:w="0" w:type="dxa"/>
        </w:tblCellMar>
      </w:tblPr>
      <w:tblGrid>
        <w:gridCol w:w="124"/>
        <w:gridCol w:w="7051"/>
      </w:tblGrid>
      <w:tr>
        <w:trPr/>
        <w:tc>
          <w:tcPr>
            <w:tcW w:w="124" w:type="dxa"/>
            <w:tcBorders/>
            <w:vAlign w:val="center"/>
          </w:tcPr>
          <w:p>
            <w:pPr>
              <w:pStyle w:val="TableContents"/>
              <w:bidi w:val="0"/>
              <w:spacing w:lineRule="auto" w:line="285" w:before="0" w:after="0"/>
              <w:ind w:left="0" w:right="0" w:hanging="0"/>
              <w:jc w:val="both"/>
              <w:rPr/>
            </w:pPr>
            <w:r>
              <w:rPr/>
              <w:t>​</w:t>
            </w:r>
          </w:p>
        </w:tc>
        <w:tc>
          <w:tcPr>
            <w:tcW w:w="705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7051" w:type="dxa"/>
            <w:tcBorders>
              <w:top w:val="single" w:sz="2" w:space="0" w:color="000000"/>
              <w:bottom w:val="single" w:sz="12" w:space="0" w:color="D9D9D9"/>
              <w:right w:val="single" w:sz="2" w:space="0" w:color="000000"/>
            </w:tcBorders>
            <w:shd w:fill="005670" w:val="clear"/>
            <w:tcMar>
              <w:top w:w="28" w:type="dxa"/>
              <w:bottom w:w="28" w:type="dxa"/>
              <w:right w:w="103"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PROXY STATEMENT | INFORMATION ABOUT THE MEETING AND VOTING</w:t>
            </w:r>
          </w:p>
        </w:tc>
      </w:tr>
    </w:tbl>
    <w:p>
      <w:pPr>
        <w:pStyle w:val="TextBody"/>
        <w:bidi w:val="0"/>
        <w:spacing w:lineRule="auto" w:line="285" w:before="0" w:after="0"/>
        <w:ind w:left="0" w:right="0" w:hanging="0"/>
        <w:jc w:val="both"/>
        <w:rPr/>
      </w:pPr>
      <w:r>
        <w:rPr/>
        <w:t>​</w:t>
      </w:r>
    </w:p>
    <w:tbl>
      <w:tblPr>
        <w:tblW w:w="9200" w:type="dxa"/>
        <w:jc w:val="left"/>
        <w:tblInd w:w="0" w:type="dxa"/>
        <w:tblLayout w:type="fixed"/>
        <w:tblCellMar>
          <w:top w:w="0" w:type="dxa"/>
          <w:left w:w="0" w:type="dxa"/>
          <w:bottom w:w="0" w:type="dxa"/>
          <w:right w:w="0" w:type="dxa"/>
        </w:tblCellMar>
      </w:tblPr>
      <w:tblGrid>
        <w:gridCol w:w="124"/>
        <w:gridCol w:w="9076"/>
      </w:tblGrid>
      <w:tr>
        <w:trPr/>
        <w:tc>
          <w:tcPr>
            <w:tcW w:w="124" w:type="dxa"/>
            <w:tcBorders/>
            <w:vAlign w:val="center"/>
          </w:tcPr>
          <w:p>
            <w:pPr>
              <w:pStyle w:val="TableContents"/>
              <w:bidi w:val="0"/>
              <w:spacing w:lineRule="auto" w:line="285" w:before="0" w:after="0"/>
              <w:ind w:left="0" w:right="0" w:hanging="0"/>
              <w:jc w:val="both"/>
              <w:rPr/>
            </w:pPr>
            <w:r>
              <w:rPr/>
              <w:t>​</w:t>
            </w:r>
          </w:p>
        </w:tc>
        <w:tc>
          <w:tcPr>
            <w:tcW w:w="907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Mark, date and sign your proxy card exactly as your name appears on the card and return it by mail to:</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876"/>
        <w:gridCol w:w="2257"/>
        <w:gridCol w:w="2158"/>
        <w:gridCol w:w="854"/>
        <w:gridCol w:w="2295"/>
        <w:gridCol w:w="109"/>
        <w:gridCol w:w="1656"/>
      </w:tblGrid>
      <w:tr>
        <w:trPr/>
        <w:tc>
          <w:tcPr>
            <w:tcW w:w="876" w:type="dxa"/>
            <w:tcBorders/>
            <w:vAlign w:val="center"/>
          </w:tcPr>
          <w:p>
            <w:pPr>
              <w:pStyle w:val="TableContents"/>
              <w:pBdr/>
              <w:bidi w:val="0"/>
              <w:spacing w:lineRule="auto" w:line="285" w:before="0" w:after="0"/>
              <w:ind w:left="0" w:right="0" w:hanging="0"/>
              <w:jc w:val="center"/>
              <w:rPr/>
            </w:pPr>
            <w:r>
              <w:rPr/>
              <w:t>​</w:t>
            </w:r>
          </w:p>
        </w:tc>
        <w:tc>
          <w:tcPr>
            <w:tcW w:w="2257" w:type="dxa"/>
            <w:tcBorders/>
            <w:vAlign w:val="center"/>
          </w:tcPr>
          <w:p>
            <w:pPr>
              <w:pStyle w:val="TableContents"/>
              <w:pBdr/>
              <w:bidi w:val="0"/>
              <w:spacing w:lineRule="auto" w:line="285" w:before="0" w:after="0"/>
              <w:ind w:left="0" w:right="0" w:hanging="200"/>
              <w:jc w:val="center"/>
              <w:rPr/>
            </w:pPr>
            <w:r>
              <w:rPr/>
              <w:t>​</w:t>
            </w:r>
          </w:p>
          <w:p>
            <w:pPr>
              <w:pStyle w:val="TableContents"/>
              <w:bidi w:val="0"/>
              <w:spacing w:lineRule="auto" w:line="285" w:before="0" w:after="0"/>
              <w:ind w:left="0" w:right="0" w:hanging="0"/>
              <w:jc w:val="both"/>
              <w:rPr/>
            </w:pPr>
            <w:r>
              <w:rPr/>
              <w:t>​</w:t>
            </w:r>
          </w:p>
        </w:tc>
        <w:tc>
          <w:tcPr>
            <w:tcW w:w="2158" w:type="dxa"/>
            <w:tcBorders/>
            <w:vAlign w:val="center"/>
          </w:tcPr>
          <w:p>
            <w:pPr>
              <w:pStyle w:val="TableContents"/>
              <w:bidi w:val="0"/>
              <w:spacing w:lineRule="auto" w:line="285" w:before="0" w:after="0"/>
              <w:ind w:left="0" w:right="0" w:hanging="0"/>
              <w:jc w:val="both"/>
              <w:rPr/>
            </w:pPr>
            <w:r>
              <w:rPr/>
              <w:t>​</w:t>
            </w:r>
          </w:p>
        </w:tc>
        <w:tc>
          <w:tcPr>
            <w:tcW w:w="854" w:type="dxa"/>
            <w:tcBorders/>
            <w:vAlign w:val="center"/>
          </w:tcPr>
          <w:p>
            <w:pPr>
              <w:pStyle w:val="TableContents"/>
              <w:bidi w:val="0"/>
              <w:spacing w:lineRule="auto" w:line="285" w:before="0" w:after="0"/>
              <w:ind w:left="0" w:right="0" w:hanging="0"/>
              <w:jc w:val="both"/>
              <w:rPr/>
            </w:pPr>
            <w:r>
              <w:rPr/>
              <w:t>​</w:t>
            </w:r>
          </w:p>
        </w:tc>
        <w:tc>
          <w:tcPr>
            <w:tcW w:w="2295" w:type="dxa"/>
            <w:tcBorders/>
            <w:vAlign w:val="center"/>
          </w:tcPr>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6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76" w:type="dxa"/>
            <w:vMerge w:val="restart"/>
            <w:tcBorders/>
            <w:vAlign w:val="center"/>
          </w:tcPr>
          <w:p>
            <w:pPr>
              <w:pStyle w:val="TableContents"/>
              <w:bidi w:val="0"/>
              <w:spacing w:lineRule="auto" w:line="285" w:before="0" w:after="0"/>
              <w:ind w:left="0" w:right="0" w:hanging="0"/>
              <w:jc w:val="center"/>
              <w:rPr>
                <w:caps w:val="false"/>
                <w:smallCaps w:val="false"/>
                <w:color w:val="000000"/>
              </w:rPr>
            </w:pPr>
            <w:r>
              <w:rPr>
                <w:caps w:val="false"/>
                <w:smallCaps w:val="false"/>
                <w:color w:val="000000"/>
              </w:rPr>
              <w:drawing>
                <wp:inline distT="0" distB="0" distL="0" distR="0">
                  <wp:extent cx="313690" cy="301625"/>
                  <wp:effectExtent l="0" t="0" r="0" b="0"/>
                  <wp:docPr id="9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6" descr=""/>
                          <pic:cNvPicPr>
                            <a:picLocks noChangeAspect="1" noChangeArrowheads="1"/>
                          </pic:cNvPicPr>
                        </pic:nvPicPr>
                        <pic:blipFill>
                          <a:blip r:embed="rId67"/>
                          <a:stretch>
                            <a:fillRect/>
                          </a:stretch>
                        </pic:blipFill>
                        <pic:spPr bwMode="auto">
                          <a:xfrm>
                            <a:off x="0" y="0"/>
                            <a:ext cx="313690" cy="301625"/>
                          </a:xfrm>
                          <a:prstGeom prst="rect">
                            <a:avLst/>
                          </a:prstGeom>
                        </pic:spPr>
                      </pic:pic>
                    </a:graphicData>
                  </a:graphic>
                </wp:inline>
              </w:drawing>
            </w:r>
          </w:p>
        </w:tc>
        <w:tc>
          <w:tcPr>
            <w:tcW w:w="2257" w:type="dxa"/>
            <w:tcBorders/>
            <w:vAlign w:val="center"/>
          </w:tcPr>
          <w:p>
            <w:pPr>
              <w:pStyle w:val="TableContents"/>
              <w:pBdr/>
              <w:bidi w:val="0"/>
              <w:spacing w:lineRule="atLeast" w:line="200" w:before="0" w:after="20"/>
              <w:ind w:left="0" w:right="0" w:hanging="202"/>
              <w:jc w:val="both"/>
              <w:rPr>
                <w:rFonts w:ascii="Arial;Helvetica;sans-serif" w:hAnsi="Arial;Helvetica;sans-serif"/>
                <w:sz w:val="20"/>
              </w:rPr>
            </w:pPr>
            <w:r>
              <w:rPr>
                <w:rFonts w:ascii="Arial;Helvetica;sans-serif" w:hAnsi="Arial;Helvetica;sans-serif"/>
                <w:sz w:val="20"/>
              </w:rPr>
              <w:t>Transocean 2026 AGM</w:t>
            </w:r>
          </w:p>
          <w:p>
            <w:pPr>
              <w:pStyle w:val="TableContents"/>
              <w:pBdr/>
              <w:bidi w:val="0"/>
              <w:spacing w:lineRule="atLeast" w:line="200" w:before="0" w:after="20"/>
              <w:ind w:left="0" w:right="0" w:hanging="0"/>
              <w:jc w:val="both"/>
              <w:rPr>
                <w:rFonts w:ascii="Arial;Helvetica;sans-serif" w:hAnsi="Arial;Helvetica;sans-serif"/>
                <w:sz w:val="20"/>
              </w:rPr>
            </w:pPr>
            <w:r>
              <w:rPr>
                <w:rFonts w:ascii="Arial;Helvetica;sans-serif" w:hAnsi="Arial;Helvetica;sans-serif"/>
                <w:sz w:val="20"/>
              </w:rPr>
              <w:t>Vote Processing</w:t>
            </w:r>
          </w:p>
        </w:tc>
        <w:tc>
          <w:tcPr>
            <w:tcW w:w="2158" w:type="dxa"/>
            <w:tcBorders/>
            <w:vAlign w:val="center"/>
          </w:tcPr>
          <w:p>
            <w:pPr>
              <w:pStyle w:val="TableContents"/>
              <w:bidi w:val="0"/>
              <w:spacing w:lineRule="auto" w:line="285" w:before="0" w:after="0"/>
              <w:ind w:left="0" w:right="0" w:hanging="0"/>
              <w:jc w:val="center"/>
              <w:rPr/>
            </w:pPr>
            <w:r>
              <w:rPr/>
              <w:t>​</w:t>
            </w:r>
          </w:p>
        </w:tc>
        <w:tc>
          <w:tcPr>
            <w:tcW w:w="854" w:type="dxa"/>
            <w:vMerge w:val="restart"/>
            <w:tcBorders/>
            <w:vAlign w:val="center"/>
          </w:tcPr>
          <w:p>
            <w:pPr>
              <w:pStyle w:val="TableContents"/>
              <w:bidi w:val="0"/>
              <w:spacing w:lineRule="auto" w:line="285" w:before="0" w:after="0"/>
              <w:ind w:left="0" w:right="0" w:hanging="0"/>
              <w:jc w:val="center"/>
              <w:rPr>
                <w:caps w:val="false"/>
                <w:smallCaps w:val="false"/>
                <w:color w:val="000000"/>
              </w:rPr>
            </w:pPr>
            <w:r>
              <w:rPr>
                <w:caps w:val="false"/>
                <w:smallCaps w:val="false"/>
                <w:color w:val="000000"/>
              </w:rPr>
              <w:drawing>
                <wp:inline distT="0" distB="0" distL="0" distR="0">
                  <wp:extent cx="313690" cy="301625"/>
                  <wp:effectExtent l="0" t="0" r="0" b="0"/>
                  <wp:docPr id="9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7" descr=""/>
                          <pic:cNvPicPr>
                            <a:picLocks noChangeAspect="1" noChangeArrowheads="1"/>
                          </pic:cNvPicPr>
                        </pic:nvPicPr>
                        <pic:blipFill>
                          <a:blip r:embed="rId68"/>
                          <a:stretch>
                            <a:fillRect/>
                          </a:stretch>
                        </pic:blipFill>
                        <pic:spPr bwMode="auto">
                          <a:xfrm>
                            <a:off x="0" y="0"/>
                            <a:ext cx="313690" cy="301625"/>
                          </a:xfrm>
                          <a:prstGeom prst="rect">
                            <a:avLst/>
                          </a:prstGeom>
                        </pic:spPr>
                      </pic:pic>
                    </a:graphicData>
                  </a:graphic>
                </wp:inline>
              </w:drawing>
            </w:r>
          </w:p>
        </w:tc>
        <w:tc>
          <w:tcPr>
            <w:tcW w:w="2295" w:type="dxa"/>
            <w:tcBorders/>
            <w:vAlign w:val="center"/>
          </w:tcPr>
          <w:p>
            <w:pPr>
              <w:pStyle w:val="TableContents"/>
              <w:bidi w:val="0"/>
              <w:spacing w:lineRule="atLeast" w:line="200" w:before="0" w:after="20"/>
              <w:ind w:left="0" w:right="0" w:hanging="0"/>
              <w:jc w:val="both"/>
              <w:rPr>
                <w:rFonts w:ascii="Arial;Helvetica;sans-serif" w:hAnsi="Arial;Helvetica;sans-serif"/>
                <w:sz w:val="20"/>
              </w:rPr>
            </w:pPr>
            <w:r>
              <w:rPr>
                <w:rFonts w:ascii="Arial;Helvetica;sans-serif" w:hAnsi="Arial;Helvetica;sans-serif"/>
                <w:sz w:val="20"/>
              </w:rPr>
              <w:t>Transocean 2026 AGM</w:t>
            </w:r>
          </w:p>
          <w:p>
            <w:pPr>
              <w:pStyle w:val="TableContents"/>
              <w:bidi w:val="0"/>
              <w:spacing w:lineRule="atLeast" w:line="200" w:before="0" w:after="20"/>
              <w:ind w:left="0" w:right="0" w:hanging="0"/>
              <w:jc w:val="both"/>
              <w:rPr>
                <w:rFonts w:ascii="Arial;Helvetica;sans-serif" w:hAnsi="Arial;Helvetica;sans-serif"/>
                <w:sz w:val="20"/>
              </w:rPr>
            </w:pPr>
            <w:r>
              <w:rPr>
                <w:rFonts w:ascii="Arial;Helvetica;sans-serif" w:hAnsi="Arial;Helvetica;sans-serif"/>
                <w:sz w:val="20"/>
              </w:rPr>
              <w:t>Vote Processing</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6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76" w:type="dxa"/>
            <w:vMerge w:val="continue"/>
            <w:tcBorders/>
            <w:vAlign w:val="center"/>
          </w:tcPr>
          <w:p>
            <w:pPr>
              <w:pStyle w:val="Normal"/>
              <w:bidi w:val="0"/>
              <w:jc w:val="left"/>
              <w:rPr/>
            </w:pPr>
            <w:r>
              <w:rPr/>
            </w:r>
          </w:p>
        </w:tc>
        <w:tc>
          <w:tcPr>
            <w:tcW w:w="2257" w:type="dxa"/>
            <w:tcBorders/>
            <w:vAlign w:val="center"/>
          </w:tcPr>
          <w:p>
            <w:pPr>
              <w:pStyle w:val="TableContents"/>
              <w:pBdr/>
              <w:bidi w:val="0"/>
              <w:spacing w:lineRule="auto" w:line="285" w:before="0" w:after="0"/>
              <w:ind w:left="0" w:right="0" w:hanging="0"/>
              <w:jc w:val="both"/>
              <w:rPr/>
            </w:pPr>
            <w:r>
              <w:rPr/>
              <w:t>​</w:t>
            </w:r>
          </w:p>
        </w:tc>
        <w:tc>
          <w:tcPr>
            <w:tcW w:w="2158" w:type="dxa"/>
            <w:tcBorders/>
            <w:vAlign w:val="center"/>
          </w:tcPr>
          <w:p>
            <w:pPr>
              <w:pStyle w:val="TableContents"/>
              <w:pBdr/>
              <w:bidi w:val="0"/>
              <w:spacing w:lineRule="atLeast" w:line="200" w:before="0" w:after="20"/>
              <w:ind w:left="0" w:right="0" w:hanging="0"/>
              <w:jc w:val="both"/>
              <w:rPr>
                <w:rFonts w:ascii="Arial;Helvetica;sans-serif" w:hAnsi="Arial;Helvetica;sans-serif"/>
                <w:sz w:val="20"/>
              </w:rPr>
            </w:pPr>
            <w:r>
              <w:rPr>
                <w:rFonts w:ascii="Arial;Helvetica;sans-serif" w:hAnsi="Arial;Helvetica;sans-serif"/>
                <w:sz w:val="20"/>
              </w:rPr>
              <w:t>c/o Broadridge</w:t>
            </w:r>
          </w:p>
        </w:tc>
        <w:tc>
          <w:tcPr>
            <w:tcW w:w="854" w:type="dxa"/>
            <w:vMerge w:val="continue"/>
            <w:tcBorders/>
            <w:vAlign w:val="center"/>
          </w:tcPr>
          <w:p>
            <w:pPr>
              <w:pStyle w:val="Normal"/>
              <w:bidi w:val="0"/>
              <w:jc w:val="left"/>
              <w:rPr/>
            </w:pPr>
            <w:r>
              <w:rPr/>
            </w:r>
          </w:p>
        </w:tc>
        <w:tc>
          <w:tcPr>
            <w:tcW w:w="2295"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656" w:type="dxa"/>
            <w:tcBorders/>
            <w:vAlign w:val="center"/>
          </w:tcPr>
          <w:p>
            <w:pPr>
              <w:pStyle w:val="TableContents"/>
              <w:bidi w:val="0"/>
              <w:spacing w:lineRule="atLeast" w:line="200" w:before="0" w:after="20"/>
              <w:ind w:left="0" w:right="0" w:hanging="0"/>
              <w:jc w:val="both"/>
              <w:rPr>
                <w:rFonts w:ascii="Arial;Helvetica;sans-serif" w:hAnsi="Arial;Helvetica;sans-serif"/>
                <w:sz w:val="20"/>
              </w:rPr>
            </w:pPr>
            <w:r>
              <w:rPr>
                <w:rFonts w:ascii="Arial;Helvetica;sans-serif" w:hAnsi="Arial;Helvetica;sans-serif"/>
                <w:sz w:val="20"/>
              </w:rPr>
              <w:t>c/o Schweiger Advokatur/Notariat</w:t>
            </w:r>
          </w:p>
        </w:tc>
      </w:tr>
      <w:tr>
        <w:trPr/>
        <w:tc>
          <w:tcPr>
            <w:tcW w:w="876" w:type="dxa"/>
            <w:vMerge w:val="continue"/>
            <w:tcBorders/>
            <w:vAlign w:val="center"/>
          </w:tcPr>
          <w:p>
            <w:pPr>
              <w:pStyle w:val="Normal"/>
              <w:bidi w:val="0"/>
              <w:jc w:val="left"/>
              <w:rPr/>
            </w:pPr>
            <w:r>
              <w:rPr/>
            </w:r>
          </w:p>
        </w:tc>
        <w:tc>
          <w:tcPr>
            <w:tcW w:w="2257" w:type="dxa"/>
            <w:tcBorders/>
            <w:vAlign w:val="center"/>
          </w:tcPr>
          <w:p>
            <w:pPr>
              <w:pStyle w:val="TableContents"/>
              <w:pBdr/>
              <w:bidi w:val="0"/>
              <w:spacing w:lineRule="auto" w:line="285" w:before="0" w:after="0"/>
              <w:ind w:left="0" w:right="0" w:hanging="0"/>
              <w:jc w:val="both"/>
              <w:rPr/>
            </w:pPr>
            <w:r>
              <w:rPr/>
              <w:t>​</w:t>
            </w:r>
          </w:p>
        </w:tc>
        <w:tc>
          <w:tcPr>
            <w:tcW w:w="2158" w:type="dxa"/>
            <w:tcBorders/>
            <w:vAlign w:val="center"/>
          </w:tcPr>
          <w:p>
            <w:pPr>
              <w:pStyle w:val="TableContents"/>
              <w:pBdr/>
              <w:bidi w:val="0"/>
              <w:spacing w:lineRule="atLeast" w:line="200" w:before="0" w:after="20"/>
              <w:ind w:left="0" w:right="0" w:hanging="0"/>
              <w:jc w:val="both"/>
              <w:rPr>
                <w:rFonts w:ascii="Arial;Helvetica;sans-serif" w:hAnsi="Arial;Helvetica;sans-serif"/>
                <w:sz w:val="20"/>
              </w:rPr>
            </w:pPr>
            <w:r>
              <w:rPr>
                <w:rFonts w:ascii="Arial;Helvetica;sans-serif" w:hAnsi="Arial;Helvetica;sans-serif"/>
                <w:sz w:val="20"/>
              </w:rPr>
              <w:t>51 Mercedes Way</w:t>
            </w:r>
          </w:p>
        </w:tc>
        <w:tc>
          <w:tcPr>
            <w:tcW w:w="854" w:type="dxa"/>
            <w:vMerge w:val="continue"/>
            <w:tcBorders/>
            <w:vAlign w:val="center"/>
          </w:tcPr>
          <w:p>
            <w:pPr>
              <w:pStyle w:val="Normal"/>
              <w:bidi w:val="0"/>
              <w:jc w:val="left"/>
              <w:rPr/>
            </w:pPr>
            <w:r>
              <w:rPr/>
            </w:r>
          </w:p>
        </w:tc>
        <w:tc>
          <w:tcPr>
            <w:tcW w:w="2295" w:type="dxa"/>
            <w:tcBorders/>
            <w:vAlign w:val="center"/>
          </w:tcPr>
          <w:p>
            <w:pPr>
              <w:pStyle w:val="TableContents"/>
              <w:bidi w:val="0"/>
              <w:spacing w:lineRule="atLeast" w:line="200" w:before="0" w:after="20"/>
              <w:ind w:left="0" w:right="0" w:hanging="0"/>
              <w:jc w:val="both"/>
              <w:rPr>
                <w:rFonts w:ascii="Arial;Helvetica;sans-serif" w:hAnsi="Arial;Helvetica;sans-serif"/>
                <w:sz w:val="20"/>
              </w:rPr>
            </w:pPr>
            <w:r>
              <w:rPr>
                <w:rFonts w:ascii="Arial;Helvetica;sans-serif" w:hAnsi="Arial;Helvetica;sans-serif"/>
                <w:sz w:val="20"/>
              </w:rPr>
              <w:t>or</w:t>
            </w:r>
          </w:p>
        </w:tc>
        <w:tc>
          <w:tcPr>
            <w:tcW w:w="109" w:type="dxa"/>
            <w:tcBorders/>
            <w:vAlign w:val="center"/>
          </w:tcPr>
          <w:p>
            <w:pPr>
              <w:pStyle w:val="TableContents"/>
              <w:bidi w:val="0"/>
              <w:spacing w:lineRule="auto" w:line="285" w:before="0" w:after="0"/>
              <w:ind w:left="0" w:right="0" w:hanging="0"/>
              <w:jc w:val="both"/>
              <w:rPr/>
            </w:pPr>
            <w:r>
              <w:rPr/>
              <w:t>​</w:t>
            </w:r>
          </w:p>
        </w:tc>
        <w:tc>
          <w:tcPr>
            <w:tcW w:w="1656" w:type="dxa"/>
            <w:tcBorders/>
            <w:vAlign w:val="center"/>
          </w:tcPr>
          <w:p>
            <w:pPr>
              <w:pStyle w:val="TableContents"/>
              <w:bidi w:val="0"/>
              <w:spacing w:lineRule="atLeast" w:line="200" w:before="0" w:after="20"/>
              <w:ind w:left="0" w:right="0" w:hanging="0"/>
              <w:jc w:val="both"/>
              <w:rPr>
                <w:rFonts w:ascii="Arial;Helvetica;sans-serif" w:hAnsi="Arial;Helvetica;sans-serif"/>
                <w:sz w:val="20"/>
              </w:rPr>
            </w:pPr>
            <w:r>
              <w:rPr>
                <w:rFonts w:ascii="Arial;Helvetica;sans-serif" w:hAnsi="Arial;Helvetica;sans-serif"/>
                <w:sz w:val="20"/>
              </w:rPr>
              <w:t>Dammstrasse 19</w:t>
            </w:r>
          </w:p>
        </w:tc>
      </w:tr>
      <w:tr>
        <w:trPr/>
        <w:tc>
          <w:tcPr>
            <w:tcW w:w="876" w:type="dxa"/>
            <w:vMerge w:val="continue"/>
            <w:tcBorders/>
            <w:vAlign w:val="center"/>
          </w:tcPr>
          <w:p>
            <w:pPr>
              <w:pStyle w:val="Normal"/>
              <w:bidi w:val="0"/>
              <w:jc w:val="left"/>
              <w:rPr/>
            </w:pPr>
            <w:r>
              <w:rPr/>
            </w:r>
          </w:p>
        </w:tc>
        <w:tc>
          <w:tcPr>
            <w:tcW w:w="2257" w:type="dxa"/>
            <w:tcBorders/>
            <w:vAlign w:val="center"/>
          </w:tcPr>
          <w:p>
            <w:pPr>
              <w:pStyle w:val="TableContents"/>
              <w:pBdr/>
              <w:bidi w:val="0"/>
              <w:spacing w:lineRule="auto" w:line="285" w:before="0" w:after="0"/>
              <w:ind w:left="0" w:right="0" w:hanging="0"/>
              <w:jc w:val="both"/>
              <w:rPr/>
            </w:pPr>
            <w:r>
              <w:rPr/>
              <w:t>​</w:t>
            </w:r>
          </w:p>
        </w:tc>
        <w:tc>
          <w:tcPr>
            <w:tcW w:w="2158" w:type="dxa"/>
            <w:tcBorders/>
            <w:vAlign w:val="center"/>
          </w:tcPr>
          <w:p>
            <w:pPr>
              <w:pStyle w:val="TableContents"/>
              <w:pBdr/>
              <w:bidi w:val="0"/>
              <w:spacing w:lineRule="atLeast" w:line="200" w:before="0" w:after="20"/>
              <w:ind w:left="0" w:right="0" w:hanging="0"/>
              <w:jc w:val="both"/>
              <w:rPr>
                <w:rFonts w:ascii="Arial;Helvetica;sans-serif" w:hAnsi="Arial;Helvetica;sans-serif"/>
                <w:sz w:val="20"/>
              </w:rPr>
            </w:pPr>
            <w:r>
              <w:rPr>
                <w:rFonts w:ascii="Arial;Helvetica;sans-serif" w:hAnsi="Arial;Helvetica;sans-serif"/>
                <w:sz w:val="20"/>
              </w:rPr>
              <w:t>Edgewood, NY 11717</w:t>
            </w:r>
          </w:p>
        </w:tc>
        <w:tc>
          <w:tcPr>
            <w:tcW w:w="854" w:type="dxa"/>
            <w:vMerge w:val="continue"/>
            <w:tcBorders/>
            <w:vAlign w:val="center"/>
          </w:tcPr>
          <w:p>
            <w:pPr>
              <w:pStyle w:val="Normal"/>
              <w:bidi w:val="0"/>
              <w:jc w:val="left"/>
              <w:rPr/>
            </w:pPr>
            <w:r>
              <w:rPr/>
            </w:r>
          </w:p>
        </w:tc>
        <w:tc>
          <w:tcPr>
            <w:tcW w:w="2295"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656" w:type="dxa"/>
            <w:tcBorders/>
            <w:vAlign w:val="center"/>
          </w:tcPr>
          <w:p>
            <w:pPr>
              <w:pStyle w:val="TableContents"/>
              <w:bidi w:val="0"/>
              <w:spacing w:lineRule="atLeast" w:line="200" w:before="0" w:after="20"/>
              <w:ind w:left="0" w:right="0" w:hanging="0"/>
              <w:jc w:val="both"/>
              <w:rPr>
                <w:rFonts w:ascii="Arial;Helvetica;sans-serif" w:hAnsi="Arial;Helvetica;sans-serif"/>
                <w:sz w:val="20"/>
              </w:rPr>
            </w:pPr>
            <w:r>
              <w:rPr>
                <w:rFonts w:ascii="Arial;Helvetica;sans-serif" w:hAnsi="Arial;Helvetica;sans-serif"/>
                <w:sz w:val="20"/>
              </w:rPr>
              <w:t>6300 Zug</w:t>
            </w:r>
          </w:p>
        </w:tc>
      </w:tr>
      <w:tr>
        <w:trPr/>
        <w:tc>
          <w:tcPr>
            <w:tcW w:w="876" w:type="dxa"/>
            <w:vMerge w:val="continue"/>
            <w:tcBorders/>
            <w:vAlign w:val="center"/>
          </w:tcPr>
          <w:p>
            <w:pPr>
              <w:pStyle w:val="Normal"/>
              <w:bidi w:val="0"/>
              <w:jc w:val="left"/>
              <w:rPr/>
            </w:pPr>
            <w:r>
              <w:rPr/>
            </w:r>
          </w:p>
        </w:tc>
        <w:tc>
          <w:tcPr>
            <w:tcW w:w="2257" w:type="dxa"/>
            <w:tcBorders/>
            <w:vAlign w:val="center"/>
          </w:tcPr>
          <w:p>
            <w:pPr>
              <w:pStyle w:val="TableContents"/>
              <w:pBdr/>
              <w:bidi w:val="0"/>
              <w:spacing w:lineRule="auto" w:line="285" w:before="0" w:after="0"/>
              <w:ind w:left="0" w:right="0" w:hanging="0"/>
              <w:jc w:val="both"/>
              <w:rPr/>
            </w:pPr>
            <w:r>
              <w:rPr/>
              <w:t>​</w:t>
            </w:r>
          </w:p>
        </w:tc>
        <w:tc>
          <w:tcPr>
            <w:tcW w:w="2158" w:type="dxa"/>
            <w:tcBorders/>
            <w:vAlign w:val="center"/>
          </w:tcPr>
          <w:p>
            <w:pPr>
              <w:pStyle w:val="TableContents"/>
              <w:pBdr/>
              <w:bidi w:val="0"/>
              <w:spacing w:lineRule="atLeast" w:line="200" w:before="0" w:after="0"/>
              <w:ind w:left="0" w:right="0" w:hanging="0"/>
              <w:jc w:val="both"/>
              <w:rPr>
                <w:rFonts w:ascii="Arial;Helvetica;sans-serif" w:hAnsi="Arial;Helvetica;sans-serif"/>
                <w:sz w:val="20"/>
              </w:rPr>
            </w:pPr>
            <w:r>
              <w:rPr>
                <w:rFonts w:ascii="Arial;Helvetica;sans-serif" w:hAnsi="Arial;Helvetica;sans-serif"/>
                <w:sz w:val="20"/>
              </w:rPr>
              <w:t>USA</w:t>
            </w:r>
          </w:p>
        </w:tc>
        <w:tc>
          <w:tcPr>
            <w:tcW w:w="854" w:type="dxa"/>
            <w:vMerge w:val="continue"/>
            <w:tcBorders/>
            <w:vAlign w:val="center"/>
          </w:tcPr>
          <w:p>
            <w:pPr>
              <w:pStyle w:val="Normal"/>
              <w:bidi w:val="0"/>
              <w:jc w:val="left"/>
              <w:rPr/>
            </w:pPr>
            <w:r>
              <w:rPr/>
            </w:r>
          </w:p>
        </w:tc>
        <w:tc>
          <w:tcPr>
            <w:tcW w:w="2295"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656" w:type="dxa"/>
            <w:tcBorders/>
            <w:vAlign w:val="center"/>
          </w:tcPr>
          <w:p>
            <w:pPr>
              <w:pStyle w:val="TableContents"/>
              <w:bidi w:val="0"/>
              <w:spacing w:lineRule="atLeast" w:line="200" w:before="0" w:after="0"/>
              <w:ind w:left="0" w:right="0" w:hanging="0"/>
              <w:jc w:val="both"/>
              <w:rPr>
                <w:rFonts w:ascii="Arial;Helvetica;sans-serif" w:hAnsi="Arial;Helvetica;sans-serif"/>
                <w:sz w:val="20"/>
              </w:rPr>
            </w:pPr>
            <w:r>
              <w:rPr>
                <w:rFonts w:ascii="Arial;Helvetica;sans-serif" w:hAnsi="Arial;Helvetica;sans-serif"/>
                <w:sz w:val="20"/>
              </w:rPr>
              <w:t>Switzerland</w:t>
            </w:r>
          </w:p>
        </w:tc>
      </w:tr>
      <w:tr>
        <w:trPr/>
        <w:tc>
          <w:tcPr>
            <w:tcW w:w="876" w:type="dxa"/>
            <w:tcBorders/>
            <w:vAlign w:val="center"/>
          </w:tcPr>
          <w:p>
            <w:pPr>
              <w:pStyle w:val="TableContents"/>
              <w:pBdr/>
              <w:bidi w:val="0"/>
              <w:spacing w:lineRule="auto" w:line="285" w:before="0" w:after="0"/>
              <w:ind w:left="0" w:right="0" w:hanging="0"/>
              <w:jc w:val="both"/>
              <w:rPr/>
            </w:pPr>
            <w:r>
              <w:rPr/>
              <w:t>​</w:t>
            </w:r>
          </w:p>
        </w:tc>
        <w:tc>
          <w:tcPr>
            <w:tcW w:w="2257" w:type="dxa"/>
            <w:tcBorders/>
            <w:vAlign w:val="center"/>
          </w:tcPr>
          <w:p>
            <w:pPr>
              <w:pStyle w:val="TableContents"/>
              <w:pBdr/>
              <w:bidi w:val="0"/>
              <w:spacing w:lineRule="auto" w:line="285" w:before="0" w:after="0"/>
              <w:ind w:left="0" w:right="0" w:hanging="0"/>
              <w:jc w:val="both"/>
              <w:rPr/>
            </w:pPr>
            <w:r>
              <w:rPr/>
              <w:t>​</w:t>
            </w:r>
          </w:p>
        </w:tc>
        <w:tc>
          <w:tcPr>
            <w:tcW w:w="2158" w:type="dxa"/>
            <w:tcBorders/>
            <w:vAlign w:val="center"/>
          </w:tcPr>
          <w:p>
            <w:pPr>
              <w:pStyle w:val="TableContents"/>
              <w:bidi w:val="0"/>
              <w:spacing w:lineRule="auto" w:line="285" w:before="0" w:after="0"/>
              <w:ind w:left="0" w:right="0" w:hanging="0"/>
              <w:jc w:val="center"/>
              <w:rPr/>
            </w:pPr>
            <w:r>
              <w:rPr/>
              <w:t>​</w:t>
            </w:r>
          </w:p>
        </w:tc>
        <w:tc>
          <w:tcPr>
            <w:tcW w:w="854" w:type="dxa"/>
            <w:tcBorders/>
            <w:vAlign w:val="center"/>
          </w:tcPr>
          <w:p>
            <w:pPr>
              <w:pStyle w:val="TableContents"/>
              <w:bidi w:val="0"/>
              <w:spacing w:lineRule="auto" w:line="285" w:before="0" w:after="0"/>
              <w:ind w:left="0" w:right="0" w:hanging="0"/>
              <w:jc w:val="both"/>
              <w:rPr/>
            </w:pPr>
            <w:r>
              <w:rPr/>
              <w:t>​</w:t>
            </w:r>
          </w:p>
        </w:tc>
        <w:tc>
          <w:tcPr>
            <w:tcW w:w="2295" w:type="dxa"/>
            <w:tcBorders/>
            <w:vAlign w:val="center"/>
          </w:tcPr>
          <w:p>
            <w:pPr>
              <w:pStyle w:val="TableContents"/>
              <w:bidi w:val="0"/>
              <w:spacing w:lineRule="auto" w:line="285" w:before="0" w:after="0"/>
              <w:ind w:left="0" w:right="0" w:hanging="0"/>
              <w:jc w:val="both"/>
              <w:rPr/>
            </w:pPr>
            <w:r>
              <w:rPr/>
              <w:t>​</w:t>
            </w:r>
          </w:p>
        </w:tc>
        <w:tc>
          <w:tcPr>
            <w:tcW w:w="1765"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440" w:type="dxa"/>
            <w:gridSpan w:val="5"/>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All proxy cards must be received no later than 2:00 p.m. Eastern Daylight Time on Thursday, May 21, 2026 (8:00 p.m. Swiss time on Thursday, May 21, 2026), unless extended by the Company. Do not mail the proxy card or voting instruction form if you are submitting voting instructions over the internet or by telephone.</w:t>
            </w:r>
          </w:p>
        </w:tc>
        <w:tc>
          <w:tcPr>
            <w:tcW w:w="1765"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lineRule="auto" w:line="285" w:before="0" w:after="2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tc>
      </w:tr>
      <w:tr>
        <w:trPr/>
        <w:tc>
          <w:tcPr>
            <w:tcW w:w="10205" w:type="dxa"/>
            <w:tcBorders/>
            <w:shd w:fill="F2F2F2" w:val="clear"/>
            <w:vAlign w:val="center"/>
          </w:tcPr>
          <w:p>
            <w:pPr>
              <w:pStyle w:val="TableContents"/>
              <w:bidi w:val="0"/>
              <w:spacing w:lineRule="auto" w:line="285" w:before="120" w:after="200"/>
              <w:ind w:left="0" w:right="0" w:hanging="0"/>
              <w:jc w:val="both"/>
              <w:rPr>
                <w:rFonts w:ascii="Arial;Helvetica;sans-serif" w:hAnsi="Arial;Helvetica;sans-serif"/>
                <w:b/>
                <w:color w:val="005670"/>
                <w:sz w:val="20"/>
              </w:rPr>
            </w:pPr>
            <w:r>
              <w:rPr>
                <w:rFonts w:ascii="Arial;Helvetica;sans-serif" w:hAnsi="Arial;Helvetica;sans-serif"/>
                <w:b/>
                <w:color w:val="005670"/>
                <w:sz w:val="20"/>
              </w:rPr>
              <w:t>YOUR VOTE IS IMPORTANT.</w:t>
            </w:r>
          </w:p>
          <w:p>
            <w:pPr>
              <w:pStyle w:val="TableContents"/>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We encourage you to submit your voting instructions over the internet, by telephone, or by mail prior to the meeting.</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If you hold your shares in the name of a bank, broker or other nominee, you should follow the instructions provided by your bank, broker or nominee for voting your shares, including whether you may submit voting instructions by mail, telephone or over the internet.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Many of our shareholders hold their shares in more than one account and may receive more than one Notice. To ensure that all of your shares are represented at the 2026 Annual General Meeting, please submit your voting instructions for each account.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Under NYSE rules, brokers who hold shares in street name for customers, such that the shares are registered on the books of the Company as being held by the brokers, have the authority to vote on “routine” proposals when they have not received instructions from beneficial owners, but are precluded from exercising their voting discretion with respect to proposals for “non-routine” matters. Proxies submitted by brokers without instructions from customers for these non-routine or contested matters are referred to as “broker non-votes.” The following matters are non-routine matters under NYSE rules:</w:t>
      </w:r>
    </w:p>
    <w:tbl>
      <w:tblPr>
        <w:tblW w:w="10205" w:type="dxa"/>
        <w:jc w:val="left"/>
        <w:tblInd w:w="0" w:type="dxa"/>
        <w:tblLayout w:type="fixed"/>
        <w:tblCellMar>
          <w:top w:w="0" w:type="dxa"/>
          <w:left w:w="0" w:type="dxa"/>
          <w:bottom w:w="0" w:type="dxa"/>
          <w:right w:w="0" w:type="dxa"/>
        </w:tblCellMar>
      </w:tblPr>
      <w:tblGrid>
        <w:gridCol w:w="1151"/>
        <w:gridCol w:w="109"/>
        <w:gridCol w:w="8945"/>
      </w:tblGrid>
      <w:tr>
        <w:trPr/>
        <w:tc>
          <w:tcPr>
            <w:tcW w:w="1151"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8945" w:type="dxa"/>
            <w:tcBorders/>
            <w:vAlign w:val="center"/>
          </w:tcPr>
          <w:p>
            <w:pPr>
              <w:pStyle w:val="TableContents"/>
              <w:bidi w:val="0"/>
              <w:spacing w:lineRule="auto" w:line="285" w:before="0" w:after="0"/>
              <w:ind w:left="0" w:right="0" w:hanging="0"/>
              <w:jc w:val="both"/>
              <w:rPr/>
            </w:pPr>
            <w:r>
              <w:rPr/>
              <w:t>​</w:t>
            </w:r>
          </w:p>
        </w:tc>
      </w:tr>
      <w:tr>
        <w:trPr/>
        <w:tc>
          <w:tcPr>
            <w:tcW w:w="1151"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8"/>
              </w:rPr>
            </w:pPr>
            <w:r>
              <w:rPr>
                <w:rFonts w:ascii="Arial;Helvetica;sans-serif" w:hAnsi="Arial;Helvetica;sans-serif"/>
                <w:b/>
                <w:color w:val="4B4F54"/>
                <w:sz w:val="18"/>
              </w:rPr>
              <w:t>AGENDA ITEM</w:t>
            </w:r>
          </w:p>
        </w:tc>
        <w:tc>
          <w:tcPr>
            <w:tcW w:w="109" w:type="dxa"/>
            <w:tcBorders/>
            <w:vAlign w:val="center"/>
          </w:tcPr>
          <w:p>
            <w:pPr>
              <w:pStyle w:val="TableContents"/>
              <w:bidi w:val="0"/>
              <w:spacing w:lineRule="auto" w:line="285" w:before="0" w:after="0"/>
              <w:ind w:left="0" w:right="0" w:hanging="0"/>
              <w:jc w:val="both"/>
              <w:rPr/>
            </w:pPr>
            <w:r>
              <w:rPr/>
              <w:t>​</w:t>
            </w:r>
          </w:p>
        </w:tc>
        <w:tc>
          <w:tcPr>
            <w:tcW w:w="8945"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8"/>
              </w:rPr>
            </w:pPr>
            <w:r>
              <w:rPr>
                <w:rFonts w:ascii="Arial;Helvetica;sans-serif" w:hAnsi="Arial;Helvetica;sans-serif"/>
                <w:b/>
                <w:color w:val="4B4F54"/>
                <w:sz w:val="18"/>
              </w:rPr>
              <w:t>DESCRIPTION</w:t>
            </w:r>
          </w:p>
        </w:tc>
      </w:tr>
      <w:tr>
        <w:trPr/>
        <w:tc>
          <w:tcPr>
            <w:tcW w:w="1151" w:type="dxa"/>
            <w:tcBorders>
              <w:top w:val="single" w:sz="12" w:space="0" w:color="ECA44A"/>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rFonts w:ascii="Arial;Helvetica;sans-serif" w:hAnsi="Arial;Helvetica;sans-serif"/>
                <w:b/>
                <w:color w:val="005670"/>
                <w:sz w:val="28"/>
              </w:rPr>
            </w:pPr>
            <w:r>
              <w:rPr>
                <w:rFonts w:ascii="Arial;Helvetica;sans-serif" w:hAnsi="Arial;Helvetica;sans-serif"/>
                <w:b/>
                <w:color w:val="005670"/>
                <w:sz w:val="28"/>
              </w:rPr>
              <w:t>1B</w:t>
            </w:r>
          </w:p>
        </w:tc>
        <w:tc>
          <w:tcPr>
            <w:tcW w:w="109" w:type="dxa"/>
            <w:tcBorders>
              <w:bottom w:val="single" w:sz="2" w:space="0" w:color="D9D9D9"/>
            </w:tcBorders>
            <w:tcMar>
              <w:bottom w:w="28" w:type="dxa"/>
            </w:tcMar>
            <w:vAlign w:val="center"/>
          </w:tcPr>
          <w:p>
            <w:pPr>
              <w:pStyle w:val="TableContents"/>
              <w:bidi w:val="0"/>
              <w:spacing w:lineRule="auto" w:line="285" w:before="120" w:after="0"/>
              <w:ind w:left="0" w:right="0" w:hanging="0"/>
              <w:jc w:val="both"/>
              <w:rPr/>
            </w:pPr>
            <w:r>
              <w:rPr/>
              <w:t>​</w:t>
            </w:r>
          </w:p>
        </w:tc>
        <w:tc>
          <w:tcPr>
            <w:tcW w:w="8945" w:type="dxa"/>
            <w:tcBorders>
              <w:top w:val="single" w:sz="12" w:space="0" w:color="ECA44A"/>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rFonts w:ascii="Arial;Helvetica;sans-serif" w:hAnsi="Arial;Helvetica;sans-serif"/>
                <w:sz w:val="19"/>
              </w:rPr>
            </w:pPr>
            <w:r>
              <w:rPr>
                <w:rFonts w:ascii="Arial;Helvetica;sans-serif" w:hAnsi="Arial;Helvetica;sans-serif"/>
                <w:sz w:val="19"/>
              </w:rPr>
              <w:t>Advisory Vote to Approve the Swiss Statutory Compensation Report for Fiscal Year 2025</w:t>
            </w:r>
          </w:p>
        </w:tc>
      </w:tr>
      <w:tr>
        <w:trPr/>
        <w:tc>
          <w:tcPr>
            <w:tcW w:w="115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rFonts w:ascii="Arial;Helvetica;sans-serif" w:hAnsi="Arial;Helvetica;sans-serif"/>
                <w:b/>
                <w:color w:val="005670"/>
                <w:sz w:val="28"/>
              </w:rPr>
            </w:pPr>
            <w:r>
              <w:rPr>
                <w:rFonts w:ascii="Arial;Helvetica;sans-serif" w:hAnsi="Arial;Helvetica;sans-serif"/>
                <w:b/>
                <w:color w:val="005670"/>
                <w:sz w:val="28"/>
              </w:rPr>
              <w:t>2</w:t>
            </w:r>
          </w:p>
        </w:tc>
        <w:tc>
          <w:tcPr>
            <w:tcW w:w="10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894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80" w:after="80"/>
              <w:ind w:left="0" w:right="0" w:hanging="0"/>
              <w:jc w:val="both"/>
              <w:rPr>
                <w:rFonts w:ascii="Arial;Helvetica;sans-serif" w:hAnsi="Arial;Helvetica;sans-serif"/>
                <w:sz w:val="19"/>
              </w:rPr>
            </w:pPr>
            <w:r>
              <w:rPr>
                <w:rFonts w:ascii="Arial;Helvetica;sans-serif" w:hAnsi="Arial;Helvetica;sans-serif"/>
                <w:sz w:val="19"/>
              </w:rPr>
              <w:t>Discharge of the Members of the Board of Directors and the Executive Management Team from Liability for Activities During Fiscal Year 2025</w:t>
            </w:r>
          </w:p>
        </w:tc>
      </w:tr>
      <w:tr>
        <w:trPr/>
        <w:tc>
          <w:tcPr>
            <w:tcW w:w="115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rFonts w:ascii="Arial;Helvetica;sans-serif" w:hAnsi="Arial;Helvetica;sans-serif"/>
                <w:b/>
                <w:color w:val="005670"/>
                <w:sz w:val="28"/>
              </w:rPr>
            </w:pPr>
            <w:r>
              <w:rPr>
                <w:rFonts w:ascii="Arial;Helvetica;sans-serif" w:hAnsi="Arial;Helvetica;sans-serif"/>
                <w:b/>
                <w:color w:val="005670"/>
                <w:sz w:val="28"/>
              </w:rPr>
              <w:t>5</w:t>
            </w:r>
          </w:p>
        </w:tc>
        <w:tc>
          <w:tcPr>
            <w:tcW w:w="10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894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rFonts w:ascii="Arial;Helvetica;sans-serif" w:hAnsi="Arial;Helvetica;sans-serif"/>
                <w:sz w:val="19"/>
              </w:rPr>
            </w:pPr>
            <w:r>
              <w:rPr>
                <w:rFonts w:ascii="Arial;Helvetica;sans-serif" w:hAnsi="Arial;Helvetica;sans-serif"/>
                <w:sz w:val="19"/>
              </w:rPr>
              <w:t>Election of 11 Directors, Each for a Term Extending Until Completion of the Next Annual General Meeting</w:t>
            </w:r>
          </w:p>
        </w:tc>
      </w:tr>
      <w:tr>
        <w:trPr/>
        <w:tc>
          <w:tcPr>
            <w:tcW w:w="115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rFonts w:ascii="Arial;Helvetica;sans-serif" w:hAnsi="Arial;Helvetica;sans-serif"/>
                <w:b/>
                <w:color w:val="005670"/>
                <w:sz w:val="28"/>
              </w:rPr>
            </w:pPr>
            <w:r>
              <w:rPr>
                <w:rFonts w:ascii="Arial;Helvetica;sans-serif" w:hAnsi="Arial;Helvetica;sans-serif"/>
                <w:b/>
                <w:color w:val="005670"/>
                <w:sz w:val="28"/>
              </w:rPr>
              <w:t>6</w:t>
            </w:r>
          </w:p>
        </w:tc>
        <w:tc>
          <w:tcPr>
            <w:tcW w:w="10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894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rFonts w:ascii="Arial;Helvetica;sans-serif" w:hAnsi="Arial;Helvetica;sans-serif"/>
                <w:sz w:val="19"/>
              </w:rPr>
            </w:pPr>
            <w:r>
              <w:rPr>
                <w:rFonts w:ascii="Arial;Helvetica;sans-serif" w:hAnsi="Arial;Helvetica;sans-serif"/>
                <w:sz w:val="19"/>
              </w:rPr>
              <w:t>Election of the Chair of the Board of Directors for a Term Extending Until Completion of the Next Annual General Meeting</w:t>
            </w:r>
          </w:p>
        </w:tc>
      </w:tr>
      <w:tr>
        <w:trPr/>
        <w:tc>
          <w:tcPr>
            <w:tcW w:w="115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rFonts w:ascii="Arial;Helvetica;sans-serif" w:hAnsi="Arial;Helvetica;sans-serif"/>
                <w:b/>
                <w:color w:val="005670"/>
                <w:sz w:val="28"/>
              </w:rPr>
            </w:pPr>
            <w:r>
              <w:rPr>
                <w:rFonts w:ascii="Arial;Helvetica;sans-serif" w:hAnsi="Arial;Helvetica;sans-serif"/>
                <w:b/>
                <w:color w:val="005670"/>
                <w:sz w:val="28"/>
              </w:rPr>
              <w:t>7</w:t>
            </w:r>
          </w:p>
        </w:tc>
        <w:tc>
          <w:tcPr>
            <w:tcW w:w="10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894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rFonts w:ascii="Arial;Helvetica;sans-serif" w:hAnsi="Arial;Helvetica;sans-serif"/>
                <w:sz w:val="19"/>
              </w:rPr>
            </w:pPr>
            <w:r>
              <w:rPr>
                <w:rFonts w:ascii="Arial;Helvetica;sans-serif" w:hAnsi="Arial;Helvetica;sans-serif"/>
                <w:sz w:val="19"/>
              </w:rPr>
              <w:t>Election of the Members of the Compensation Committee, Each for a Term Extending Until Completion of the Next Annual General Meeting</w:t>
            </w:r>
          </w:p>
        </w:tc>
      </w:tr>
      <w:tr>
        <w:trPr/>
        <w:tc>
          <w:tcPr>
            <w:tcW w:w="115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rFonts w:ascii="Arial;Helvetica;sans-serif" w:hAnsi="Arial;Helvetica;sans-serif"/>
                <w:b/>
                <w:color w:val="005670"/>
                <w:sz w:val="28"/>
              </w:rPr>
            </w:pPr>
            <w:r>
              <w:rPr>
                <w:rFonts w:ascii="Arial;Helvetica;sans-serif" w:hAnsi="Arial;Helvetica;sans-serif"/>
                <w:b/>
                <w:color w:val="005670"/>
                <w:sz w:val="28"/>
              </w:rPr>
              <w:t>10</w:t>
            </w:r>
          </w:p>
        </w:tc>
        <w:tc>
          <w:tcPr>
            <w:tcW w:w="10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894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rFonts w:ascii="Arial;Helvetica;sans-serif" w:hAnsi="Arial;Helvetica;sans-serif"/>
                <w:sz w:val="19"/>
              </w:rPr>
            </w:pPr>
            <w:r>
              <w:rPr>
                <w:rFonts w:ascii="Arial;Helvetica;sans-serif" w:hAnsi="Arial;Helvetica;sans-serif"/>
                <w:sz w:val="19"/>
              </w:rPr>
              <w:t>Advisory Vote to Approve Named Executive Officer Compensation for Fiscal Year 2026</w:t>
            </w:r>
          </w:p>
        </w:tc>
      </w:tr>
      <w:tr>
        <w:trPr/>
        <w:tc>
          <w:tcPr>
            <w:tcW w:w="115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rFonts w:ascii="Arial;Helvetica;sans-serif" w:hAnsi="Arial;Helvetica;sans-serif"/>
                <w:b/>
                <w:color w:val="005670"/>
                <w:sz w:val="28"/>
              </w:rPr>
            </w:pPr>
            <w:r>
              <w:rPr>
                <w:rFonts w:ascii="Arial;Helvetica;sans-serif" w:hAnsi="Arial;Helvetica;sans-serif"/>
                <w:b/>
                <w:color w:val="005670"/>
                <w:sz w:val="28"/>
              </w:rPr>
              <w:t>11A</w:t>
            </w:r>
          </w:p>
        </w:tc>
        <w:tc>
          <w:tcPr>
            <w:tcW w:w="10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894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80" w:after="80"/>
              <w:ind w:left="0" w:right="0" w:hanging="0"/>
              <w:jc w:val="both"/>
              <w:rPr>
                <w:rFonts w:ascii="Arial;Helvetica;sans-serif" w:hAnsi="Arial;Helvetica;sans-serif"/>
                <w:sz w:val="19"/>
              </w:rPr>
            </w:pPr>
            <w:r>
              <w:rPr>
                <w:rFonts w:ascii="Arial;Helvetica;sans-serif" w:hAnsi="Arial;Helvetica;sans-serif"/>
                <w:sz w:val="19"/>
              </w:rPr>
              <w:t>Ratification of the Maximum Aggregate Amount of Compensation of the Board of Directors for the Period Between the 2026 Annual General Meeting and the 2027 Annual General Meeting</w:t>
            </w:r>
          </w:p>
        </w:tc>
      </w:tr>
      <w:tr>
        <w:trPr/>
        <w:tc>
          <w:tcPr>
            <w:tcW w:w="115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rFonts w:ascii="Arial;Helvetica;sans-serif" w:hAnsi="Arial;Helvetica;sans-serif"/>
                <w:b/>
                <w:color w:val="005670"/>
                <w:sz w:val="28"/>
              </w:rPr>
            </w:pPr>
            <w:r>
              <w:rPr>
                <w:rFonts w:ascii="Arial;Helvetica;sans-serif" w:hAnsi="Arial;Helvetica;sans-serif"/>
                <w:b/>
                <w:color w:val="005670"/>
                <w:sz w:val="28"/>
              </w:rPr>
              <w:t>11B</w:t>
            </w:r>
          </w:p>
        </w:tc>
        <w:tc>
          <w:tcPr>
            <w:tcW w:w="10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8945"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80" w:after="80"/>
              <w:ind w:left="0" w:right="0" w:hanging="0"/>
              <w:jc w:val="both"/>
              <w:rPr>
                <w:rFonts w:ascii="Arial;Helvetica;sans-serif" w:hAnsi="Arial;Helvetica;sans-serif"/>
                <w:sz w:val="19"/>
              </w:rPr>
            </w:pPr>
            <w:r>
              <w:rPr>
                <w:rFonts w:ascii="Arial;Helvetica;sans-serif" w:hAnsi="Arial;Helvetica;sans-serif"/>
                <w:sz w:val="19"/>
              </w:rPr>
              <w:t>Ratification of the Maximum Aggregate Amount of Compensation of the Executive Management Team for Fiscal Year 2027</w:t>
            </w:r>
          </w:p>
        </w:tc>
      </w:tr>
    </w:tbl>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P-19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7175" w:type="dxa"/>
        <w:jc w:val="left"/>
        <w:tblInd w:w="0" w:type="dxa"/>
        <w:tblLayout w:type="fixed"/>
        <w:tblCellMar>
          <w:top w:w="0" w:type="dxa"/>
          <w:left w:w="0" w:type="dxa"/>
          <w:bottom w:w="0" w:type="dxa"/>
          <w:right w:w="0" w:type="dxa"/>
        </w:tblCellMar>
      </w:tblPr>
      <w:tblGrid>
        <w:gridCol w:w="7021"/>
        <w:gridCol w:w="154"/>
      </w:tblGrid>
      <w:tr>
        <w:trPr/>
        <w:tc>
          <w:tcPr>
            <w:tcW w:w="7021"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7021" w:type="dxa"/>
            <w:tcBorders>
              <w:top w:val="single" w:sz="2" w:space="0" w:color="000000"/>
              <w:left w:val="single" w:sz="2" w:space="0" w:color="000000"/>
              <w:bottom w:val="single" w:sz="12" w:space="0" w:color="D9D9D9"/>
            </w:tcBorders>
            <w:shd w:fill="005670" w:val="clear"/>
            <w:tcMar>
              <w:top w:w="28" w:type="dxa"/>
              <w:left w:w="103" w:type="dxa"/>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PROXY STATEMENT | INFORMATION ABOUT THE MEETING AND VOTING</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If you hold your shares in “street name,” your broker will not be able to vote your shares on the agenda items set forth above and may not be able to vote your shares on other matters at the 2026 Annual General Meeting unless the broker receives appropriate instructions from you. We recommend that you contact your broker to exercise your right to vote your shares.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If you have timely submitted electronic or telephonic voting instructions or a properly executed proxy card, your shares will be voted by the independent proxy according to your instructions. Holders of shares who have timely submitted their proxy but have not specifically indicated how to vote their shares will be deemed to have instructed the independent proxy to vote in accordance with the recommendations of the Board of Directors with regard to the items listed in the notice of meeting.</w:t>
      </w:r>
    </w:p>
    <w:p>
      <w:pPr>
        <w:pStyle w:val="TextBody"/>
        <w:bidi w:val="0"/>
        <w:spacing w:lineRule="auto" w:line="285" w:before="0" w:after="200"/>
        <w:ind w:left="0" w:right="0" w:hanging="0"/>
        <w:jc w:val="both"/>
        <w:rPr>
          <w:rFonts w:ascii="Arial;Helvetica;sans-serif" w:hAnsi="Arial;Helvetica;sans-serif"/>
          <w:b/>
          <w:sz w:val="20"/>
        </w:rPr>
      </w:pPr>
      <w:r>
        <w:rPr>
          <w:rFonts w:ascii="Arial;Helvetica;sans-serif" w:hAnsi="Arial;Helvetica;sans-serif"/>
          <w:b/>
          <w:sz w:val="20"/>
        </w:rPr>
        <w:t>If any modifications to agenda items or proposals identified in this invitation or other matters on which voting is permissible under Swiss law are properly presented at the 2026 Annual General Meeting for consideration, you will be deemed to have instructed the independent proxy, in the absence of other specific instructions, to vote in accordance with the recommendations of the Board of Directors.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As of the date of this proxy statement, the Board of Directors is not aware of any such modifications or other matters to come before the 2026 Annual General Meeting.</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You may revoke your proxy card at any time prior to its exercise by taking one of the following actions: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submitting a properly completed and executed proxy card with a later date and timely delivering it either directly to the independent</w:t>
            </w:r>
            <w:r>
              <w:rPr>
                <w:caps w:val="false"/>
                <w:smallCaps w:val="false"/>
              </w:rPr>
              <w:t xml:space="preserve"> </w:t>
            </w:r>
            <w:r>
              <w:rPr>
                <w:rFonts w:ascii="Arial;Helvetica;sans-serif" w:hAnsi="Arial;Helvetica;sans-serif"/>
                <w:b w:val="false"/>
                <w:i w:val="false"/>
                <w:caps w:val="false"/>
                <w:smallCaps w:val="false"/>
                <w:sz w:val="20"/>
              </w:rPr>
              <w:t>proxy or to Vote Processing, c/o Broadridge at the addresses indicated below; or</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5416"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giving written notice</w:t>
            </w:r>
            <w:r>
              <w:rPr>
                <w:caps w:val="false"/>
                <w:smallCaps w:val="false"/>
              </w:rPr>
              <w:t xml:space="preserve"> </w:t>
            </w:r>
            <w:r>
              <w:rPr>
                <w:rFonts w:ascii="Arial;Helvetica;sans-serif" w:hAnsi="Arial;Helvetica;sans-serif"/>
                <w:b w:val="false"/>
                <w:i w:val="false"/>
                <w:caps w:val="false"/>
                <w:smallCaps w:val="false"/>
                <w:sz w:val="20"/>
              </w:rPr>
              <w:t>of the revocation prior to the meeting to:</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95"/>
        <w:gridCol w:w="2037"/>
        <w:gridCol w:w="1911"/>
        <w:gridCol w:w="580"/>
        <w:gridCol w:w="2040"/>
        <w:gridCol w:w="109"/>
        <w:gridCol w:w="2933"/>
      </w:tblGrid>
      <w:tr>
        <w:trPr/>
        <w:tc>
          <w:tcPr>
            <w:tcW w:w="595" w:type="dxa"/>
            <w:tcBorders/>
            <w:vAlign w:val="center"/>
          </w:tcPr>
          <w:p>
            <w:pPr>
              <w:pStyle w:val="TableContents"/>
              <w:pBdr/>
              <w:bidi w:val="0"/>
              <w:spacing w:lineRule="auto" w:line="285" w:before="0" w:after="0"/>
              <w:ind w:left="0" w:right="0" w:hanging="0"/>
              <w:jc w:val="both"/>
              <w:rPr/>
            </w:pPr>
            <w:r>
              <w:rPr/>
              <w:t>​</w:t>
            </w:r>
          </w:p>
        </w:tc>
        <w:tc>
          <w:tcPr>
            <w:tcW w:w="2037" w:type="dxa"/>
            <w:tcBorders/>
            <w:vAlign w:val="center"/>
          </w:tcPr>
          <w:p>
            <w:pPr>
              <w:pStyle w:val="TableContents"/>
              <w:pBdr/>
              <w:bidi w:val="0"/>
              <w:spacing w:lineRule="auto" w:line="285" w:before="0" w:after="0"/>
              <w:ind w:left="0" w:right="0" w:hanging="200"/>
              <w:jc w:val="both"/>
              <w:rPr/>
            </w:pPr>
            <w:r>
              <w:rPr/>
              <w:t>​</w:t>
            </w:r>
          </w:p>
          <w:p>
            <w:pPr>
              <w:pStyle w:val="TableContents"/>
              <w:bidi w:val="0"/>
              <w:spacing w:lineRule="auto" w:line="285" w:before="0" w:after="0"/>
              <w:ind w:left="0" w:right="0" w:hanging="0"/>
              <w:jc w:val="both"/>
              <w:rPr/>
            </w:pPr>
            <w:r>
              <w:rPr/>
              <w:t>​</w:t>
            </w:r>
          </w:p>
        </w:tc>
        <w:tc>
          <w:tcPr>
            <w:tcW w:w="1911" w:type="dxa"/>
            <w:tcBorders/>
            <w:vAlign w:val="center"/>
          </w:tcPr>
          <w:p>
            <w:pPr>
              <w:pStyle w:val="TableContents"/>
              <w:bidi w:val="0"/>
              <w:spacing w:lineRule="auto" w:line="285" w:before="0" w:after="0"/>
              <w:ind w:left="0" w:right="0" w:hanging="0"/>
              <w:jc w:val="both"/>
              <w:rPr/>
            </w:pPr>
            <w:r>
              <w:rPr/>
              <w:t>​</w:t>
            </w:r>
          </w:p>
        </w:tc>
        <w:tc>
          <w:tcPr>
            <w:tcW w:w="580" w:type="dxa"/>
            <w:tcBorders/>
            <w:vAlign w:val="center"/>
          </w:tcPr>
          <w:p>
            <w:pPr>
              <w:pStyle w:val="TableContents"/>
              <w:bidi w:val="0"/>
              <w:spacing w:lineRule="auto" w:line="285" w:before="0" w:after="0"/>
              <w:ind w:left="0" w:right="0" w:hanging="0"/>
              <w:jc w:val="both"/>
              <w:rPr/>
            </w:pPr>
            <w:r>
              <w:rPr/>
              <w:t>​</w:t>
            </w:r>
          </w:p>
        </w:tc>
        <w:tc>
          <w:tcPr>
            <w:tcW w:w="2040" w:type="dxa"/>
            <w:tcBorders/>
            <w:vAlign w:val="center"/>
          </w:tcPr>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293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95" w:type="dxa"/>
            <w:vMerge w:val="restart"/>
            <w:tcBorders/>
            <w:vAlign w:val="center"/>
          </w:tcPr>
          <w:p>
            <w:pPr>
              <w:pStyle w:val="TableContents"/>
              <w:pBdr/>
              <w:bidi w:val="0"/>
              <w:spacing w:lineRule="auto" w:line="285" w:before="0" w:after="0"/>
              <w:ind w:left="0" w:right="0" w:hanging="0"/>
              <w:jc w:val="both"/>
              <w:rPr>
                <w:caps w:val="false"/>
                <w:smallCaps w:val="false"/>
                <w:color w:val="000000"/>
              </w:rPr>
            </w:pPr>
            <w:r>
              <w:rPr>
                <w:caps w:val="false"/>
                <w:smallCaps w:val="false"/>
                <w:color w:val="000000"/>
              </w:rPr>
              <w:drawing>
                <wp:inline distT="0" distB="0" distL="0" distR="0">
                  <wp:extent cx="313690" cy="301625"/>
                  <wp:effectExtent l="0" t="0" r="0" b="0"/>
                  <wp:docPr id="9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8" descr=""/>
                          <pic:cNvPicPr>
                            <a:picLocks noChangeAspect="1" noChangeArrowheads="1"/>
                          </pic:cNvPicPr>
                        </pic:nvPicPr>
                        <pic:blipFill>
                          <a:blip r:embed="rId69"/>
                          <a:stretch>
                            <a:fillRect/>
                          </a:stretch>
                        </pic:blipFill>
                        <pic:spPr bwMode="auto">
                          <a:xfrm>
                            <a:off x="0" y="0"/>
                            <a:ext cx="313690" cy="301625"/>
                          </a:xfrm>
                          <a:prstGeom prst="rect">
                            <a:avLst/>
                          </a:prstGeom>
                        </pic:spPr>
                      </pic:pic>
                    </a:graphicData>
                  </a:graphic>
                </wp:inline>
              </w:drawing>
            </w:r>
          </w:p>
        </w:tc>
        <w:tc>
          <w:tcPr>
            <w:tcW w:w="2037" w:type="dxa"/>
            <w:tcBorders/>
            <w:vAlign w:val="center"/>
          </w:tcPr>
          <w:p>
            <w:pPr>
              <w:pStyle w:val="TableContents"/>
              <w:pBdr/>
              <w:bidi w:val="0"/>
              <w:spacing w:lineRule="auto" w:line="285" w:before="0" w:after="0"/>
              <w:ind w:left="0" w:right="0" w:hanging="200"/>
              <w:jc w:val="both"/>
              <w:rPr>
                <w:rFonts w:ascii="Arial;Helvetica;sans-serif" w:hAnsi="Arial;Helvetica;sans-serif"/>
                <w:sz w:val="20"/>
              </w:rPr>
            </w:pPr>
            <w:r>
              <w:rPr>
                <w:rFonts w:ascii="Arial;Helvetica;sans-serif" w:hAnsi="Arial;Helvetica;sans-serif"/>
                <w:sz w:val="20"/>
              </w:rPr>
              <w:t>Transocean 2026 AGM</w:t>
            </w:r>
          </w:p>
          <w:p>
            <w:pPr>
              <w:pStyle w:val="TableContents"/>
              <w:pBdr/>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Vote Processing</w:t>
            </w:r>
          </w:p>
        </w:tc>
        <w:tc>
          <w:tcPr>
            <w:tcW w:w="1911" w:type="dxa"/>
            <w:tcBorders/>
            <w:vAlign w:val="center"/>
          </w:tcPr>
          <w:p>
            <w:pPr>
              <w:pStyle w:val="TableContents"/>
              <w:bidi w:val="0"/>
              <w:spacing w:lineRule="auto" w:line="285" w:before="0" w:after="0"/>
              <w:ind w:left="0" w:right="0" w:hanging="0"/>
              <w:jc w:val="center"/>
              <w:rPr/>
            </w:pPr>
            <w:r>
              <w:rPr/>
              <w:t>​</w:t>
            </w:r>
          </w:p>
        </w:tc>
        <w:tc>
          <w:tcPr>
            <w:tcW w:w="580" w:type="dxa"/>
            <w:vMerge w:val="restart"/>
            <w:tcBorders/>
            <w:vAlign w:val="center"/>
          </w:tcPr>
          <w:p>
            <w:pPr>
              <w:pStyle w:val="TableContents"/>
              <w:bidi w:val="0"/>
              <w:spacing w:lineRule="auto" w:line="285" w:before="0" w:after="0"/>
              <w:ind w:left="0" w:right="0" w:hanging="0"/>
              <w:jc w:val="both"/>
              <w:rPr>
                <w:caps w:val="false"/>
                <w:smallCaps w:val="false"/>
                <w:color w:val="000000"/>
              </w:rPr>
            </w:pPr>
            <w:r>
              <w:rPr>
                <w:caps w:val="false"/>
                <w:smallCaps w:val="false"/>
                <w:color w:val="000000"/>
              </w:rPr>
              <w:drawing>
                <wp:inline distT="0" distB="0" distL="0" distR="0">
                  <wp:extent cx="313690" cy="301625"/>
                  <wp:effectExtent l="0" t="0" r="0" b="0"/>
                  <wp:docPr id="9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9" descr=""/>
                          <pic:cNvPicPr>
                            <a:picLocks noChangeAspect="1" noChangeArrowheads="1"/>
                          </pic:cNvPicPr>
                        </pic:nvPicPr>
                        <pic:blipFill>
                          <a:blip r:embed="rId70"/>
                          <a:stretch>
                            <a:fillRect/>
                          </a:stretch>
                        </pic:blipFill>
                        <pic:spPr bwMode="auto">
                          <a:xfrm>
                            <a:off x="0" y="0"/>
                            <a:ext cx="313690" cy="301625"/>
                          </a:xfrm>
                          <a:prstGeom prst="rect">
                            <a:avLst/>
                          </a:prstGeom>
                        </pic:spPr>
                      </pic:pic>
                    </a:graphicData>
                  </a:graphic>
                </wp:inline>
              </w:drawing>
            </w:r>
          </w:p>
        </w:tc>
        <w:tc>
          <w:tcPr>
            <w:tcW w:w="2040"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Transocean 2026 AGM</w:t>
            </w:r>
          </w:p>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Vote Processing</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293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95" w:type="dxa"/>
            <w:vMerge w:val="continue"/>
            <w:tcBorders/>
            <w:vAlign w:val="center"/>
          </w:tcPr>
          <w:p>
            <w:pPr>
              <w:pStyle w:val="Normal"/>
              <w:bidi w:val="0"/>
              <w:jc w:val="left"/>
              <w:rPr/>
            </w:pPr>
            <w:r>
              <w:rPr/>
            </w:r>
          </w:p>
        </w:tc>
        <w:tc>
          <w:tcPr>
            <w:tcW w:w="2037" w:type="dxa"/>
            <w:tcBorders/>
            <w:vAlign w:val="center"/>
          </w:tcPr>
          <w:p>
            <w:pPr>
              <w:pStyle w:val="TableContents"/>
              <w:pBdr/>
              <w:bidi w:val="0"/>
              <w:spacing w:lineRule="auto" w:line="285" w:before="0" w:after="0"/>
              <w:ind w:left="0" w:right="0" w:hanging="0"/>
              <w:jc w:val="both"/>
              <w:rPr/>
            </w:pPr>
            <w:r>
              <w:rPr/>
              <w:t>​</w:t>
            </w:r>
          </w:p>
        </w:tc>
        <w:tc>
          <w:tcPr>
            <w:tcW w:w="1911" w:type="dxa"/>
            <w:tcBorders/>
            <w:vAlign w:val="center"/>
          </w:tcPr>
          <w:p>
            <w:pPr>
              <w:pStyle w:val="TableContents"/>
              <w:pBdr/>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c/o Broadridge</w:t>
            </w:r>
          </w:p>
        </w:tc>
        <w:tc>
          <w:tcPr>
            <w:tcW w:w="580" w:type="dxa"/>
            <w:vMerge w:val="continue"/>
            <w:tcBorders/>
            <w:vAlign w:val="center"/>
          </w:tcPr>
          <w:p>
            <w:pPr>
              <w:pStyle w:val="Normal"/>
              <w:bidi w:val="0"/>
              <w:jc w:val="left"/>
              <w:rPr/>
            </w:pPr>
            <w:r>
              <w:rPr/>
            </w:r>
          </w:p>
        </w:tc>
        <w:tc>
          <w:tcPr>
            <w:tcW w:w="2040"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2933"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c/o Schweiger Advokatur/Notariat</w:t>
            </w:r>
          </w:p>
        </w:tc>
      </w:tr>
      <w:tr>
        <w:trPr/>
        <w:tc>
          <w:tcPr>
            <w:tcW w:w="595" w:type="dxa"/>
            <w:vMerge w:val="continue"/>
            <w:tcBorders/>
            <w:vAlign w:val="center"/>
          </w:tcPr>
          <w:p>
            <w:pPr>
              <w:pStyle w:val="Normal"/>
              <w:bidi w:val="0"/>
              <w:jc w:val="left"/>
              <w:rPr/>
            </w:pPr>
            <w:r>
              <w:rPr/>
            </w:r>
          </w:p>
        </w:tc>
        <w:tc>
          <w:tcPr>
            <w:tcW w:w="2037" w:type="dxa"/>
            <w:tcBorders/>
            <w:vAlign w:val="center"/>
          </w:tcPr>
          <w:p>
            <w:pPr>
              <w:pStyle w:val="TableContents"/>
              <w:pBdr/>
              <w:bidi w:val="0"/>
              <w:spacing w:lineRule="auto" w:line="285" w:before="0" w:after="0"/>
              <w:ind w:left="0" w:right="0" w:hanging="0"/>
              <w:jc w:val="both"/>
              <w:rPr/>
            </w:pPr>
            <w:r>
              <w:rPr/>
              <w:t>​</w:t>
            </w:r>
          </w:p>
        </w:tc>
        <w:tc>
          <w:tcPr>
            <w:tcW w:w="1911" w:type="dxa"/>
            <w:tcBorders/>
            <w:vAlign w:val="center"/>
          </w:tcPr>
          <w:p>
            <w:pPr>
              <w:pStyle w:val="TableContents"/>
              <w:pBdr/>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51 Mercedes Way</w:t>
            </w:r>
          </w:p>
        </w:tc>
        <w:tc>
          <w:tcPr>
            <w:tcW w:w="580" w:type="dxa"/>
            <w:vMerge w:val="continue"/>
            <w:tcBorders/>
            <w:vAlign w:val="center"/>
          </w:tcPr>
          <w:p>
            <w:pPr>
              <w:pStyle w:val="Normal"/>
              <w:bidi w:val="0"/>
              <w:jc w:val="left"/>
              <w:rPr/>
            </w:pPr>
            <w:r>
              <w:rPr/>
            </w:r>
          </w:p>
        </w:tc>
        <w:tc>
          <w:tcPr>
            <w:tcW w:w="2040"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or</w:t>
            </w:r>
          </w:p>
        </w:tc>
        <w:tc>
          <w:tcPr>
            <w:tcW w:w="109" w:type="dxa"/>
            <w:tcBorders/>
            <w:vAlign w:val="center"/>
          </w:tcPr>
          <w:p>
            <w:pPr>
              <w:pStyle w:val="TableContents"/>
              <w:bidi w:val="0"/>
              <w:spacing w:lineRule="auto" w:line="285" w:before="0" w:after="0"/>
              <w:ind w:left="0" w:right="0" w:hanging="0"/>
              <w:jc w:val="both"/>
              <w:rPr/>
            </w:pPr>
            <w:r>
              <w:rPr/>
              <w:t>​</w:t>
            </w:r>
          </w:p>
        </w:tc>
        <w:tc>
          <w:tcPr>
            <w:tcW w:w="2933"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Dammstrasse 19</w:t>
            </w:r>
          </w:p>
        </w:tc>
      </w:tr>
      <w:tr>
        <w:trPr/>
        <w:tc>
          <w:tcPr>
            <w:tcW w:w="595" w:type="dxa"/>
            <w:vMerge w:val="continue"/>
            <w:tcBorders/>
            <w:vAlign w:val="center"/>
          </w:tcPr>
          <w:p>
            <w:pPr>
              <w:pStyle w:val="Normal"/>
              <w:bidi w:val="0"/>
              <w:jc w:val="left"/>
              <w:rPr/>
            </w:pPr>
            <w:r>
              <w:rPr/>
            </w:r>
          </w:p>
        </w:tc>
        <w:tc>
          <w:tcPr>
            <w:tcW w:w="2037" w:type="dxa"/>
            <w:tcBorders/>
            <w:vAlign w:val="center"/>
          </w:tcPr>
          <w:p>
            <w:pPr>
              <w:pStyle w:val="TableContents"/>
              <w:pBdr/>
              <w:bidi w:val="0"/>
              <w:spacing w:lineRule="auto" w:line="285" w:before="0" w:after="0"/>
              <w:ind w:left="0" w:right="0" w:hanging="0"/>
              <w:jc w:val="both"/>
              <w:rPr/>
            </w:pPr>
            <w:r>
              <w:rPr/>
              <w:t>​</w:t>
            </w:r>
          </w:p>
        </w:tc>
        <w:tc>
          <w:tcPr>
            <w:tcW w:w="1911" w:type="dxa"/>
            <w:tcBorders/>
            <w:vAlign w:val="center"/>
          </w:tcPr>
          <w:p>
            <w:pPr>
              <w:pStyle w:val="TableContents"/>
              <w:pBdr/>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Edgewood, NY 11717</w:t>
            </w:r>
          </w:p>
        </w:tc>
        <w:tc>
          <w:tcPr>
            <w:tcW w:w="580" w:type="dxa"/>
            <w:vMerge w:val="continue"/>
            <w:tcBorders/>
            <w:vAlign w:val="center"/>
          </w:tcPr>
          <w:p>
            <w:pPr>
              <w:pStyle w:val="Normal"/>
              <w:bidi w:val="0"/>
              <w:jc w:val="left"/>
              <w:rPr/>
            </w:pPr>
            <w:r>
              <w:rPr/>
            </w:r>
          </w:p>
        </w:tc>
        <w:tc>
          <w:tcPr>
            <w:tcW w:w="2040"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2933"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6300 Zug</w:t>
            </w:r>
          </w:p>
        </w:tc>
      </w:tr>
      <w:tr>
        <w:trPr/>
        <w:tc>
          <w:tcPr>
            <w:tcW w:w="595" w:type="dxa"/>
            <w:vMerge w:val="continue"/>
            <w:tcBorders/>
            <w:vAlign w:val="center"/>
          </w:tcPr>
          <w:p>
            <w:pPr>
              <w:pStyle w:val="Normal"/>
              <w:bidi w:val="0"/>
              <w:jc w:val="left"/>
              <w:rPr/>
            </w:pPr>
            <w:r>
              <w:rPr/>
            </w:r>
          </w:p>
        </w:tc>
        <w:tc>
          <w:tcPr>
            <w:tcW w:w="2037" w:type="dxa"/>
            <w:tcBorders/>
            <w:vAlign w:val="center"/>
          </w:tcPr>
          <w:p>
            <w:pPr>
              <w:pStyle w:val="TableContents"/>
              <w:pBdr/>
              <w:bidi w:val="0"/>
              <w:spacing w:lineRule="auto" w:line="285" w:before="0" w:after="0"/>
              <w:ind w:left="0" w:right="0" w:hanging="0"/>
              <w:jc w:val="both"/>
              <w:rPr/>
            </w:pPr>
            <w:r>
              <w:rPr/>
              <w:t>​</w:t>
            </w:r>
          </w:p>
        </w:tc>
        <w:tc>
          <w:tcPr>
            <w:tcW w:w="1911" w:type="dxa"/>
            <w:tcBorders/>
            <w:vAlign w:val="center"/>
          </w:tcPr>
          <w:p>
            <w:pPr>
              <w:pStyle w:val="TableContents"/>
              <w:pBdr/>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USA</w:t>
            </w:r>
          </w:p>
        </w:tc>
        <w:tc>
          <w:tcPr>
            <w:tcW w:w="580" w:type="dxa"/>
            <w:vMerge w:val="continue"/>
            <w:tcBorders/>
            <w:vAlign w:val="center"/>
          </w:tcPr>
          <w:p>
            <w:pPr>
              <w:pStyle w:val="Normal"/>
              <w:bidi w:val="0"/>
              <w:jc w:val="left"/>
              <w:rPr/>
            </w:pPr>
            <w:r>
              <w:rPr/>
            </w:r>
          </w:p>
        </w:tc>
        <w:tc>
          <w:tcPr>
            <w:tcW w:w="2040"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2933"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Switzerland</w:t>
            </w:r>
          </w:p>
        </w:tc>
      </w:tr>
      <w:tr>
        <w:trPr/>
        <w:tc>
          <w:tcPr>
            <w:tcW w:w="595" w:type="dxa"/>
            <w:vMerge w:val="continue"/>
            <w:tcBorders/>
            <w:vAlign w:val="center"/>
          </w:tcPr>
          <w:p>
            <w:pPr>
              <w:pStyle w:val="Normal"/>
              <w:bidi w:val="0"/>
              <w:jc w:val="left"/>
              <w:rPr/>
            </w:pPr>
            <w:r>
              <w:rPr/>
            </w:r>
          </w:p>
        </w:tc>
        <w:tc>
          <w:tcPr>
            <w:tcW w:w="2037" w:type="dxa"/>
            <w:tcBorders/>
            <w:vAlign w:val="center"/>
          </w:tcPr>
          <w:p>
            <w:pPr>
              <w:pStyle w:val="TableContents"/>
              <w:pBdr/>
              <w:bidi w:val="0"/>
              <w:spacing w:lineRule="auto" w:line="285" w:before="0" w:after="0"/>
              <w:ind w:left="0" w:right="0" w:hanging="0"/>
              <w:jc w:val="both"/>
              <w:rPr/>
            </w:pPr>
            <w:r>
              <w:rPr/>
              <w:t>​</w:t>
            </w:r>
          </w:p>
        </w:tc>
        <w:tc>
          <w:tcPr>
            <w:tcW w:w="1911" w:type="dxa"/>
            <w:tcBorders/>
            <w:vAlign w:val="center"/>
          </w:tcPr>
          <w:p>
            <w:pPr>
              <w:pStyle w:val="TableContents"/>
              <w:pBdr/>
              <w:bidi w:val="0"/>
              <w:spacing w:lineRule="auto" w:line="285" w:before="0" w:after="0"/>
              <w:ind w:left="0" w:right="0" w:hanging="0"/>
              <w:jc w:val="both"/>
              <w:rPr/>
            </w:pPr>
            <w:r>
              <w:rPr/>
              <w:t>​</w:t>
            </w:r>
          </w:p>
        </w:tc>
        <w:tc>
          <w:tcPr>
            <w:tcW w:w="580" w:type="dxa"/>
            <w:vMerge w:val="continue"/>
            <w:tcBorders/>
            <w:vAlign w:val="center"/>
          </w:tcPr>
          <w:p>
            <w:pPr>
              <w:pStyle w:val="Normal"/>
              <w:bidi w:val="0"/>
              <w:jc w:val="left"/>
              <w:rPr/>
            </w:pPr>
            <w:r>
              <w:rPr/>
            </w:r>
          </w:p>
        </w:tc>
        <w:tc>
          <w:tcPr>
            <w:tcW w:w="2040"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2933" w:type="dxa"/>
            <w:tcBorders/>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200"/>
        <w:ind w:left="1080" w:right="0" w:hanging="0"/>
        <w:jc w:val="left"/>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If you hold your shares in the name of a bank, broker or other nominee, you should follow the instructions provided by your bank, broker or nominee in revoking your previously granted proxy.</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P-20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rFonts w:ascii="Arial;Helvetica;sans-serif" w:hAnsi="Arial;Helvetica;sans-serif"/>
          <w:b/>
          <w:color w:val="ECA44A"/>
          <w:sz w:val="40"/>
        </w:rPr>
      </w:pPr>
      <w:bookmarkStart w:id="44" w:name="AGENDAITEM1"/>
      <w:bookmarkStart w:id="45" w:name="_2e1d076d_38b3_466a_80d2_ad3d31c83df4"/>
      <w:bookmarkEnd w:id="44"/>
      <w:bookmarkEnd w:id="45"/>
      <w:r>
        <w:rPr>
          <w:rFonts w:ascii="Arial;Helvetica;sans-serif" w:hAnsi="Arial;Helvetica;sans-serif"/>
          <w:b/>
          <w:color w:val="ECA44A"/>
          <w:sz w:val="40"/>
        </w:rPr>
        <w:t>AGENDA ITEM 1</w:t>
      </w:r>
    </w:p>
    <w:p>
      <w:pPr>
        <w:pStyle w:val="TextBody"/>
        <w:bidi w:val="0"/>
        <w:spacing w:lineRule="auto" w:line="285" w:before="0" w:after="200"/>
        <w:ind w:left="0" w:right="0" w:hanging="0"/>
        <w:jc w:val="both"/>
        <w:rPr>
          <w:rFonts w:ascii="Arial;Helvetica;sans-serif" w:hAnsi="Arial;Helvetica;sans-serif"/>
          <w:b w:val="false"/>
          <w:sz w:val="32"/>
        </w:rPr>
      </w:pPr>
      <w:r>
        <w:rPr>
          <w:rFonts w:ascii="Arial;Helvetica;sans-serif" w:hAnsi="Arial;Helvetica;sans-serif"/>
          <w:b w:val="false"/>
          <w:sz w:val="32"/>
        </w:rPr>
        <w:t>Approval of (A) the 2025 Annual Report, Including the Audited Consolidated Financial Statements of Transocean Ltd. for Fiscal Year 2025, and the Audited Statutory Financial Statements of Transocean Ltd. for Fiscal Year 2025; and Advisory Votes to Approve (B) the Swiss Statutory Compensation Report for Fiscal Year 2025 and (C) the Swiss Statutory Report on Non-Financial Matters for Fiscal Year 2025</w:t>
      </w:r>
    </w:p>
    <w:tbl>
      <w:tblPr>
        <w:tblW w:w="10205" w:type="dxa"/>
        <w:jc w:val="left"/>
        <w:tblInd w:w="0" w:type="dxa"/>
        <w:tblLayout w:type="fixed"/>
        <w:tblCellMar>
          <w:top w:w="0" w:type="dxa"/>
          <w:left w:w="0" w:type="dxa"/>
          <w:bottom w:w="0" w:type="dxa"/>
          <w:right w:w="0" w:type="dxa"/>
        </w:tblCellMar>
      </w:tblPr>
      <w:tblGrid>
        <w:gridCol w:w="526"/>
        <w:gridCol w:w="9679"/>
      </w:tblGrid>
      <w:tr>
        <w:trPr/>
        <w:tc>
          <w:tcPr>
            <w:tcW w:w="526" w:type="dxa"/>
            <w:tcBorders/>
            <w:vAlign w:val="center"/>
          </w:tcPr>
          <w:p>
            <w:pPr>
              <w:pStyle w:val="TableContents"/>
              <w:pBdr/>
              <w:bidi w:val="0"/>
              <w:spacing w:lineRule="auto" w:line="285" w:before="0" w:after="0"/>
              <w:ind w:left="0" w:right="0" w:hanging="0"/>
              <w:jc w:val="both"/>
              <w:rPr/>
            </w:pPr>
            <w:r>
              <w:rPr/>
              <w:t>​</w:t>
            </w:r>
          </w:p>
        </w:tc>
        <w:tc>
          <w:tcPr>
            <w:tcW w:w="9679" w:type="dxa"/>
            <w:tcBorders/>
            <w:vAlign w:val="center"/>
          </w:tcPr>
          <w:p>
            <w:pPr>
              <w:pStyle w:val="TableContents"/>
              <w:pBdr/>
              <w:bidi w:val="0"/>
              <w:spacing w:lineRule="auto" w:line="285" w:before="0" w:after="0"/>
              <w:ind w:left="0" w:right="0" w:hanging="0"/>
              <w:jc w:val="both"/>
              <w:rPr/>
            </w:pPr>
            <w:r>
              <w:rPr/>
              <w:t>​</w:t>
            </w:r>
          </w:p>
        </w:tc>
      </w:tr>
      <w:tr>
        <w:trPr/>
        <w:tc>
          <w:tcPr>
            <w:tcW w:w="526" w:type="dxa"/>
            <w:tcBorders/>
            <w:vAlign w:val="center"/>
          </w:tcPr>
          <w:p>
            <w:pPr>
              <w:pStyle w:val="TableContents"/>
              <w:bidi w:val="0"/>
              <w:spacing w:lineRule="auto" w:line="285" w:before="100" w:after="100"/>
              <w:ind w:left="0" w:right="0" w:hanging="0"/>
              <w:jc w:val="both"/>
              <w:rPr>
                <w:rFonts w:ascii="Arial;Helvetica;sans-serif" w:hAnsi="Arial;Helvetica;sans-serif"/>
                <w:b/>
                <w:color w:val="ECA44A"/>
                <w:sz w:val="32"/>
              </w:rPr>
            </w:pPr>
            <w:r>
              <w:rPr>
                <w:rFonts w:ascii="Arial;Helvetica;sans-serif" w:hAnsi="Arial;Helvetica;sans-serif"/>
                <w:b/>
                <w:color w:val="ECA44A"/>
                <w:sz w:val="32"/>
              </w:rPr>
              <w:t>1A</w:t>
            </w:r>
          </w:p>
        </w:tc>
        <w:tc>
          <w:tcPr>
            <w:tcW w:w="9679" w:type="dxa"/>
            <w:tcBorders/>
            <w:vAlign w:val="center"/>
          </w:tcPr>
          <w:p>
            <w:pPr>
              <w:pStyle w:val="TableContents"/>
              <w:bidi w:val="0"/>
              <w:spacing w:lineRule="auto" w:line="285" w:before="0" w:after="0"/>
              <w:ind w:left="0" w:right="0" w:hanging="0"/>
              <w:jc w:val="both"/>
              <w:rPr>
                <w:rFonts w:ascii="Arial;Helvetica;sans-serif" w:hAnsi="Arial;Helvetica;sans-serif"/>
                <w:sz w:val="28"/>
              </w:rPr>
            </w:pPr>
            <w:r>
              <w:rPr>
                <w:rFonts w:ascii="Arial;Helvetica;sans-serif" w:hAnsi="Arial;Helvetica;sans-serif"/>
                <w:sz w:val="28"/>
              </w:rPr>
              <w:t>Approval of the 2025 Annual Report, Including the Audited Consolidated Financial Statements of Transocean Ltd. for Fiscal Year 2025, and the Audited Statutory Financial Statements of Transocean Ltd. for Fiscal Year 2025</w:t>
            </w:r>
          </w:p>
        </w:tc>
      </w:tr>
    </w:tbl>
    <w:p>
      <w:pPr>
        <w:pStyle w:val="TextBody"/>
        <w:bidi w:val="0"/>
        <w:spacing w:lineRule="auto" w:line="285" w:before="0" w:after="20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PROPOSAL OF THE BOARD OF DIRECTORS</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85" w:before="0" w:after="0"/>
              <w:ind w:left="0" w:right="0" w:hanging="0"/>
              <w:jc w:val="both"/>
              <w:rPr/>
            </w:pPr>
            <w:r>
              <w:rPr/>
              <w:t>​</w:t>
            </w:r>
          </w:p>
        </w:tc>
      </w:tr>
      <w:tr>
        <w:trPr/>
        <w:tc>
          <w:tcPr>
            <w:tcW w:w="10205" w:type="dxa"/>
            <w:tcBorders/>
            <w:shd w:fill="F2F2F2" w:val="clear"/>
            <w:vAlign w:val="center"/>
          </w:tcPr>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The Board of Directors proposes that the 2025 Annual Report, including the audited consolidated financial statements of Transocean Ltd. for fiscal year 2025 and the audited statutory financial statements of Transocean Ltd. for fiscal year 2025, be approved.</w:t>
            </w:r>
          </w:p>
        </w:tc>
      </w:tr>
    </w:tbl>
    <w:p>
      <w:pPr>
        <w:pStyle w:val="TextBody"/>
        <w:bidi w:val="0"/>
        <w:spacing w:lineRule="auto" w:line="285" w:before="0" w:after="20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EXPLANATION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 xml:space="preserve">The audited consolidated financial statements of Transocean Ltd. for fiscal year 2025 and the audited Swiss statutory financial statements of Transocean Ltd. for fiscal year 2025 are contained in the 2025 Annual Report, which, along with this proxy statement, are available at: </w:t>
      </w:r>
      <w:r>
        <w:rPr>
          <w:rFonts w:ascii="Arial;Helvetica;sans-serif" w:hAnsi="Arial;Helvetica;sans-serif"/>
          <w:color w:val="005670"/>
          <w:sz w:val="20"/>
        </w:rPr>
        <w:t>www.deepwater.com</w:t>
      </w:r>
      <w:r>
        <w:rPr>
          <w:rFonts w:ascii="Arial;Helvetica;sans-serif" w:hAnsi="Arial;Helvetica;sans-serif"/>
          <w:sz w:val="20"/>
        </w:rPr>
        <w:t xml:space="preserve"> by selecting Financial Reports, then Annual and Quarterly Reports in the Investors section dropdown. </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2025 Annual Report also contains information on the Company’s business activities, the Company’s business and financial situation, and the reports of Ernst &amp; Young Ltd, Zurich, the Company’s auditor pursuant to the Swiss Code, on the Company’s consolidated financial statements for fiscal year 2025 and statutory financial statements for fiscal year 2025. In its reports, Ernst &amp; Young Ltd recommended without qualification that the Company’s consolidated financial statements and statutory financial statements for the year ended December 31, 2025, be approved. Ernst &amp; Young Ltd expresses its opinion that the consolidated financial statements present fairly, in all material respects, the consolidated financial position of Transocean Ltd. and its subsidiaries as of December 31, 2025 and 2024, and the consolidated results of operations and cash flows for each of the three years in the period ended December 31, 2025, in conformity with generally accepted accounting principles in the United States (“GAAP”) and in compliance with Swiss law. Ernst &amp; Young Ltd further expresses its opinion and confirms that the statutory financial statements for fiscal year 2025 comply with Swiss law and the Articles of Association of the Company.</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Under Swiss law, the annual report, the consolidated financial statements and Swiss statutory financial statements must be submitted to shareholders for approval at each annual general meeting.</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If the shareholders do not approve this proposal, the Board of Directors may call an extraordinary general meeting of shareholders for reconsideration of this proposal by shareholders.</w:t>
      </w:r>
    </w:p>
    <w:p>
      <w:pPr>
        <w:pStyle w:val="TextBody"/>
        <w:bidi w:val="0"/>
        <w:spacing w:lineRule="auto" w:line="285" w:before="0" w:after="20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P-21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both"/>
        <w:rPr/>
      </w:pPr>
      <w:r>
        <w:rPr/>
        <w:t>​</w:t>
      </w:r>
    </w:p>
    <w:p>
      <w:pPr>
        <w:pStyle w:val="Normal"/>
        <w:bidi w:val="0"/>
        <w:spacing w:before="432" w:after="283"/>
        <w:jc w:val="left"/>
        <w:rPr>
          <w:sz w:val="4"/>
          <w:szCs w:val="4"/>
        </w:rPr>
      </w:pPr>
      <w:r>
        <w:rPr>
          <w:sz w:val="4"/>
          <w:szCs w:val="4"/>
        </w:rPr>
      </w:r>
      <w:bookmarkStart w:id="46" w:name="_aac7db24_4503_47c0_a2d0_ee2e7b8da589"/>
      <w:bookmarkStart w:id="47" w:name="_0caf42a3_071a_4280_9b75_60bfc2c4ff6d"/>
      <w:bookmarkStart w:id="48" w:name="_aac7db24_4503_47c0_a2d0_ee2e7b8da589"/>
      <w:bookmarkStart w:id="49" w:name="_0caf42a3_071a_4280_9b75_60bfc2c4ff6d"/>
      <w:bookmarkEnd w:id="48"/>
      <w:bookmarkEnd w:id="49"/>
    </w:p>
    <w:tbl>
      <w:tblPr>
        <w:tblW w:w="1805" w:type="dxa"/>
        <w:jc w:val="left"/>
        <w:tblInd w:w="0" w:type="dxa"/>
        <w:tblLayout w:type="fixed"/>
        <w:tblCellMar>
          <w:top w:w="0" w:type="dxa"/>
          <w:left w:w="0" w:type="dxa"/>
          <w:bottom w:w="0" w:type="dxa"/>
          <w:right w:w="0" w:type="dxa"/>
        </w:tblCellMar>
      </w:tblPr>
      <w:tblGrid>
        <w:gridCol w:w="1651"/>
        <w:gridCol w:w="154"/>
      </w:tblGrid>
      <w:tr>
        <w:trPr/>
        <w:tc>
          <w:tcPr>
            <w:tcW w:w="1651"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65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AGENDA ITEM 1</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tbl>
      <w:tblPr>
        <w:tblW w:w="6886" w:type="dxa"/>
        <w:jc w:val="left"/>
        <w:tblInd w:w="0" w:type="dxa"/>
        <w:tblLayout w:type="fixed"/>
        <w:tblCellMar>
          <w:top w:w="0" w:type="dxa"/>
          <w:left w:w="0" w:type="dxa"/>
          <w:bottom w:w="0" w:type="dxa"/>
          <w:right w:w="0" w:type="dxa"/>
        </w:tblCellMar>
      </w:tblPr>
      <w:tblGrid>
        <w:gridCol w:w="6886"/>
      </w:tblGrid>
      <w:tr>
        <w:trPr/>
        <w:tc>
          <w:tcPr>
            <w:tcW w:w="6886" w:type="dxa"/>
            <w:tcBorders/>
            <w:vAlign w:val="center"/>
          </w:tcPr>
          <w:p>
            <w:pPr>
              <w:pStyle w:val="TableContents"/>
              <w:bidi w:val="0"/>
              <w:spacing w:lineRule="auto" w:line="285" w:before="0" w:after="0"/>
              <w:ind w:left="0" w:right="0" w:hanging="0"/>
              <w:jc w:val="both"/>
              <w:rPr/>
            </w:pPr>
            <w:r>
              <w:rPr/>
              <w:t>​</w:t>
            </w:r>
          </w:p>
        </w:tc>
      </w:tr>
      <w:tr>
        <w:trPr/>
        <w:tc>
          <w:tcPr>
            <w:tcW w:w="6886" w:type="dxa"/>
            <w:tcBorders/>
            <w:shd w:fill="ECA44A" w:val="clear"/>
            <w:vAlign w:val="center"/>
          </w:tcPr>
          <w:p>
            <w:pPr>
              <w:pStyle w:val="TableContents"/>
              <w:bidi w:val="0"/>
              <w:spacing w:lineRule="auto" w:line="285" w:before="200" w:after="120"/>
              <w:ind w:left="0" w:right="0" w:hanging="0"/>
              <w:jc w:val="center"/>
              <w:rPr>
                <w:rFonts w:ascii="Arial;Helvetica;sans-serif" w:hAnsi="Arial;Helvetica;sans-serif"/>
                <w:b/>
                <w:color w:val="FFFFFF"/>
                <w:sz w:val="28"/>
              </w:rPr>
            </w:pPr>
            <w:r>
              <w:rPr>
                <w:rFonts w:ascii="Arial;Helvetica;sans-serif" w:hAnsi="Arial;Helvetica;sans-serif"/>
                <w:b/>
                <w:color w:val="FFFFFF"/>
                <w:sz w:val="28"/>
              </w:rPr>
              <w:t>RECOMMENDATION</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color w:val="F2F2F2"/>
                <w:sz w:val="20"/>
              </w:rPr>
              <w:t xml:space="preserve">The Board of Directors recommends that you vote </w:t>
            </w:r>
            <w:r>
              <w:rPr>
                <w:rFonts w:ascii="Arial;Helvetica;sans-serif" w:hAnsi="Arial;Helvetica;sans-serif"/>
                <w:b/>
                <w:color w:val="FFFFFF"/>
                <w:sz w:val="20"/>
              </w:rPr>
              <w:t>FOR</w:t>
            </w:r>
            <w:r>
              <w:rPr>
                <w:rFonts w:ascii="Arial;Helvetica;sans-serif" w:hAnsi="Arial;Helvetica;sans-serif"/>
                <w:color w:val="FFFFFF"/>
                <w:sz w:val="20"/>
              </w:rPr>
              <w:t xml:space="preserve"> </w:t>
            </w:r>
            <w:r>
              <w:rPr>
                <w:rFonts w:ascii="Arial;Helvetica;sans-serif" w:hAnsi="Arial;Helvetica;sans-serif"/>
                <w:color w:val="F2F2F2"/>
                <w:sz w:val="20"/>
              </w:rPr>
              <w:t>this Agenda Item 1A.</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26"/>
        <w:gridCol w:w="9679"/>
      </w:tblGrid>
      <w:tr>
        <w:trPr/>
        <w:tc>
          <w:tcPr>
            <w:tcW w:w="526" w:type="dxa"/>
            <w:tcBorders/>
            <w:vAlign w:val="center"/>
          </w:tcPr>
          <w:p>
            <w:pPr>
              <w:pStyle w:val="TableContents"/>
              <w:pBdr/>
              <w:bidi w:val="0"/>
              <w:spacing w:lineRule="auto" w:line="285" w:before="0" w:after="0"/>
              <w:ind w:left="0" w:right="0" w:hanging="0"/>
              <w:jc w:val="both"/>
              <w:rPr/>
            </w:pPr>
            <w:r>
              <w:rPr/>
              <w:t>​</w:t>
            </w:r>
          </w:p>
        </w:tc>
        <w:tc>
          <w:tcPr>
            <w:tcW w:w="9679" w:type="dxa"/>
            <w:tcBorders/>
            <w:vAlign w:val="center"/>
          </w:tcPr>
          <w:p>
            <w:pPr>
              <w:pStyle w:val="TableContents"/>
              <w:pBdr/>
              <w:bidi w:val="0"/>
              <w:spacing w:lineRule="auto" w:line="285" w:before="0" w:after="0"/>
              <w:ind w:left="0" w:right="0" w:hanging="0"/>
              <w:jc w:val="both"/>
              <w:rPr/>
            </w:pPr>
            <w:r>
              <w:rPr/>
              <w:t>​</w:t>
            </w:r>
          </w:p>
        </w:tc>
      </w:tr>
      <w:tr>
        <w:trPr/>
        <w:tc>
          <w:tcPr>
            <w:tcW w:w="526" w:type="dxa"/>
            <w:tcBorders/>
            <w:vAlign w:val="center"/>
          </w:tcPr>
          <w:p>
            <w:pPr>
              <w:pStyle w:val="TableContents"/>
              <w:bidi w:val="0"/>
              <w:spacing w:lineRule="auto" w:line="285" w:before="100" w:after="100"/>
              <w:ind w:left="0" w:right="0" w:hanging="0"/>
              <w:jc w:val="both"/>
              <w:rPr>
                <w:rFonts w:ascii="Arial;Helvetica;sans-serif" w:hAnsi="Arial;Helvetica;sans-serif"/>
                <w:b/>
                <w:color w:val="ECA44A"/>
                <w:sz w:val="32"/>
              </w:rPr>
            </w:pPr>
            <w:r>
              <w:rPr>
                <w:rFonts w:ascii="Arial;Helvetica;sans-serif" w:hAnsi="Arial;Helvetica;sans-serif"/>
                <w:b/>
                <w:color w:val="ECA44A"/>
                <w:sz w:val="32"/>
              </w:rPr>
              <w:t>1B</w:t>
            </w:r>
          </w:p>
        </w:tc>
        <w:tc>
          <w:tcPr>
            <w:tcW w:w="9679" w:type="dxa"/>
            <w:tcBorders/>
            <w:vAlign w:val="center"/>
          </w:tcPr>
          <w:p>
            <w:pPr>
              <w:pStyle w:val="TableContents"/>
              <w:bidi w:val="0"/>
              <w:spacing w:lineRule="auto" w:line="285" w:before="100" w:after="100"/>
              <w:ind w:left="0" w:right="0" w:hanging="0"/>
              <w:jc w:val="both"/>
              <w:rPr>
                <w:rFonts w:ascii="Arial;Helvetica;sans-serif" w:hAnsi="Arial;Helvetica;sans-serif"/>
                <w:sz w:val="28"/>
              </w:rPr>
            </w:pPr>
            <w:r>
              <w:rPr>
                <w:rFonts w:ascii="Arial;Helvetica;sans-serif" w:hAnsi="Arial;Helvetica;sans-serif"/>
                <w:sz w:val="28"/>
              </w:rPr>
              <w:t>Advisory Vote to Approve the Swiss Statutory Compensation Report for Fiscal Year 2025</w:t>
            </w:r>
          </w:p>
        </w:tc>
      </w:tr>
    </w:tbl>
    <w:p>
      <w:pPr>
        <w:pStyle w:val="TextBody"/>
        <w:bidi w:val="0"/>
        <w:spacing w:lineRule="auto" w:line="285" w:before="0" w:after="20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sz w:val="24"/>
        </w:rPr>
      </w:pPr>
      <w:r>
        <w:rPr>
          <w:rFonts w:ascii="Arial;Helvetica;sans-serif" w:hAnsi="Arial;Helvetica;sans-serif"/>
          <w:b/>
          <w:sz w:val="24"/>
        </w:rPr>
        <w:t>PROPOSAL OF THE BOARD OF DIRECTORS</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85" w:before="0" w:after="0"/>
              <w:ind w:left="0" w:right="0" w:hanging="0"/>
              <w:jc w:val="both"/>
              <w:rPr/>
            </w:pPr>
            <w:r>
              <w:rPr/>
              <w:t>​</w:t>
            </w:r>
          </w:p>
        </w:tc>
      </w:tr>
      <w:tr>
        <w:trPr/>
        <w:tc>
          <w:tcPr>
            <w:tcW w:w="10205" w:type="dxa"/>
            <w:tcBorders/>
            <w:shd w:fill="F2F2F2" w:val="clear"/>
            <w:vAlign w:val="center"/>
          </w:tcPr>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The Board of Directors proposes that the Company’s Swiss Statutory Compensation Report for the fiscal year ended December 31, 2025, be approved on an advisory basis.</w:t>
            </w:r>
          </w:p>
        </w:tc>
      </w:tr>
    </w:tbl>
    <w:p>
      <w:pPr>
        <w:pStyle w:val="TextBody"/>
        <w:bidi w:val="0"/>
        <w:spacing w:lineRule="auto" w:line="285" w:before="20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EXPLANATION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Swiss Code requires that we prepare each year a separate Swiss Statutory Compensation Report. The current Swiss Statutory Compensation Report sets forth, for the years ended December 31, 2025, and 2024, the aggregate compensation of the members of the Board of Directors and the members of the Company’s Executive Management Team. Swiss law further requires us to submit our Swiss Statutory Compensation Report annually to shareholders for approval on an advisory basis.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With regard to the compensation of our Executive Management Team, shareholders at the 2025 Annual General Meeting ratified, with a 97.5% approval, the fiscal year 2026 maximum aggregate compensation amount for our Executive Management Team in the aggregate amount of $26 million. At the same meeting, shareholders also ratified, with a 98.0% approval, the maximum aggregate compensation amount for the Board of Directors (for the period between the 2025 Annual General Meeting and the 2026 Annual General Meeting) in the aggregate amount of $4.121 million.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Our 2025 Swiss Statutory Compensation Report accompanies this proxy statement and is part of our Annual Report.</w:t>
      </w:r>
    </w:p>
    <w:tbl>
      <w:tblPr>
        <w:tblW w:w="6886" w:type="dxa"/>
        <w:jc w:val="left"/>
        <w:tblInd w:w="0" w:type="dxa"/>
        <w:tblLayout w:type="fixed"/>
        <w:tblCellMar>
          <w:top w:w="0" w:type="dxa"/>
          <w:left w:w="0" w:type="dxa"/>
          <w:bottom w:w="0" w:type="dxa"/>
          <w:right w:w="0" w:type="dxa"/>
        </w:tblCellMar>
      </w:tblPr>
      <w:tblGrid>
        <w:gridCol w:w="6886"/>
      </w:tblGrid>
      <w:tr>
        <w:trPr/>
        <w:tc>
          <w:tcPr>
            <w:tcW w:w="6886" w:type="dxa"/>
            <w:tcBorders/>
            <w:vAlign w:val="center"/>
          </w:tcPr>
          <w:p>
            <w:pPr>
              <w:pStyle w:val="TableContents"/>
              <w:bidi w:val="0"/>
              <w:spacing w:lineRule="auto" w:line="285" w:before="0" w:after="0"/>
              <w:ind w:left="0" w:right="0" w:hanging="0"/>
              <w:jc w:val="both"/>
              <w:rPr/>
            </w:pPr>
            <w:r>
              <w:rPr/>
              <w:t>​</w:t>
            </w:r>
          </w:p>
        </w:tc>
      </w:tr>
      <w:tr>
        <w:trPr/>
        <w:tc>
          <w:tcPr>
            <w:tcW w:w="6886" w:type="dxa"/>
            <w:tcBorders/>
            <w:shd w:fill="ECA44A" w:val="clear"/>
            <w:vAlign w:val="center"/>
          </w:tcPr>
          <w:p>
            <w:pPr>
              <w:pStyle w:val="TableContents"/>
              <w:bidi w:val="0"/>
              <w:spacing w:lineRule="auto" w:line="285" w:before="200" w:after="120"/>
              <w:ind w:left="0" w:right="0" w:hanging="0"/>
              <w:jc w:val="center"/>
              <w:rPr>
                <w:rFonts w:ascii="Arial;Helvetica;sans-serif" w:hAnsi="Arial;Helvetica;sans-serif"/>
                <w:b/>
                <w:color w:val="FFFFFF"/>
                <w:sz w:val="28"/>
              </w:rPr>
            </w:pPr>
            <w:r>
              <w:rPr>
                <w:rFonts w:ascii="Arial;Helvetica;sans-serif" w:hAnsi="Arial;Helvetica;sans-serif"/>
                <w:b/>
                <w:color w:val="FFFFFF"/>
                <w:sz w:val="28"/>
              </w:rPr>
              <w:t>RECOMMENDATION</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color w:val="F2F2F2"/>
                <w:sz w:val="20"/>
              </w:rPr>
              <w:t xml:space="preserve">The Board of Directors recommends that you vote </w:t>
            </w:r>
            <w:r>
              <w:rPr>
                <w:rFonts w:ascii="Arial;Helvetica;sans-serif" w:hAnsi="Arial;Helvetica;sans-serif"/>
                <w:b/>
                <w:color w:val="F2F2F2"/>
                <w:sz w:val="20"/>
              </w:rPr>
              <w:t>FOR</w:t>
            </w:r>
            <w:r>
              <w:rPr>
                <w:rFonts w:ascii="Arial;Helvetica;sans-serif" w:hAnsi="Arial;Helvetica;sans-serif"/>
                <w:color w:val="F2F2F2"/>
                <w:sz w:val="20"/>
              </w:rPr>
              <w:t xml:space="preserve"> this Agenda Item 1B.</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P-22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805" w:type="dxa"/>
        <w:jc w:val="left"/>
        <w:tblInd w:w="0" w:type="dxa"/>
        <w:tblLayout w:type="fixed"/>
        <w:tblCellMar>
          <w:top w:w="0" w:type="dxa"/>
          <w:left w:w="0" w:type="dxa"/>
          <w:bottom w:w="0" w:type="dxa"/>
          <w:right w:w="0" w:type="dxa"/>
        </w:tblCellMar>
      </w:tblPr>
      <w:tblGrid>
        <w:gridCol w:w="124"/>
        <w:gridCol w:w="1681"/>
      </w:tblGrid>
      <w:tr>
        <w:trPr/>
        <w:tc>
          <w:tcPr>
            <w:tcW w:w="124" w:type="dxa"/>
            <w:tcBorders/>
            <w:vAlign w:val="center"/>
          </w:tcPr>
          <w:p>
            <w:pPr>
              <w:pStyle w:val="TableContents"/>
              <w:bidi w:val="0"/>
              <w:spacing w:lineRule="auto" w:line="285" w:before="0" w:after="0"/>
              <w:ind w:left="0" w:right="0" w:hanging="0"/>
              <w:jc w:val="both"/>
              <w:rPr/>
            </w:pPr>
            <w:r>
              <w:rPr/>
              <w:t>​</w:t>
            </w:r>
          </w:p>
        </w:tc>
        <w:tc>
          <w:tcPr>
            <w:tcW w:w="1681" w:type="dxa"/>
            <w:tcBorders/>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68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AGENDA ITEM 1</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26"/>
        <w:gridCol w:w="9679"/>
      </w:tblGrid>
      <w:tr>
        <w:trPr/>
        <w:tc>
          <w:tcPr>
            <w:tcW w:w="526" w:type="dxa"/>
            <w:tcBorders/>
            <w:vAlign w:val="center"/>
          </w:tcPr>
          <w:p>
            <w:pPr>
              <w:pStyle w:val="TableContents"/>
              <w:pBdr/>
              <w:bidi w:val="0"/>
              <w:spacing w:lineRule="auto" w:line="285" w:before="0" w:after="0"/>
              <w:ind w:left="0" w:right="0" w:hanging="0"/>
              <w:jc w:val="both"/>
              <w:rPr/>
            </w:pPr>
            <w:r>
              <w:rPr/>
              <w:t>​</w:t>
            </w:r>
          </w:p>
        </w:tc>
        <w:tc>
          <w:tcPr>
            <w:tcW w:w="9679" w:type="dxa"/>
            <w:tcBorders/>
            <w:vAlign w:val="center"/>
          </w:tcPr>
          <w:p>
            <w:pPr>
              <w:pStyle w:val="TableContents"/>
              <w:pBdr/>
              <w:bidi w:val="0"/>
              <w:spacing w:lineRule="auto" w:line="285" w:before="0" w:after="0"/>
              <w:ind w:left="0" w:right="0" w:hanging="0"/>
              <w:jc w:val="both"/>
              <w:rPr/>
            </w:pPr>
            <w:r>
              <w:rPr/>
              <w:t>​</w:t>
            </w:r>
          </w:p>
        </w:tc>
      </w:tr>
      <w:tr>
        <w:trPr/>
        <w:tc>
          <w:tcPr>
            <w:tcW w:w="526" w:type="dxa"/>
            <w:tcBorders/>
            <w:vAlign w:val="center"/>
          </w:tcPr>
          <w:p>
            <w:pPr>
              <w:pStyle w:val="TableContents"/>
              <w:bidi w:val="0"/>
              <w:spacing w:lineRule="auto" w:line="285" w:before="100" w:after="100"/>
              <w:ind w:left="0" w:right="0" w:hanging="0"/>
              <w:jc w:val="both"/>
              <w:rPr>
                <w:rFonts w:ascii="Arial;Helvetica;sans-serif" w:hAnsi="Arial;Helvetica;sans-serif"/>
                <w:b/>
                <w:color w:val="ECA44A"/>
                <w:sz w:val="32"/>
              </w:rPr>
            </w:pPr>
            <w:r>
              <w:rPr>
                <w:rFonts w:ascii="Arial;Helvetica;sans-serif" w:hAnsi="Arial;Helvetica;sans-serif"/>
                <w:b/>
                <w:color w:val="ECA44A"/>
                <w:sz w:val="32"/>
              </w:rPr>
              <w:t>1C</w:t>
            </w:r>
          </w:p>
        </w:tc>
        <w:tc>
          <w:tcPr>
            <w:tcW w:w="9679" w:type="dxa"/>
            <w:tcBorders/>
            <w:vAlign w:val="center"/>
          </w:tcPr>
          <w:p>
            <w:pPr>
              <w:pStyle w:val="TableContents"/>
              <w:bidi w:val="0"/>
              <w:spacing w:lineRule="auto" w:line="285" w:before="100" w:after="100"/>
              <w:ind w:left="0" w:right="0" w:hanging="0"/>
              <w:jc w:val="both"/>
              <w:rPr>
                <w:rFonts w:ascii="Arial;Helvetica;sans-serif" w:hAnsi="Arial;Helvetica;sans-serif"/>
                <w:sz w:val="28"/>
              </w:rPr>
            </w:pPr>
            <w:r>
              <w:rPr>
                <w:rFonts w:ascii="Arial;Helvetica;sans-serif" w:hAnsi="Arial;Helvetica;sans-serif"/>
                <w:sz w:val="28"/>
              </w:rPr>
              <w:t>Advisory Vote to Approve the Swiss Statutory Report on Non-Financial Matters for Fiscal Year 2025</w:t>
            </w:r>
          </w:p>
        </w:tc>
      </w:tr>
    </w:tbl>
    <w:p>
      <w:pPr>
        <w:pStyle w:val="TextBody"/>
        <w:bidi w:val="0"/>
        <w:spacing w:lineRule="auto" w:line="285" w:before="0" w:after="20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sz w:val="24"/>
        </w:rPr>
      </w:pPr>
      <w:r>
        <w:rPr>
          <w:rFonts w:ascii="Arial;Helvetica;sans-serif" w:hAnsi="Arial;Helvetica;sans-serif"/>
          <w:b/>
          <w:sz w:val="24"/>
        </w:rPr>
        <w:t>PROPOSAL OF THE BOARD OF DIRECTORS</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85" w:before="0" w:after="0"/>
              <w:ind w:left="0" w:right="0" w:hanging="0"/>
              <w:jc w:val="both"/>
              <w:rPr/>
            </w:pPr>
            <w:r>
              <w:rPr/>
              <w:t>​</w:t>
            </w:r>
          </w:p>
        </w:tc>
      </w:tr>
      <w:tr>
        <w:trPr/>
        <w:tc>
          <w:tcPr>
            <w:tcW w:w="10205" w:type="dxa"/>
            <w:tcBorders/>
            <w:shd w:fill="F2F2F2" w:val="clear"/>
            <w:vAlign w:val="center"/>
          </w:tcPr>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The Board of Directors proposes that the Company’s Swiss Statutory Report on Non-Financial Matters for the fiscal year ended December 31, 2025, be approved on an advisory basis.</w:t>
            </w:r>
          </w:p>
        </w:tc>
      </w:tr>
    </w:tbl>
    <w:p>
      <w:pPr>
        <w:pStyle w:val="TextBody"/>
        <w:bidi w:val="0"/>
        <w:spacing w:lineRule="auto" w:line="285" w:before="20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EXPLANATION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 accordance with the Swiss Code, companies organized in Switzerland that have equity securities listed on a securities exchange and exceed, on a consolidated basis, certain workforce and financial thresholds are required to prepare a report on non-financial matters and submit the report to a vote of shareholders at each annual general meeting. The Company meets such thresholds, and accordingly, shareholders are being asked to approve at the 2026 Annual General Meeting our Swiss Statutory Report on Non-Financial Matters for the fiscal year 2025. The shareholder vote on this report is advisory. As required by the Swiss Code, the report addresses certain environmental, social, employee-related, human rights and anti-corruption topics.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Our Swiss Statutory Report on Non-Financial Matters for the fiscal year 2025 is included in Appendix B.</w:t>
      </w:r>
    </w:p>
    <w:tbl>
      <w:tblPr>
        <w:tblW w:w="6886" w:type="dxa"/>
        <w:jc w:val="left"/>
        <w:tblInd w:w="0" w:type="dxa"/>
        <w:tblLayout w:type="fixed"/>
        <w:tblCellMar>
          <w:top w:w="0" w:type="dxa"/>
          <w:left w:w="0" w:type="dxa"/>
          <w:bottom w:w="0" w:type="dxa"/>
          <w:right w:w="0" w:type="dxa"/>
        </w:tblCellMar>
      </w:tblPr>
      <w:tblGrid>
        <w:gridCol w:w="6886"/>
      </w:tblGrid>
      <w:tr>
        <w:trPr/>
        <w:tc>
          <w:tcPr>
            <w:tcW w:w="6886" w:type="dxa"/>
            <w:tcBorders/>
            <w:vAlign w:val="center"/>
          </w:tcPr>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tc>
      </w:tr>
      <w:tr>
        <w:trPr/>
        <w:tc>
          <w:tcPr>
            <w:tcW w:w="6886" w:type="dxa"/>
            <w:tcBorders/>
            <w:shd w:fill="ECA44A" w:val="clear"/>
            <w:vAlign w:val="center"/>
          </w:tcPr>
          <w:p>
            <w:pPr>
              <w:pStyle w:val="TableContents"/>
              <w:bidi w:val="0"/>
              <w:spacing w:lineRule="auto" w:line="285" w:before="200" w:after="120"/>
              <w:ind w:left="0" w:right="0" w:hanging="0"/>
              <w:jc w:val="center"/>
              <w:rPr>
                <w:rFonts w:ascii="Arial;Helvetica;sans-serif" w:hAnsi="Arial;Helvetica;sans-serif"/>
                <w:b/>
                <w:color w:val="FFFFFF"/>
                <w:sz w:val="28"/>
              </w:rPr>
            </w:pPr>
            <w:r>
              <w:rPr>
                <w:rFonts w:ascii="Arial;Helvetica;sans-serif" w:hAnsi="Arial;Helvetica;sans-serif"/>
                <w:b/>
                <w:color w:val="FFFFFF"/>
                <w:sz w:val="28"/>
              </w:rPr>
              <w:t>RECOMMENDATION</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color w:val="F2F2F2"/>
                <w:sz w:val="20"/>
              </w:rPr>
              <w:t xml:space="preserve">The Board of Directors recommends that you vote </w:t>
            </w:r>
            <w:r>
              <w:rPr>
                <w:rFonts w:ascii="Arial;Helvetica;sans-serif" w:hAnsi="Arial;Helvetica;sans-serif"/>
                <w:b/>
                <w:color w:val="F2F2F2"/>
                <w:sz w:val="20"/>
              </w:rPr>
              <w:t>FOR</w:t>
            </w:r>
            <w:r>
              <w:rPr>
                <w:rFonts w:ascii="Arial;Helvetica;sans-serif" w:hAnsi="Arial;Helvetica;sans-serif"/>
                <w:color w:val="F2F2F2"/>
                <w:sz w:val="20"/>
              </w:rPr>
              <w:t xml:space="preserve"> this Agenda Item 1C.</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P-23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rFonts w:ascii="Arial;Helvetica;sans-serif" w:hAnsi="Arial;Helvetica;sans-serif"/>
          <w:b/>
          <w:color w:val="ECA44A"/>
          <w:sz w:val="40"/>
        </w:rPr>
      </w:pPr>
      <w:bookmarkStart w:id="50" w:name="AGENDAITEM2"/>
      <w:bookmarkStart w:id="51" w:name="_af4fcc15_98d5_42b6_ab6e_f4c6e69f218b"/>
      <w:bookmarkEnd w:id="50"/>
      <w:bookmarkEnd w:id="51"/>
      <w:r>
        <w:rPr>
          <w:rFonts w:ascii="Arial;Helvetica;sans-serif" w:hAnsi="Arial;Helvetica;sans-serif"/>
          <w:b/>
          <w:color w:val="ECA44A"/>
          <w:sz w:val="40"/>
        </w:rPr>
        <w:t>AGENDA ITEM 2</w:t>
      </w:r>
    </w:p>
    <w:p>
      <w:pPr>
        <w:pStyle w:val="TextBody"/>
        <w:bidi w:val="0"/>
        <w:spacing w:lineRule="auto" w:line="285" w:before="0" w:after="200"/>
        <w:ind w:left="0" w:right="0" w:hanging="0"/>
        <w:jc w:val="both"/>
        <w:rPr>
          <w:rFonts w:ascii="Arial;Helvetica;sans-serif" w:hAnsi="Arial;Helvetica;sans-serif"/>
          <w:b w:val="false"/>
          <w:sz w:val="32"/>
        </w:rPr>
      </w:pPr>
      <w:r>
        <w:rPr>
          <w:rFonts w:ascii="Arial;Helvetica;sans-serif" w:hAnsi="Arial;Helvetica;sans-serif"/>
          <w:b w:val="false"/>
          <w:sz w:val="32"/>
        </w:rPr>
        <w:t>Discharge of the Members of the Board of Directors and the Executive Management Team from Liability for Activities During Fiscal Year 2025</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PROPOSAL OF THE BOARD OF DIRECTORS</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85" w:before="0" w:after="0"/>
              <w:ind w:left="0" w:right="0" w:hanging="0"/>
              <w:jc w:val="both"/>
              <w:rPr/>
            </w:pPr>
            <w:r>
              <w:rPr/>
              <w:t>​</w:t>
            </w:r>
          </w:p>
        </w:tc>
      </w:tr>
      <w:tr>
        <w:trPr/>
        <w:tc>
          <w:tcPr>
            <w:tcW w:w="10205" w:type="dxa"/>
            <w:tcBorders/>
            <w:shd w:fill="F2F2F2" w:val="clear"/>
            <w:vAlign w:val="center"/>
          </w:tcPr>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The Board of Directors proposes that the members of the Board of Directors and Messrs. Keelan I. Adamson, R. Thaddeus Vayda, and Jeremy D. Thigpen who served as members of our Executive Management Team in 2025, be discharged from liability for activities during fiscal year 2025.</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EXPLANATION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As is customary for Swiss corporations and in accordance with Article 698, subsection 2, item 5 of the Swiss Code, shareholders are requested to discharge the members of the Board of Directors and our Executive Management Team from liability for their activities during the past fiscal year.</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Discharge pursuant to the proposed resolution is only effective with respect to facts that have been disclosed to shareholders (including through any publicly available information, whether or not included in our filings with the SEC) and only binds shareholders who either voted in favor of the proposal or who subsequently acquired shares with knowledge that the shareholders have approved this proposal. In addition, shareholders who vote against this proposal, abstain from voting on this proposal, do not vote on this proposal, or acquire their shares without knowledge of the approval of this proposal, may bring, as a plaintiff, any claims in a shareholder derivative suit within 12 months after the approval of the proposal. After the expiration of the 12-month period, such shareholders will generally no longer have the right to bring, as a plaintiff, claims in shareholder derivative suits against members of the Board of Directors or Executive Management Team with respect to activities during fiscal year 2025.</w:t>
      </w:r>
    </w:p>
    <w:tbl>
      <w:tblPr>
        <w:tblW w:w="6151" w:type="dxa"/>
        <w:jc w:val="left"/>
        <w:tblInd w:w="0" w:type="dxa"/>
        <w:tblLayout w:type="fixed"/>
        <w:tblCellMar>
          <w:top w:w="0" w:type="dxa"/>
          <w:left w:w="0" w:type="dxa"/>
          <w:bottom w:w="0" w:type="dxa"/>
          <w:right w:w="0" w:type="dxa"/>
        </w:tblCellMar>
      </w:tblPr>
      <w:tblGrid>
        <w:gridCol w:w="6151"/>
      </w:tblGrid>
      <w:tr>
        <w:trPr/>
        <w:tc>
          <w:tcPr>
            <w:tcW w:w="6151" w:type="dxa"/>
            <w:tcBorders/>
            <w:vAlign w:val="center"/>
          </w:tcPr>
          <w:p>
            <w:pPr>
              <w:pStyle w:val="TableContents"/>
              <w:bidi w:val="0"/>
              <w:spacing w:lineRule="auto" w:line="285" w:before="0" w:after="0"/>
              <w:ind w:left="0" w:right="0" w:hanging="0"/>
              <w:jc w:val="both"/>
              <w:rPr/>
            </w:pPr>
            <w:r>
              <w:rPr/>
              <w:t>​</w:t>
            </w:r>
          </w:p>
        </w:tc>
      </w:tr>
      <w:tr>
        <w:trPr/>
        <w:tc>
          <w:tcPr>
            <w:tcW w:w="6151" w:type="dxa"/>
            <w:tcBorders/>
            <w:shd w:fill="ECA44A" w:val="clear"/>
            <w:vAlign w:val="center"/>
          </w:tcPr>
          <w:p>
            <w:pPr>
              <w:pStyle w:val="TableContents"/>
              <w:bidi w:val="0"/>
              <w:spacing w:lineRule="auto" w:line="285" w:before="200" w:after="120"/>
              <w:ind w:left="0" w:right="0" w:hanging="0"/>
              <w:jc w:val="center"/>
              <w:rPr>
                <w:rFonts w:ascii="Arial;Helvetica;sans-serif" w:hAnsi="Arial;Helvetica;sans-serif"/>
                <w:b/>
                <w:color w:val="FFFFFF"/>
                <w:sz w:val="28"/>
              </w:rPr>
            </w:pPr>
            <w:r>
              <w:rPr>
                <w:rFonts w:ascii="Arial;Helvetica;sans-serif" w:hAnsi="Arial;Helvetica;sans-serif"/>
                <w:b/>
                <w:color w:val="FFFFFF"/>
                <w:sz w:val="28"/>
              </w:rPr>
              <w:t>RECOMMENDATION</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color w:val="FFFFFF"/>
                <w:sz w:val="20"/>
              </w:rPr>
              <w:t xml:space="preserve">The Board of Directors recommends a vote </w:t>
            </w:r>
            <w:r>
              <w:rPr>
                <w:rFonts w:ascii="Arial;Helvetica;sans-serif" w:hAnsi="Arial;Helvetica;sans-serif"/>
                <w:b/>
                <w:color w:val="FFFFFF"/>
                <w:sz w:val="20"/>
              </w:rPr>
              <w:t>FOR</w:t>
            </w:r>
            <w:r>
              <w:rPr>
                <w:rFonts w:ascii="Arial;Helvetica;sans-serif" w:hAnsi="Arial;Helvetica;sans-serif"/>
                <w:color w:val="FFFFFF"/>
                <w:sz w:val="20"/>
              </w:rPr>
              <w:t xml:space="preserve"> this Agenda Item 2.</w:t>
            </w:r>
          </w:p>
        </w:tc>
      </w:tr>
    </w:tbl>
    <w:p>
      <w:pPr>
        <w:pStyle w:val="TextBody"/>
        <w:bidi w:val="0"/>
        <w:spacing w:lineRule="auto" w:line="285" w:before="0" w:after="20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P-24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rFonts w:ascii="Arial;Helvetica;sans-serif" w:hAnsi="Arial;Helvetica;sans-serif"/>
          <w:b/>
          <w:color w:val="ECA44A"/>
          <w:sz w:val="40"/>
        </w:rPr>
      </w:pPr>
      <w:bookmarkStart w:id="52" w:name="AGENDAITEM3"/>
      <w:bookmarkStart w:id="53" w:name="_2ab0994b_1457_4ac0_b80d_b01c60c5a4aa"/>
      <w:bookmarkEnd w:id="52"/>
      <w:bookmarkEnd w:id="53"/>
      <w:r>
        <w:rPr>
          <w:rFonts w:ascii="Arial;Helvetica;sans-serif" w:hAnsi="Arial;Helvetica;sans-serif"/>
          <w:b/>
          <w:color w:val="ECA44A"/>
          <w:sz w:val="40"/>
        </w:rPr>
        <w:t>AGENDA ITEM 3</w:t>
      </w:r>
    </w:p>
    <w:p>
      <w:pPr>
        <w:pStyle w:val="TextBody"/>
        <w:bidi w:val="0"/>
        <w:spacing w:lineRule="auto" w:line="285" w:before="0" w:after="200"/>
        <w:ind w:left="0" w:right="0" w:hanging="0"/>
        <w:jc w:val="both"/>
        <w:rPr>
          <w:rFonts w:ascii="Arial;Helvetica;sans-serif" w:hAnsi="Arial;Helvetica;sans-serif"/>
          <w:b w:val="false"/>
          <w:sz w:val="32"/>
        </w:rPr>
      </w:pPr>
      <w:r>
        <w:rPr>
          <w:rFonts w:ascii="Arial;Helvetica;sans-serif" w:hAnsi="Arial;Helvetica;sans-serif"/>
          <w:b w:val="false"/>
          <w:sz w:val="32"/>
        </w:rPr>
        <w:t>Appropriation of the Accumulated Losses for Fiscal Year 2025</w:t>
      </w:r>
    </w:p>
    <w:p>
      <w:pPr>
        <w:pStyle w:val="TextBody"/>
        <w:bidi w:val="0"/>
        <w:spacing w:lineRule="auto" w:line="285" w:before="20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PROPOSAL OF THE BOARD OF DIRECTORS</w:t>
      </w:r>
    </w:p>
    <w:tbl>
      <w:tblPr>
        <w:tblW w:w="8671" w:type="dxa"/>
        <w:jc w:val="left"/>
        <w:tblInd w:w="0" w:type="dxa"/>
        <w:tblLayout w:type="fixed"/>
        <w:tblCellMar>
          <w:top w:w="0" w:type="dxa"/>
          <w:left w:w="0" w:type="dxa"/>
          <w:bottom w:w="0" w:type="dxa"/>
          <w:right w:w="0" w:type="dxa"/>
        </w:tblCellMar>
      </w:tblPr>
      <w:tblGrid>
        <w:gridCol w:w="8671"/>
      </w:tblGrid>
      <w:tr>
        <w:trPr/>
        <w:tc>
          <w:tcPr>
            <w:tcW w:w="8671" w:type="dxa"/>
            <w:tcBorders/>
            <w:vAlign w:val="center"/>
          </w:tcPr>
          <w:p>
            <w:pPr>
              <w:pStyle w:val="TableContents"/>
              <w:bidi w:val="0"/>
              <w:spacing w:lineRule="auto" w:line="285" w:before="0" w:after="0"/>
              <w:ind w:left="0" w:right="0" w:hanging="0"/>
              <w:jc w:val="both"/>
              <w:rPr/>
            </w:pPr>
            <w:r>
              <w:rPr/>
              <w:t>​</w:t>
            </w:r>
          </w:p>
        </w:tc>
      </w:tr>
      <w:tr>
        <w:trPr/>
        <w:tc>
          <w:tcPr>
            <w:tcW w:w="8671" w:type="dxa"/>
            <w:tcBorders/>
            <w:shd w:fill="F2F2F2" w:val="clear"/>
            <w:vAlign w:val="center"/>
          </w:tcPr>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 xml:space="preserve">The Board of Directors proposes that the accumulated losses of the Company be carried forward. </w:t>
            </w:r>
          </w:p>
        </w:tc>
      </w:tr>
    </w:tbl>
    <w:p>
      <w:pPr>
        <w:pStyle w:val="TextBody"/>
        <w:bidi w:val="0"/>
        <w:spacing w:lineRule="auto" w:line="285" w:before="0" w:after="200"/>
        <w:ind w:left="0" w:right="0" w:hanging="0"/>
        <w:jc w:val="both"/>
        <w:rPr/>
      </w:pPr>
      <w:r>
        <w:rPr/>
        <w:t>​</w:t>
      </w:r>
    </w:p>
    <w:tbl>
      <w:tblPr>
        <w:tblW w:w="7323" w:type="dxa"/>
        <w:jc w:val="left"/>
        <w:tblInd w:w="0" w:type="dxa"/>
        <w:tblLayout w:type="fixed"/>
        <w:tblCellMar>
          <w:top w:w="0" w:type="dxa"/>
          <w:left w:w="0" w:type="dxa"/>
          <w:bottom w:w="0" w:type="dxa"/>
          <w:right w:w="0" w:type="dxa"/>
        </w:tblCellMar>
      </w:tblPr>
      <w:tblGrid>
        <w:gridCol w:w="5071"/>
        <w:gridCol w:w="346"/>
        <w:gridCol w:w="1906"/>
      </w:tblGrid>
      <w:tr>
        <w:trPr/>
        <w:tc>
          <w:tcPr>
            <w:tcW w:w="5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220085" cy="175260"/>
                      <wp:effectExtent l="0" t="0" r="0" b="0"/>
                      <wp:wrapNone/>
                      <wp:docPr id="100" name="Frame31"/>
                      <a:graphic xmlns:a="http://schemas.openxmlformats.org/drawingml/2006/main">
                        <a:graphicData uri="http://schemas.microsoft.com/office/word/2010/wordprocessingShape">
                          <wps:wsp>
                            <wps:cNvSpPr txBox="1"/>
                            <wps:spPr>
                              <a:xfrm>
                                <a:off x="0" y="0"/>
                                <a:ext cx="32200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01"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10310" cy="175260"/>
                      <wp:effectExtent l="0" t="0" r="0" b="0"/>
                      <wp:wrapNone/>
                      <wp:docPr id="102" name="Frame33"/>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5071"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20"/>
              </w:rPr>
            </w:pPr>
            <w:r>
              <w:rPr>
                <w:rFonts w:ascii="Arial;Helvetica;sans-serif" w:hAnsi="Arial;Helvetica;sans-serif"/>
                <w:b/>
                <w:color w:val="4B4F54"/>
                <w:sz w:val="20"/>
              </w:rPr>
              <w:t>APPROPRIATION OF ACCUMULATED LOSSES</w:t>
            </w:r>
          </w:p>
        </w:tc>
        <w:tc>
          <w:tcPr>
            <w:tcW w:w="346" w:type="dxa"/>
            <w:tcBorders/>
            <w:vAlign w:val="center"/>
          </w:tcPr>
          <w:p>
            <w:pPr>
              <w:pStyle w:val="TableContents"/>
              <w:bidi w:val="0"/>
              <w:spacing w:lineRule="auto" w:line="285" w:before="0" w:after="0"/>
              <w:ind w:left="0" w:right="0" w:hanging="0"/>
              <w:jc w:val="center"/>
              <w:rPr/>
            </w:pPr>
            <w:r>
              <w:rPr/>
              <w:t>  ​ ​ ​</w:t>
            </w:r>
          </w:p>
        </w:tc>
        <w:tc>
          <w:tcPr>
            <w:tcW w:w="190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IN U.S. $ THOUSANDS</w:t>
            </w:r>
          </w:p>
        </w:tc>
      </w:tr>
      <w:tr>
        <w:trPr/>
        <w:tc>
          <w:tcPr>
            <w:tcW w:w="507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Accumulated losses brought forward from previous years</w:t>
            </w:r>
          </w:p>
        </w:tc>
        <w:tc>
          <w:tcPr>
            <w:tcW w:w="346" w:type="dxa"/>
            <w:tcBorders/>
            <w:vAlign w:val="center"/>
          </w:tcPr>
          <w:p>
            <w:pPr>
              <w:pStyle w:val="TableContents"/>
              <w:bidi w:val="0"/>
              <w:spacing w:lineRule="auto" w:line="285" w:before="0" w:after="0"/>
              <w:ind w:left="0" w:right="0" w:hanging="0"/>
              <w:jc w:val="both"/>
              <w:rPr/>
            </w:pPr>
            <w:r>
              <w:rPr/>
              <w:t>​</w:t>
            </w:r>
          </w:p>
        </w:tc>
        <w:tc>
          <w:tcPr>
            <w:tcW w:w="190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(12,641,547)</w:t>
            </w:r>
          </w:p>
        </w:tc>
      </w:tr>
      <w:tr>
        <w:trPr/>
        <w:tc>
          <w:tcPr>
            <w:tcW w:w="507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Net loss for the year</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90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(73,562)</w:t>
            </w:r>
          </w:p>
        </w:tc>
      </w:tr>
      <w:tr>
        <w:trPr/>
        <w:tc>
          <w:tcPr>
            <w:tcW w:w="507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Accumulated losses to be brought forward</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90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(12,715,109)</w:t>
            </w:r>
          </w:p>
        </w:tc>
      </w:tr>
    </w:tbl>
    <w:p>
      <w:pPr>
        <w:pStyle w:val="TextBody"/>
        <w:bidi w:val="0"/>
        <w:spacing w:lineRule="auto" w:line="285" w:before="0" w:after="0"/>
        <w:ind w:left="0" w:right="0" w:hanging="0"/>
        <w:jc w:val="both"/>
        <w:rPr/>
      </w:pPr>
      <w:r>
        <w:rPr/>
        <w:t>​</w:t>
      </w:r>
    </w:p>
    <w:p>
      <w:pPr>
        <w:pStyle w:val="TextBody"/>
        <w:bidi w:val="0"/>
        <w:spacing w:lineRule="auto" w:line="285" w:before="20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EXPLANATION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Under Swiss law, the appropriation of available earnings or accumulated losses, as the case may be, as set forth in the Swiss statutory financial statements must be submitted to shareholders for approval at each annual general meeting. The accumulated losses subject to the vote of the Company’s shareholders at the 2026 Annual General Meeting is the accumulated losses of Transocean Ltd., on a standalone basis.</w:t>
      </w:r>
    </w:p>
    <w:tbl>
      <w:tblPr>
        <w:tblW w:w="6151" w:type="dxa"/>
        <w:jc w:val="left"/>
        <w:tblInd w:w="0" w:type="dxa"/>
        <w:tblLayout w:type="fixed"/>
        <w:tblCellMar>
          <w:top w:w="0" w:type="dxa"/>
          <w:left w:w="0" w:type="dxa"/>
          <w:bottom w:w="0" w:type="dxa"/>
          <w:right w:w="0" w:type="dxa"/>
        </w:tblCellMar>
      </w:tblPr>
      <w:tblGrid>
        <w:gridCol w:w="6151"/>
      </w:tblGrid>
      <w:tr>
        <w:trPr/>
        <w:tc>
          <w:tcPr>
            <w:tcW w:w="6151" w:type="dxa"/>
            <w:tcBorders/>
            <w:vAlign w:val="center"/>
          </w:tcPr>
          <w:p>
            <w:pPr>
              <w:pStyle w:val="TableContents"/>
              <w:bidi w:val="0"/>
              <w:spacing w:lineRule="auto" w:line="285" w:before="0" w:after="0"/>
              <w:ind w:left="0" w:right="0" w:hanging="0"/>
              <w:jc w:val="both"/>
              <w:rPr/>
            </w:pPr>
            <w:r>
              <w:rPr/>
              <w:t>​</w:t>
            </w:r>
          </w:p>
        </w:tc>
      </w:tr>
      <w:tr>
        <w:trPr/>
        <w:tc>
          <w:tcPr>
            <w:tcW w:w="6151" w:type="dxa"/>
            <w:tcBorders/>
            <w:shd w:fill="ECA44A" w:val="clear"/>
            <w:vAlign w:val="center"/>
          </w:tcPr>
          <w:p>
            <w:pPr>
              <w:pStyle w:val="TableContents"/>
              <w:bidi w:val="0"/>
              <w:spacing w:lineRule="auto" w:line="285" w:before="200" w:after="120"/>
              <w:ind w:left="0" w:right="0" w:hanging="0"/>
              <w:jc w:val="center"/>
              <w:rPr>
                <w:rFonts w:ascii="Arial;Helvetica;sans-serif" w:hAnsi="Arial;Helvetica;sans-serif"/>
                <w:b/>
                <w:color w:val="FFFFFF"/>
                <w:sz w:val="28"/>
              </w:rPr>
            </w:pPr>
            <w:r>
              <w:rPr>
                <w:rFonts w:ascii="Arial;Helvetica;sans-serif" w:hAnsi="Arial;Helvetica;sans-serif"/>
                <w:b/>
                <w:color w:val="FFFFFF"/>
                <w:sz w:val="28"/>
              </w:rPr>
              <w:t>RECOMMENDATION</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color w:val="FFFFFF"/>
                <w:sz w:val="20"/>
              </w:rPr>
              <w:t xml:space="preserve">The Board of Directors recommends a vote </w:t>
            </w:r>
            <w:r>
              <w:rPr>
                <w:rFonts w:ascii="Arial;Helvetica;sans-serif" w:hAnsi="Arial;Helvetica;sans-serif"/>
                <w:b/>
                <w:color w:val="FFFFFF"/>
                <w:sz w:val="20"/>
              </w:rPr>
              <w:t>FOR</w:t>
            </w:r>
            <w:r>
              <w:rPr>
                <w:rFonts w:ascii="Arial;Helvetica;sans-serif" w:hAnsi="Arial;Helvetica;sans-serif"/>
                <w:color w:val="FFFFFF"/>
                <w:sz w:val="20"/>
              </w:rPr>
              <w:t xml:space="preserve"> this Agenda Item 3.</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00"/>
        <w:ind w:left="0" w:right="0" w:hanging="0"/>
        <w:jc w:val="both"/>
        <w:rPr/>
      </w:pPr>
      <w:r>
        <w:rPr/>
        <w:t>​</w:t>
      </w:r>
    </w:p>
    <w:p>
      <w:pPr>
        <w:pStyle w:val="TextBody"/>
        <w:bidi w:val="0"/>
        <w:spacing w:lineRule="auto" w:line="285" w:before="0" w:after="200"/>
        <w:ind w:left="0" w:right="0" w:hanging="0"/>
        <w:jc w:val="both"/>
        <w:rPr/>
      </w:pPr>
      <w:r>
        <w:rPr/>
        <w:t>​</w:t>
      </w:r>
    </w:p>
    <w:p>
      <w:pPr>
        <w:pStyle w:val="TextBody"/>
        <w:bidi w:val="0"/>
        <w:spacing w:lineRule="auto" w:line="285" w:before="0" w:after="200"/>
        <w:ind w:left="0" w:right="0" w:hanging="0"/>
        <w:jc w:val="both"/>
        <w:rPr/>
      </w:pPr>
      <w:r>
        <w:rPr/>
        <w:t>​</w:t>
      </w:r>
    </w:p>
    <w:p>
      <w:pPr>
        <w:pStyle w:val="TextBody"/>
        <w:bidi w:val="0"/>
        <w:spacing w:lineRule="auto" w:line="285" w:before="0" w:after="20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P-25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rFonts w:ascii="Arial;Helvetica;sans-serif" w:hAnsi="Arial;Helvetica;sans-serif"/>
          <w:b/>
          <w:color w:val="ECA44A"/>
          <w:sz w:val="40"/>
        </w:rPr>
      </w:pPr>
      <w:bookmarkStart w:id="54" w:name="AGENDAITEM4"/>
      <w:bookmarkStart w:id="55" w:name="_c2a49d73_4d98_49e2_8f0b_270ac8d395c1"/>
      <w:bookmarkEnd w:id="54"/>
      <w:bookmarkEnd w:id="55"/>
      <w:r>
        <w:rPr>
          <w:rFonts w:ascii="Arial;Helvetica;sans-serif" w:hAnsi="Arial;Helvetica;sans-serif"/>
          <w:b/>
          <w:color w:val="ECA44A"/>
          <w:sz w:val="40"/>
        </w:rPr>
        <w:t>AGENDA ITEM 4</w:t>
      </w:r>
    </w:p>
    <w:p>
      <w:pPr>
        <w:pStyle w:val="TextBody"/>
        <w:bidi w:val="0"/>
        <w:spacing w:lineRule="auto" w:line="285" w:before="0" w:after="200"/>
        <w:ind w:left="0" w:right="0" w:hanging="0"/>
        <w:jc w:val="both"/>
        <w:rPr>
          <w:rFonts w:ascii="Arial;Helvetica;sans-serif" w:hAnsi="Arial;Helvetica;sans-serif"/>
          <w:b w:val="false"/>
          <w:sz w:val="32"/>
        </w:rPr>
      </w:pPr>
      <w:r>
        <w:rPr>
          <w:rFonts w:ascii="Arial;Helvetica;sans-serif" w:hAnsi="Arial;Helvetica;sans-serif"/>
          <w:b w:val="false"/>
          <w:sz w:val="32"/>
        </w:rPr>
        <w:t>Approval of Shares Authorized for Issuance</w:t>
      </w:r>
    </w:p>
    <w:p>
      <w:pPr>
        <w:pStyle w:val="TextBody"/>
        <w:bidi w:val="0"/>
        <w:spacing w:lineRule="auto" w:line="285" w:before="20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PROPOSAL OF THE BOARD OF DIRECTORS</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85" w:before="0" w:after="0"/>
              <w:ind w:left="0" w:right="0" w:hanging="0"/>
              <w:jc w:val="both"/>
              <w:rPr/>
            </w:pPr>
            <w:r>
              <w:rPr/>
              <w:t>​</w:t>
            </w:r>
          </w:p>
        </w:tc>
      </w:tr>
      <w:tr>
        <w:trPr/>
        <w:tc>
          <w:tcPr>
            <w:tcW w:w="10205" w:type="dxa"/>
            <w:tcBorders/>
            <w:shd w:fill="F2F2F2" w:val="clear"/>
            <w:vAlign w:val="center"/>
          </w:tcPr>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The Board of Directors proposes that its authority to issue shares using general capital authorization pursuant to Article 5 of the Articles of Association be renewed and approved, and any share issuances thereunder be limited to 240,801,936 shares, representing approximately 20% of the Company’s issued shares as of March 3, 2026, for a term expiring on May 22, 2027. In addition, the Board of Directors proposes that Article 5 be amended to authorize the Board of Directors, for the same term, to cancel shares repurchased under a future share repurchase program up to a maximum of 120,400,968 shares, representing approximately 10% of the Company’s issued shares as of March 3, 2026. The Board of Directors has currently no plans to implement a share repurchase program.</w:t>
            </w:r>
          </w:p>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The proposed amendments to our Articles of Association reflecting this general authorization would replace the authorization to issue shares using authorized share capital that was approved by shareholders at our 2025 Annual General Meeting, which expires on May 30, 2026.</w:t>
            </w:r>
          </w:p>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The Board of Directors believes that providing the flexibility to issue shares quickly and opportunistically and to cancel repurchased shares is a strategic benefit to the Company and that the proposal would more closely align the Company’s capital management authority with that of its peers.</w:t>
            </w:r>
          </w:p>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The proposed amendments to the Articles of Association in respect of this Agenda Item 4 are included in Annex A.</w:t>
            </w:r>
          </w:p>
        </w:tc>
      </w:tr>
    </w:tbl>
    <w:p>
      <w:pPr>
        <w:pStyle w:val="TextBody"/>
        <w:bidi w:val="0"/>
        <w:spacing w:lineRule="auto" w:line="285" w:before="20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EXPLANATION</w:t>
      </w:r>
    </w:p>
    <w:p>
      <w:pPr>
        <w:pStyle w:val="TextBody"/>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At our 2025 Annual General Meeting, shareholders authorized the issuance of up to 188,165,780 shares (representing approximately 20% of our share capital as of March 6, 2025) for general purposes. This authorization to issue shares expires on May 30, 2026.</w:t>
      </w:r>
    </w:p>
    <w:p>
      <w:pPr>
        <w:pStyle w:val="TextBody"/>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As of March 3, 2026, the issued share capital of the Company consisted of 1,204,009,681 shares. Upon approval of the current proposal, we would be authorized to issue for general purposes up to 240,801,936 shares, or approximately 20% of our share capital as of March 3, 2026, for a term expiring on May 22, 2027, and to cancel, for general capital management purposes, up to 120,400,968 shares repurchased under a share repurchase program, or approximately 10% of our share capital as of March 3, 2026, during the same term. The Board of Directors currently has no plans to implement a share repurchase program but believes it is prudent to obtain the authority to cancel shares that may be repurchased in the future from time to time. The proposed amendments to Article 5 of our Articles of Association reflecting this authorization would replace the authorization approved by shareholders at our 2025 Annual General Meeting. Under the proposed capital authorization, our Board of Directors would have authority to exclude preemptive rights in connection with an issuance of new shares, as provided in our Articles of Association.</w:t>
      </w:r>
    </w:p>
    <w:p>
      <w:pPr>
        <w:pStyle w:val="TextBody"/>
        <w:bidi w:val="0"/>
        <w:spacing w:lineRule="auto" w:line="285" w:before="120" w:after="0"/>
        <w:ind w:left="0" w:right="0" w:hanging="0"/>
        <w:jc w:val="both"/>
        <w:rPr>
          <w:rFonts w:ascii="Arial;Helvetica;sans-serif" w:hAnsi="Arial;Helvetica;sans-serif"/>
          <w:sz w:val="20"/>
        </w:rPr>
      </w:pPr>
      <w:r>
        <w:rPr>
          <w:rFonts w:ascii="Arial;Helvetica;sans-serif" w:hAnsi="Arial;Helvetica;sans-serif"/>
          <w:sz w:val="20"/>
        </w:rPr>
        <w:t xml:space="preserve">The Board of Directors believes it is advisable for our shareholders to authorize the Board of Directors to issue shares using general authorized capital and to cancel repurchased shares within the limits of NYSE rules, our Articles of Association and the Swiss Code. If this proposal is approved, we would nevertheless seek shareholder approval for the share issuances pursuant to this authorization to the extent required under NYSE rules. Under current NYSE rules, shareholder approval is generally required, with certain enumerated exceptions, to issue shares or securities convertible into or exercisable for shares in one or a series of related transactions if such shares represent 20% or more of the voting power or outstanding shares of the Company at or upon issuance. NYSE rules also require shareholder approval for an issuance of shares that would result </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P-26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56" w:name="_09f4f608_38e8_44b5_898f_ca85bb186b4a"/>
      <w:bookmarkStart w:id="57" w:name="_09f4f608_38e8_44b5_898f_ca85bb186b4a"/>
      <w:bookmarkEnd w:id="57"/>
    </w:p>
    <w:tbl>
      <w:tblPr>
        <w:tblW w:w="2000" w:type="dxa"/>
        <w:jc w:val="left"/>
        <w:tblInd w:w="0" w:type="dxa"/>
        <w:tblLayout w:type="fixed"/>
        <w:tblCellMar>
          <w:top w:w="0" w:type="dxa"/>
          <w:left w:w="0" w:type="dxa"/>
          <w:bottom w:w="0" w:type="dxa"/>
          <w:right w:w="0" w:type="dxa"/>
        </w:tblCellMar>
      </w:tblPr>
      <w:tblGrid>
        <w:gridCol w:w="124"/>
        <w:gridCol w:w="1876"/>
      </w:tblGrid>
      <w:tr>
        <w:trPr/>
        <w:tc>
          <w:tcPr>
            <w:tcW w:w="124" w:type="dxa"/>
            <w:tcBorders/>
            <w:vAlign w:val="center"/>
          </w:tcPr>
          <w:p>
            <w:pPr>
              <w:pStyle w:val="TableContents"/>
              <w:bidi w:val="0"/>
              <w:spacing w:lineRule="auto" w:line="285" w:before="0" w:after="0"/>
              <w:ind w:left="0" w:right="0" w:hanging="0"/>
              <w:jc w:val="both"/>
              <w:rPr/>
            </w:pPr>
            <w:r>
              <w:rPr/>
              <w:t>​</w:t>
            </w:r>
          </w:p>
        </w:tc>
        <w:tc>
          <w:tcPr>
            <w:tcW w:w="1876" w:type="dxa"/>
            <w:tcBorders/>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87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2"/>
              </w:rPr>
            </w:pPr>
            <w:r>
              <w:rPr>
                <w:rFonts w:ascii="Arial;Helvetica;sans-serif" w:hAnsi="Arial;Helvetica;sans-serif"/>
                <w:color w:val="FFFFFF"/>
                <w:sz w:val="22"/>
              </w:rPr>
              <w:t>AGENDA ITEM 4</w:t>
            </w:r>
          </w:p>
        </w:tc>
      </w:tr>
    </w:tbl>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 a change of control of the Company, as well as for share issuances in connection with certain benefit plans or certain related party transactions.</w:t>
      </w:r>
    </w:p>
    <w:tbl>
      <w:tblPr>
        <w:tblW w:w="6151" w:type="dxa"/>
        <w:jc w:val="left"/>
        <w:tblInd w:w="0" w:type="dxa"/>
        <w:tblLayout w:type="fixed"/>
        <w:tblCellMar>
          <w:top w:w="0" w:type="dxa"/>
          <w:left w:w="0" w:type="dxa"/>
          <w:bottom w:w="0" w:type="dxa"/>
          <w:right w:w="0" w:type="dxa"/>
        </w:tblCellMar>
      </w:tblPr>
      <w:tblGrid>
        <w:gridCol w:w="6151"/>
      </w:tblGrid>
      <w:tr>
        <w:trPr/>
        <w:tc>
          <w:tcPr>
            <w:tcW w:w="6151" w:type="dxa"/>
            <w:tcBorders/>
            <w:vAlign w:val="center"/>
          </w:tcPr>
          <w:p>
            <w:pPr>
              <w:pStyle w:val="TableContents"/>
              <w:bidi w:val="0"/>
              <w:spacing w:lineRule="auto" w:line="285" w:before="0" w:after="0"/>
              <w:ind w:left="0" w:right="0" w:hanging="0"/>
              <w:jc w:val="both"/>
              <w:rPr/>
            </w:pPr>
            <w:r>
              <w:rPr/>
              <w:t>​</w:t>
            </w:r>
          </w:p>
        </w:tc>
      </w:tr>
      <w:tr>
        <w:trPr/>
        <w:tc>
          <w:tcPr>
            <w:tcW w:w="6151" w:type="dxa"/>
            <w:tcBorders/>
            <w:shd w:fill="ECA44A" w:val="clear"/>
            <w:vAlign w:val="center"/>
          </w:tcPr>
          <w:p>
            <w:pPr>
              <w:pStyle w:val="TableContents"/>
              <w:bidi w:val="0"/>
              <w:spacing w:lineRule="auto" w:line="285" w:before="200" w:after="120"/>
              <w:ind w:left="0" w:right="0" w:hanging="0"/>
              <w:jc w:val="center"/>
              <w:rPr>
                <w:rFonts w:ascii="Arial;Helvetica;sans-serif" w:hAnsi="Arial;Helvetica;sans-serif"/>
                <w:b/>
                <w:color w:val="FFFFFF"/>
                <w:sz w:val="28"/>
              </w:rPr>
            </w:pPr>
            <w:r>
              <w:rPr>
                <w:rFonts w:ascii="Arial;Helvetica;sans-serif" w:hAnsi="Arial;Helvetica;sans-serif"/>
                <w:b/>
                <w:color w:val="FFFFFF"/>
                <w:sz w:val="28"/>
              </w:rPr>
              <w:t>RECOMMENDATION</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color w:val="FFFFFF"/>
                <w:sz w:val="20"/>
              </w:rPr>
              <w:t xml:space="preserve">The Board of Directors recommends a vote </w:t>
            </w:r>
            <w:r>
              <w:rPr>
                <w:rFonts w:ascii="Arial;Helvetica;sans-serif" w:hAnsi="Arial;Helvetica;sans-serif"/>
                <w:b/>
                <w:color w:val="FFFFFF"/>
                <w:sz w:val="20"/>
              </w:rPr>
              <w:t>FOR</w:t>
            </w:r>
            <w:r>
              <w:rPr>
                <w:rFonts w:ascii="Arial;Helvetica;sans-serif" w:hAnsi="Arial;Helvetica;sans-serif"/>
                <w:color w:val="FFFFFF"/>
                <w:sz w:val="20"/>
              </w:rPr>
              <w:t xml:space="preserve"> this Agenda Item 4.</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pPr>
      <w:r>
        <w:rPr/>
        <w:t>​</w:t>
      </w:r>
    </w:p>
    <w:p>
      <w:pPr>
        <w:pStyle w:val="TextBody"/>
        <w:bidi w:val="0"/>
        <w:spacing w:lineRule="auto" w:line="285" w:before="0" w:after="20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P-27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Arial;Helvetica;sans-serif" w:hAnsi="Arial;Helvetica;sans-serif"/>
          <w:b/>
          <w:color w:val="ECA44A"/>
          <w:sz w:val="40"/>
        </w:rPr>
      </w:pPr>
      <w:bookmarkStart w:id="58" w:name="AGENDAITEM6"/>
      <w:bookmarkStart w:id="59" w:name="_5fbaa3ce_18f1_476c_8905_32ad744ba5bc"/>
      <w:bookmarkEnd w:id="58"/>
      <w:bookmarkEnd w:id="59"/>
      <w:r>
        <w:rPr>
          <w:rFonts w:ascii="Arial;Helvetica;sans-serif" w:hAnsi="Arial;Helvetica;sans-serif"/>
          <w:b/>
          <w:color w:val="ECA44A"/>
          <w:sz w:val="40"/>
        </w:rPr>
        <w:t>AGENDA ITEM 5</w:t>
      </w:r>
    </w:p>
    <w:p>
      <w:pPr>
        <w:pStyle w:val="TextBody"/>
        <w:bidi w:val="0"/>
        <w:spacing w:lineRule="auto" w:line="285" w:before="0" w:after="200"/>
        <w:ind w:left="0" w:right="0" w:hanging="0"/>
        <w:jc w:val="both"/>
        <w:rPr>
          <w:rFonts w:ascii="Arial;Helvetica;sans-serif" w:hAnsi="Arial;Helvetica;sans-serif"/>
          <w:sz w:val="32"/>
        </w:rPr>
      </w:pPr>
      <w:r>
        <w:rPr>
          <w:rFonts w:ascii="Arial;Helvetica;sans-serif" w:hAnsi="Arial;Helvetica;sans-serif"/>
          <w:sz w:val="32"/>
        </w:rPr>
        <w:t>Election of 11 Directors, Each for a Term Extending Until Completion of the Next Annual General Meeting</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NOMINATIONS OF THE BOARD OF DIRECTORS</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85" w:before="0" w:after="0"/>
              <w:ind w:left="0" w:right="0" w:hanging="0"/>
              <w:jc w:val="both"/>
              <w:rPr/>
            </w:pPr>
            <w:r>
              <w:rPr/>
              <w:t>​</w:t>
            </w:r>
          </w:p>
        </w:tc>
      </w:tr>
      <w:tr>
        <w:trPr/>
        <w:tc>
          <w:tcPr>
            <w:tcW w:w="10205" w:type="dxa"/>
            <w:tcBorders/>
            <w:shd w:fill="F2F2F2" w:val="clear"/>
            <w:vAlign w:val="center"/>
          </w:tcPr>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The Board of Directors has nominated the following candidates for election to the Board of Directors of the Company, each for a term extending until completion of the next annual general meeting.</w:t>
            </w:r>
          </w:p>
        </w:tc>
      </w:tr>
    </w:tbl>
    <w:p>
      <w:pPr>
        <w:pStyle w:val="TextBody"/>
        <w:bidi w:val="0"/>
        <w:spacing w:lineRule="auto" w:line="285" w:before="0" w:after="200"/>
        <w:ind w:left="0" w:right="0" w:hanging="0"/>
        <w:jc w:val="both"/>
        <w:rPr/>
      </w:pPr>
      <w:r>
        <w:rPr/>
        <w:t>​</w:t>
      </w:r>
    </w:p>
    <w:tbl>
      <w:tblPr>
        <w:tblW w:w="5215" w:type="dxa"/>
        <w:jc w:val="left"/>
        <w:tblInd w:w="0" w:type="dxa"/>
        <w:tblLayout w:type="fixed"/>
        <w:tblCellMar>
          <w:top w:w="0" w:type="dxa"/>
          <w:left w:w="0" w:type="dxa"/>
          <w:bottom w:w="0" w:type="dxa"/>
          <w:right w:w="0" w:type="dxa"/>
        </w:tblCellMar>
      </w:tblPr>
      <w:tblGrid>
        <w:gridCol w:w="2926"/>
        <w:gridCol w:w="109"/>
        <w:gridCol w:w="109"/>
        <w:gridCol w:w="2071"/>
      </w:tblGrid>
      <w:tr>
        <w:trPr/>
        <w:tc>
          <w:tcPr>
            <w:tcW w:w="2926"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2071" w:type="dxa"/>
            <w:tcBorders/>
            <w:vAlign w:val="center"/>
          </w:tcPr>
          <w:p>
            <w:pPr>
              <w:pStyle w:val="TableContents"/>
              <w:bidi w:val="0"/>
              <w:spacing w:lineRule="auto" w:line="285" w:before="0" w:after="0"/>
              <w:ind w:left="0" w:right="0" w:hanging="0"/>
              <w:jc w:val="both"/>
              <w:rPr/>
            </w:pPr>
            <w:r>
              <w:rPr/>
              <w:t>​</w:t>
            </w:r>
          </w:p>
        </w:tc>
      </w:tr>
      <w:tr>
        <w:trPr/>
        <w:tc>
          <w:tcPr>
            <w:tcW w:w="292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Keelan I. Adamson</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both"/>
              <w:rPr/>
            </w:pPr>
            <w:r>
              <w:rPr/>
              <w:t>​</w:t>
            </w:r>
          </w:p>
        </w:tc>
        <w:tc>
          <w:tcPr>
            <w:tcW w:w="109" w:type="dxa"/>
            <w:tcBorders>
              <w:left w:val="single" w:sz="2" w:space="0" w:color="D9D9D9"/>
            </w:tcBorders>
            <w:tcMar>
              <w:left w:w="100" w:type="dxa"/>
            </w:tcMar>
            <w:vAlign w:val="center"/>
          </w:tcPr>
          <w:p>
            <w:pPr>
              <w:pStyle w:val="TableContents"/>
              <w:bidi w:val="0"/>
              <w:spacing w:lineRule="auto" w:line="285" w:before="0" w:after="0"/>
              <w:ind w:left="0" w:right="0" w:hanging="0"/>
              <w:jc w:val="both"/>
              <w:rPr/>
            </w:pPr>
            <w:r>
              <w:rPr/>
              <w:t>​</w:t>
            </w:r>
          </w:p>
        </w:tc>
        <w:tc>
          <w:tcPr>
            <w:tcW w:w="2071"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Vincent J. Intrieri</w:t>
            </w:r>
          </w:p>
        </w:tc>
      </w:tr>
      <w:tr>
        <w:trPr/>
        <w:tc>
          <w:tcPr>
            <w:tcW w:w="292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Glyn A. Barker</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both"/>
              <w:rPr/>
            </w:pPr>
            <w:r>
              <w:rPr/>
              <w:t>​</w:t>
            </w:r>
          </w:p>
        </w:tc>
        <w:tc>
          <w:tcPr>
            <w:tcW w:w="109" w:type="dxa"/>
            <w:tcBorders>
              <w:left w:val="single" w:sz="2" w:space="0" w:color="D9D9D9"/>
            </w:tcBorders>
            <w:tcMar>
              <w:left w:w="100" w:type="dxa"/>
            </w:tcMar>
            <w:vAlign w:val="center"/>
          </w:tcPr>
          <w:p>
            <w:pPr>
              <w:pStyle w:val="TableContents"/>
              <w:bidi w:val="0"/>
              <w:spacing w:lineRule="auto" w:line="285" w:before="0" w:after="0"/>
              <w:ind w:left="0" w:right="0" w:hanging="0"/>
              <w:jc w:val="both"/>
              <w:rPr/>
            </w:pPr>
            <w:r>
              <w:rPr/>
              <w:t>​</w:t>
            </w:r>
          </w:p>
        </w:tc>
        <w:tc>
          <w:tcPr>
            <w:tcW w:w="2071"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William F. “Bill” Lacey</w:t>
            </w:r>
          </w:p>
        </w:tc>
      </w:tr>
      <w:tr>
        <w:trPr/>
        <w:tc>
          <w:tcPr>
            <w:tcW w:w="292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Vanessa C.L. Chang</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both"/>
              <w:rPr/>
            </w:pPr>
            <w:r>
              <w:rPr/>
              <w:t>​</w:t>
            </w:r>
          </w:p>
        </w:tc>
        <w:tc>
          <w:tcPr>
            <w:tcW w:w="109" w:type="dxa"/>
            <w:tcBorders>
              <w:left w:val="single" w:sz="2" w:space="0" w:color="D9D9D9"/>
            </w:tcBorders>
            <w:tcMar>
              <w:left w:w="100" w:type="dxa"/>
            </w:tcMar>
            <w:vAlign w:val="center"/>
          </w:tcPr>
          <w:p>
            <w:pPr>
              <w:pStyle w:val="TableContents"/>
              <w:bidi w:val="0"/>
              <w:spacing w:lineRule="auto" w:line="285" w:before="0" w:after="0"/>
              <w:ind w:left="0" w:right="0" w:hanging="0"/>
              <w:jc w:val="both"/>
              <w:rPr/>
            </w:pPr>
            <w:r>
              <w:rPr/>
              <w:t>​</w:t>
            </w:r>
          </w:p>
        </w:tc>
        <w:tc>
          <w:tcPr>
            <w:tcW w:w="2071"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Samuel J. Merksamer</w:t>
            </w:r>
          </w:p>
        </w:tc>
      </w:tr>
      <w:tr>
        <w:trPr/>
        <w:tc>
          <w:tcPr>
            <w:tcW w:w="292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Frederico F. Curado </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both"/>
              <w:rPr/>
            </w:pPr>
            <w:r>
              <w:rPr/>
              <w:t>​</w:t>
            </w:r>
          </w:p>
        </w:tc>
        <w:tc>
          <w:tcPr>
            <w:tcW w:w="109" w:type="dxa"/>
            <w:tcBorders>
              <w:left w:val="single" w:sz="2" w:space="0" w:color="D9D9D9"/>
            </w:tcBorders>
            <w:tcMar>
              <w:left w:w="100" w:type="dxa"/>
            </w:tcMar>
            <w:vAlign w:val="center"/>
          </w:tcPr>
          <w:p>
            <w:pPr>
              <w:pStyle w:val="TableContents"/>
              <w:bidi w:val="0"/>
              <w:spacing w:lineRule="auto" w:line="285" w:before="0" w:after="0"/>
              <w:ind w:left="0" w:right="0" w:hanging="0"/>
              <w:jc w:val="both"/>
              <w:rPr/>
            </w:pPr>
            <w:r>
              <w:rPr/>
              <w:t>​</w:t>
            </w:r>
          </w:p>
        </w:tc>
        <w:tc>
          <w:tcPr>
            <w:tcW w:w="2071"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Frederik W. Mohn</w:t>
            </w:r>
          </w:p>
        </w:tc>
      </w:tr>
      <w:tr>
        <w:trPr/>
        <w:tc>
          <w:tcPr>
            <w:tcW w:w="292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Chadwick C. Deaton</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both"/>
              <w:rPr/>
            </w:pPr>
            <w:r>
              <w:rPr/>
              <w:t>​</w:t>
            </w:r>
          </w:p>
        </w:tc>
        <w:tc>
          <w:tcPr>
            <w:tcW w:w="109" w:type="dxa"/>
            <w:tcBorders>
              <w:left w:val="single" w:sz="2" w:space="0" w:color="D9D9D9"/>
            </w:tcBorders>
            <w:tcMar>
              <w:left w:w="100" w:type="dxa"/>
            </w:tcMar>
            <w:vAlign w:val="center"/>
          </w:tcPr>
          <w:p>
            <w:pPr>
              <w:pStyle w:val="TableContents"/>
              <w:bidi w:val="0"/>
              <w:spacing w:lineRule="auto" w:line="285" w:before="0" w:after="0"/>
              <w:ind w:left="0" w:right="0" w:hanging="0"/>
              <w:jc w:val="both"/>
              <w:rPr/>
            </w:pPr>
            <w:r>
              <w:rPr/>
              <w:t>​</w:t>
            </w:r>
          </w:p>
        </w:tc>
        <w:tc>
          <w:tcPr>
            <w:tcW w:w="2071"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Jeremy D. Thigpen</w:t>
            </w:r>
          </w:p>
        </w:tc>
      </w:tr>
      <w:tr>
        <w:trPr/>
        <w:tc>
          <w:tcPr>
            <w:tcW w:w="292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Domenic J. “Nick” Dell’Osso, Jr.</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both"/>
              <w:rPr/>
            </w:pPr>
            <w:r>
              <w:rPr/>
              <w:t>​</w:t>
            </w:r>
          </w:p>
        </w:tc>
        <w:tc>
          <w:tcPr>
            <w:tcW w:w="109" w:type="dxa"/>
            <w:tcBorders>
              <w:left w:val="single" w:sz="2" w:space="0" w:color="D9D9D9"/>
            </w:tcBorders>
            <w:tcMar>
              <w:left w:w="100" w:type="dxa"/>
            </w:tcMar>
            <w:vAlign w:val="center"/>
          </w:tcPr>
          <w:p>
            <w:pPr>
              <w:pStyle w:val="TableContents"/>
              <w:bidi w:val="0"/>
              <w:spacing w:lineRule="auto" w:line="285" w:before="0" w:after="0"/>
              <w:ind w:left="0" w:right="0" w:hanging="0"/>
              <w:jc w:val="both"/>
              <w:rPr/>
            </w:pPr>
            <w:r>
              <w:rPr/>
              <w:t>​</w:t>
            </w:r>
          </w:p>
        </w:tc>
        <w:tc>
          <w:tcPr>
            <w:tcW w:w="2071" w:type="dxa"/>
            <w:tcBorders/>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32"/>
        </w:rPr>
      </w:pPr>
      <w:r>
        <w:rPr>
          <w:rFonts w:ascii="Arial;Helvetica;sans-serif" w:hAnsi="Arial;Helvetica;sans-serif"/>
          <w:sz w:val="32"/>
        </w:rPr>
        <w:t>Director Nomination Process</w:t>
      </w:r>
    </w:p>
    <w:p>
      <w:pPr>
        <w:pStyle w:val="TextBody"/>
        <w:bidi w:val="0"/>
        <w:spacing w:lineRule="auto" w:line="304" w:before="0" w:after="120"/>
        <w:ind w:left="0" w:right="0" w:hanging="0"/>
        <w:jc w:val="left"/>
        <w:rPr>
          <w:rFonts w:ascii="Arial;Helvetica;sans-serif" w:hAnsi="Arial;Helvetica;sans-serif"/>
          <w:sz w:val="20"/>
        </w:rPr>
      </w:pPr>
      <w:r>
        <w:rPr>
          <w:rFonts w:ascii="Arial;Helvetica;sans-serif" w:hAnsi="Arial;Helvetica;sans-serif"/>
          <w:sz w:val="20"/>
        </w:rPr>
        <w:t>The Board of Directors has designated the Governance, Safety &amp; Environment Committee as the committee authorized to consider and recommend candidates to the Board of Directors. The Board of Directors believes that all members of the Governance, Safety &amp; Environment Committee meet the applicable NYSE independence requirements.</w:t>
      </w:r>
    </w:p>
    <w:p>
      <w:pPr>
        <w:pStyle w:val="TextBody"/>
        <w:bidi w:val="0"/>
        <w:spacing w:lineRule="auto" w:line="304" w:before="0" w:after="120"/>
        <w:ind w:left="0" w:right="0" w:hanging="0"/>
        <w:jc w:val="left"/>
        <w:rPr>
          <w:rFonts w:ascii="Arial;Helvetica;sans-serif" w:hAnsi="Arial;Helvetica;sans-serif"/>
          <w:sz w:val="20"/>
        </w:rPr>
      </w:pPr>
      <w:r>
        <w:rPr>
          <w:rFonts w:ascii="Arial;Helvetica;sans-serif" w:hAnsi="Arial;Helvetica;sans-serif"/>
          <w:sz w:val="20"/>
        </w:rPr>
        <w:t>Our Corporate Governance Guidelines provide that the Governance, Safety &amp; Environment Committee should periodically assess the needs of the Company and the Board of Directors, so as to recommend candidates who will advance our goals. In making that assessment, the Governance, Safety &amp; Environment Committee has determined that a recommended candidate must have the following minimum qualifications:</w:t>
      </w:r>
    </w:p>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4411"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High professional and personal</w:t>
            </w:r>
            <w:r>
              <w:rPr>
                <w:caps w:val="false"/>
                <w:smallCaps w:val="false"/>
              </w:rPr>
              <w:t xml:space="preserve"> </w:t>
            </w:r>
            <w:r>
              <w:rPr>
                <w:rFonts w:ascii="Arial;Helvetica;sans-serif" w:hAnsi="Arial;Helvetica;sans-serif"/>
                <w:b w:val="false"/>
                <w:i w:val="false"/>
                <w:caps w:val="false"/>
                <w:smallCaps w:val="false"/>
                <w:sz w:val="20"/>
              </w:rPr>
              <w:t>ethics and values</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5671"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 record of professional</w:t>
            </w:r>
            <w:r>
              <w:rPr>
                <w:caps w:val="false"/>
                <w:smallCaps w:val="false"/>
              </w:rPr>
              <w:t xml:space="preserve"> </w:t>
            </w:r>
            <w:r>
              <w:rPr>
                <w:rFonts w:ascii="Arial;Helvetica;sans-serif" w:hAnsi="Arial;Helvetica;sans-serif"/>
                <w:b w:val="false"/>
                <w:i w:val="false"/>
                <w:caps w:val="false"/>
                <w:smallCaps w:val="false"/>
                <w:sz w:val="20"/>
              </w:rPr>
              <w:t>accomplishment in his/her chosen field</w:t>
            </w:r>
          </w:p>
        </w:tc>
      </w:tr>
    </w:tbl>
    <w:tbl>
      <w:tblPr>
        <w:tblW w:w="3531" w:type="dxa"/>
        <w:jc w:val="left"/>
        <w:tblInd w:w="0" w:type="dxa"/>
        <w:tblLayout w:type="fixed"/>
        <w:tblCellMar>
          <w:top w:w="28" w:type="dxa"/>
          <w:left w:w="28" w:type="dxa"/>
          <w:bottom w:w="28" w:type="dxa"/>
          <w:right w:w="28" w:type="dxa"/>
        </w:tblCellMar>
      </w:tblPr>
      <w:tblGrid>
        <w:gridCol w:w="124"/>
        <w:gridCol w:w="256"/>
        <w:gridCol w:w="3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3151"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Relevant expertise</w:t>
            </w:r>
            <w:r>
              <w:rPr>
                <w:caps w:val="false"/>
                <w:smallCaps w:val="false"/>
              </w:rPr>
              <w:t xml:space="preserve"> </w:t>
            </w:r>
            <w:r>
              <w:rPr>
                <w:rFonts w:ascii="Arial;Helvetica;sans-serif" w:hAnsi="Arial;Helvetica;sans-serif"/>
                <w:b w:val="false"/>
                <w:i w:val="false"/>
                <w:caps w:val="false"/>
                <w:smallCaps w:val="false"/>
                <w:sz w:val="20"/>
              </w:rPr>
              <w:t>and experience</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7696"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A reputation, both personal and professional, consistent with our FIRST </w:t>
            </w:r>
            <w:r>
              <w:rPr>
                <w:rFonts w:ascii="Arial;Helvetica;sans-serif" w:hAnsi="Arial;Helvetica;sans-serif"/>
                <w:b w:val="false"/>
                <w:i/>
                <w:sz w:val="20"/>
              </w:rPr>
              <w:t>Shared Values</w:t>
            </w:r>
          </w:p>
        </w:tc>
      </w:tr>
    </w:tbl>
    <w:p>
      <w:pPr>
        <w:pStyle w:val="TextBody"/>
        <w:bidi w:val="0"/>
        <w:spacing w:lineRule="auto" w:line="285" w:before="180" w:after="180"/>
        <w:ind w:left="0" w:right="0" w:hanging="0"/>
        <w:jc w:val="both"/>
        <w:rPr>
          <w:rFonts w:ascii="Arial;Helvetica;sans-serif" w:hAnsi="Arial;Helvetica;sans-serif"/>
          <w:sz w:val="20"/>
        </w:rPr>
      </w:pPr>
      <w:r>
        <w:rPr>
          <w:rFonts w:ascii="Arial;Helvetica;sans-serif" w:hAnsi="Arial;Helvetica;sans-serif"/>
          <w:sz w:val="20"/>
        </w:rPr>
        <w:t>In addition to these minimum qualifications, the Governance, Safety &amp; Environment Committee considers other qualities in candidates that may be desirable. In particular, the Board of Directors is committed to having a majority of independent directors and, accordingly, the Governance, Safety &amp; Environment Committee evaluates the independence status of any potential director. The Governance, Safety &amp; Environment Committee evaluates if a candidate enhances the Board of Directors’ overall diversity, strengthens its chemistry and collaborative spirit, and would contribute positively to the Board’s expertise across areas such as environmental, health, safety, industry, sustainability, information security, corporate and business development, investor relations, and finance. The Governance, Safety &amp; Environment Committee also considers whether the candidate has professional or personal experiences and expertise relevant to our business (such as expertise in the industry and in critical health, safety, environmental and sustainability matters) and the Company’s position as the leading international provider of offshore drilling services.</w:t>
      </w:r>
    </w:p>
    <w:p>
      <w:pPr>
        <w:pStyle w:val="TextBody"/>
        <w:bidi w:val="0"/>
        <w:spacing w:lineRule="auto" w:line="285" w:before="180" w:after="0"/>
        <w:ind w:left="0" w:right="0" w:hanging="0"/>
        <w:jc w:val="both"/>
        <w:rPr>
          <w:rFonts w:ascii="Arial;Helvetica;sans-serif" w:hAnsi="Arial;Helvetica;sans-serif"/>
          <w:sz w:val="20"/>
        </w:rPr>
      </w:pPr>
      <w:r>
        <w:rPr>
          <w:rFonts w:ascii="Arial;Helvetica;sans-serif" w:hAnsi="Arial;Helvetica;sans-serif"/>
          <w:sz w:val="20"/>
        </w:rPr>
        <w:t xml:space="preserve">The Governance, Safety &amp; Environment Committee has several methods of identifying Board of Directors candidates. First, the Governance, Safety &amp; Environment Committee considers and evaluates annually whether each candidate is qualified to be nominated for election to the Board of Directors. Second, the Governance, Safety &amp; Environment Committee requests from time to time that its members and the other Board members identify possible candidates for any vacancies or potential vacancies. Third, the Governance, Safety &amp; Environment Committee has the authority to retain one or more executive search firms to aid in its search for </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P-28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60" w:name="_3bd8ac31_ce9a_4d65_9b83_e67a6767e209"/>
      <w:bookmarkStart w:id="61" w:name="_b98f3f5b_f29f_47fd_9541_7eed7f4df41f"/>
      <w:bookmarkStart w:id="62" w:name="_f2bd0bdb_1f86_4832_ad4a_e4df5538a20d"/>
      <w:bookmarkStart w:id="63" w:name="_28544ca2_67d5_456d_bcd5_48452e282aa0"/>
      <w:bookmarkStart w:id="64" w:name="_3bd8ac31_ce9a_4d65_9b83_e67a6767e209"/>
      <w:bookmarkStart w:id="65" w:name="_b98f3f5b_f29f_47fd_9541_7eed7f4df41f"/>
      <w:bookmarkStart w:id="66" w:name="_f2bd0bdb_1f86_4832_ad4a_e4df5538a20d"/>
      <w:bookmarkStart w:id="67" w:name="_28544ca2_67d5_456d_bcd5_48452e282aa0"/>
      <w:bookmarkEnd w:id="64"/>
      <w:bookmarkEnd w:id="65"/>
      <w:bookmarkEnd w:id="66"/>
      <w:bookmarkEnd w:id="67"/>
    </w:p>
    <w:tbl>
      <w:tblPr>
        <w:tblW w:w="1805" w:type="dxa"/>
        <w:jc w:val="left"/>
        <w:tblInd w:w="0" w:type="dxa"/>
        <w:tblLayout w:type="fixed"/>
        <w:tblCellMar>
          <w:top w:w="0" w:type="dxa"/>
          <w:left w:w="0" w:type="dxa"/>
          <w:bottom w:w="0" w:type="dxa"/>
          <w:right w:w="0" w:type="dxa"/>
        </w:tblCellMar>
      </w:tblPr>
      <w:tblGrid>
        <w:gridCol w:w="124"/>
        <w:gridCol w:w="1681"/>
      </w:tblGrid>
      <w:tr>
        <w:trPr/>
        <w:tc>
          <w:tcPr>
            <w:tcW w:w="124" w:type="dxa"/>
            <w:tcBorders/>
            <w:vAlign w:val="center"/>
          </w:tcPr>
          <w:p>
            <w:pPr>
              <w:pStyle w:val="TableContents"/>
              <w:bidi w:val="0"/>
              <w:spacing w:lineRule="auto" w:line="285" w:before="0" w:after="0"/>
              <w:ind w:left="0" w:right="0" w:hanging="0"/>
              <w:jc w:val="both"/>
              <w:rPr/>
            </w:pPr>
            <w:r>
              <w:rPr/>
              <w:t>​</w:t>
            </w:r>
          </w:p>
        </w:tc>
        <w:tc>
          <w:tcPr>
            <w:tcW w:w="1681" w:type="dxa"/>
            <w:tcBorders/>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68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AGENDA ITEM 5</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potential Board of Directors candidates, interview those candidates, and  research their backgrounds and qualifications.</w:t>
      </w:r>
    </w:p>
    <w:p>
      <w:pPr>
        <w:pStyle w:val="TextBody"/>
        <w:bidi w:val="0"/>
        <w:spacing w:lineRule="auto" w:line="285" w:before="180" w:after="200"/>
        <w:ind w:left="0" w:right="0" w:hanging="0"/>
        <w:jc w:val="both"/>
        <w:rPr>
          <w:rFonts w:ascii="Arial;Helvetica;sans-serif" w:hAnsi="Arial;Helvetica;sans-serif"/>
          <w:sz w:val="20"/>
        </w:rPr>
      </w:pPr>
      <w:r>
        <w:rPr>
          <w:rFonts w:ascii="Arial;Helvetica;sans-serif" w:hAnsi="Arial;Helvetica;sans-serif"/>
          <w:sz w:val="20"/>
        </w:rPr>
        <w:t>The Governance, Safety &amp; Environment Committee also considers candidates for director who are recommended by our shareholders. Recommendations may be submitted in writing, along with:</w:t>
      </w:r>
    </w:p>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name of and contact information for the candidate;</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statement detailing the candidate’s qualifications and business and educational experience;</w:t>
            </w:r>
          </w:p>
        </w:tc>
      </w:tr>
    </w:tbl>
    <w:tbl>
      <w:tblPr>
        <w:tblW w:w="9801" w:type="dxa"/>
        <w:jc w:val="left"/>
        <w:tblInd w:w="0" w:type="dxa"/>
        <w:tblLayout w:type="fixed"/>
        <w:tblCellMar>
          <w:top w:w="28" w:type="dxa"/>
          <w:left w:w="28" w:type="dxa"/>
          <w:bottom w:w="28" w:type="dxa"/>
          <w:right w:w="28" w:type="dxa"/>
        </w:tblCellMar>
      </w:tblPr>
      <w:tblGrid>
        <w:gridCol w:w="124"/>
        <w:gridCol w:w="25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Information regarding the qualifications and qualities described under “Director Nomination Process” above;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signed statement of the proposed candidate consenting to be named as a candidate and, if nominated and elected, to serve as a director;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signed irrevocable letter of resignation from the proposed candidate that, in accordance with our Corporate Governance Guidelines, would be effective upon and only in the event that (1) in an uncontested election, such candidate fails to receive more votes cast “FOR” than “AGAINST” his or her election and (2) the Board of Directors accepts the resignation;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statement that the writer is a shareholder and is proposing a candidate for consideration by the Governance, Safety &amp; Environment Committee;</w:t>
            </w:r>
          </w:p>
        </w:tc>
      </w:tr>
    </w:tbl>
    <w:tbl>
      <w:tblPr>
        <w:tblW w:w="10146" w:type="dxa"/>
        <w:jc w:val="left"/>
        <w:tblInd w:w="0" w:type="dxa"/>
        <w:tblLayout w:type="fixed"/>
        <w:tblCellMar>
          <w:top w:w="28" w:type="dxa"/>
          <w:left w:w="28" w:type="dxa"/>
          <w:bottom w:w="28" w:type="dxa"/>
          <w:right w:w="28"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7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statement detailing any relationship between the candidate and any customer, supplier or competitor of ours;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Financial and accounting experience of the candidate, to enable the Governance, Safety &amp; Environment Committee to determine whether the candidate would be suitable for Audit Committee membership;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Detailed information about any relationship or understanding between the proposing shareholder and the candidate.</w:t>
            </w:r>
          </w:p>
        </w:tc>
      </w:tr>
    </w:tbl>
    <w:p>
      <w:pPr>
        <w:pStyle w:val="TextBody"/>
        <w:bidi w:val="0"/>
        <w:spacing w:lineRule="auto" w:line="285" w:before="180" w:after="200"/>
        <w:ind w:left="0" w:right="0" w:hanging="0"/>
        <w:jc w:val="both"/>
        <w:rPr>
          <w:rFonts w:ascii="Arial;Helvetica;sans-serif" w:hAnsi="Arial;Helvetica;sans-serif"/>
          <w:sz w:val="20"/>
        </w:rPr>
      </w:pPr>
      <w:r>
        <w:rPr>
          <w:rFonts w:ascii="Arial;Helvetica;sans-serif" w:hAnsi="Arial;Helvetica;sans-serif"/>
          <w:sz w:val="20"/>
        </w:rPr>
        <w:t>Shareholders may submit candidates to:</w:t>
      </w:r>
    </w:p>
    <w:tbl>
      <w:tblPr>
        <w:tblW w:w="3431" w:type="dxa"/>
        <w:jc w:val="left"/>
        <w:tblInd w:w="0" w:type="dxa"/>
        <w:tblLayout w:type="fixed"/>
        <w:tblCellMar>
          <w:top w:w="0" w:type="dxa"/>
          <w:left w:w="0" w:type="dxa"/>
          <w:bottom w:w="0" w:type="dxa"/>
          <w:right w:w="0" w:type="dxa"/>
        </w:tblCellMar>
      </w:tblPr>
      <w:tblGrid>
        <w:gridCol w:w="595"/>
        <w:gridCol w:w="2836"/>
      </w:tblGrid>
      <w:tr>
        <w:trPr/>
        <w:tc>
          <w:tcPr>
            <w:tcW w:w="595" w:type="dxa"/>
            <w:tcBorders/>
            <w:vAlign w:val="center"/>
          </w:tcPr>
          <w:p>
            <w:pPr>
              <w:pStyle w:val="TableContents"/>
              <w:bidi w:val="0"/>
              <w:spacing w:lineRule="auto" w:line="285" w:before="0" w:after="0"/>
              <w:ind w:left="0" w:right="0" w:hanging="0"/>
              <w:jc w:val="both"/>
              <w:rPr/>
            </w:pPr>
            <w:r>
              <w:rPr/>
              <w:t>​</w:t>
            </w:r>
          </w:p>
        </w:tc>
        <w:tc>
          <w:tcPr>
            <w:tcW w:w="2836" w:type="dxa"/>
            <w:tcBorders/>
            <w:vAlign w:val="center"/>
          </w:tcPr>
          <w:p>
            <w:pPr>
              <w:pStyle w:val="TableContents"/>
              <w:bidi w:val="0"/>
              <w:spacing w:lineRule="auto" w:line="285" w:before="0" w:after="0"/>
              <w:ind w:left="0" w:right="0" w:hanging="0"/>
              <w:jc w:val="both"/>
              <w:rPr/>
            </w:pPr>
            <w:r>
              <w:rPr/>
              <w:t>​</w:t>
            </w:r>
          </w:p>
        </w:tc>
      </w:tr>
      <w:tr>
        <w:trPr/>
        <w:tc>
          <w:tcPr>
            <w:tcW w:w="595" w:type="dxa"/>
            <w:tcBorders/>
            <w:vAlign w:val="center"/>
          </w:tcPr>
          <w:p>
            <w:pPr>
              <w:pStyle w:val="TableContents"/>
              <w:bidi w:val="0"/>
              <w:spacing w:lineRule="auto" w:line="285" w:before="0" w:after="200"/>
              <w:ind w:left="0" w:right="0" w:hanging="0"/>
              <w:jc w:val="both"/>
              <w:rPr/>
            </w:pPr>
            <w:r>
              <w:rPr/>
              <w:drawing>
                <wp:inline distT="0" distB="0" distL="0" distR="0">
                  <wp:extent cx="313690" cy="301625"/>
                  <wp:effectExtent l="0" t="0" r="0" b="0"/>
                  <wp:docPr id="10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0" descr=""/>
                          <pic:cNvPicPr>
                            <a:picLocks noChangeAspect="1" noChangeArrowheads="1"/>
                          </pic:cNvPicPr>
                        </pic:nvPicPr>
                        <pic:blipFill>
                          <a:blip r:embed="rId71"/>
                          <a:stretch>
                            <a:fillRect/>
                          </a:stretch>
                        </pic:blipFill>
                        <pic:spPr bwMode="auto">
                          <a:xfrm>
                            <a:off x="0" y="0"/>
                            <a:ext cx="313690" cy="301625"/>
                          </a:xfrm>
                          <a:prstGeom prst="rect">
                            <a:avLst/>
                          </a:prstGeom>
                        </pic:spPr>
                      </pic:pic>
                    </a:graphicData>
                  </a:graphic>
                </wp:inline>
              </w:drawing>
            </w:r>
          </w:p>
        </w:tc>
        <w:tc>
          <w:tcPr>
            <w:tcW w:w="28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Transocean Ltd.</w:t>
              <w:br/>
              <w:t>Attention: Corporate Secretary</w:t>
              <w:br/>
              <w:t>Turmstrasse 30</w:t>
              <w:br/>
              <w:t>6312 Steinhausen, Switzerland</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Unsolicited recommendations must contain all of the information that would be required in a proxy statement soliciting proxies for the election of the candidate as a director. The extent to which the Governance, Safety &amp; Environment Committee dedicates time and resources to the consideration and evaluation of any potential nominee brought to its attention depends on the information available to the Governance, Safety &amp; Environment Committee about the qualifications and suitability of the individual, considering the needs of the Board of Directors, and is at the Governance, Safety &amp; Environment Committee’s discretion. The Governance, Safety &amp; Environment Committee evaluates the desirability for incumbent directors to continue on the Board of Directors following the expiration of their respective terms, taking into account their contributions as Board members and the benefit that results from the increasing insight and experience developed over time. Although the Governance, Safety &amp; Environment Committee will consider candidates for director recommended by shareholders, it may determine not to recommend those candidates to the Board of Directors, or the Board of Directors may decide not to nominate those candidates for election to the Board of Directors. Upon completion of their review of candidates, the Governance, Safety &amp; Environment Committee provides their recommendations to the Board of Directors for consideration.</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P-29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both"/>
        <w:rPr/>
      </w:pPr>
      <w:r>
        <w:rPr/>
        <w:t>​</w:t>
      </w:r>
    </w:p>
    <w:p>
      <w:pPr>
        <w:pStyle w:val="Normal"/>
        <w:bidi w:val="0"/>
        <w:spacing w:before="432" w:after="283"/>
        <w:jc w:val="left"/>
        <w:rPr>
          <w:sz w:val="4"/>
          <w:szCs w:val="4"/>
        </w:rPr>
      </w:pPr>
      <w:r>
        <w:rPr>
          <w:sz w:val="4"/>
          <w:szCs w:val="4"/>
        </w:rPr>
      </w:r>
      <w:bookmarkStart w:id="68" w:name="_93aecbc5_e1ae_4fb0_a89f_c5d5f8bb4c49"/>
      <w:bookmarkStart w:id="69" w:name="_81fac803_37b5_482e_a3a6_7f89e17b6ffa"/>
      <w:bookmarkStart w:id="70" w:name="_93aecbc5_e1ae_4fb0_a89f_c5d5f8bb4c49"/>
      <w:bookmarkStart w:id="71" w:name="_81fac803_37b5_482e_a3a6_7f89e17b6ffa"/>
      <w:bookmarkEnd w:id="70"/>
      <w:bookmarkEnd w:id="71"/>
    </w:p>
    <w:tbl>
      <w:tblPr>
        <w:tblW w:w="1805" w:type="dxa"/>
        <w:jc w:val="left"/>
        <w:tblInd w:w="0" w:type="dxa"/>
        <w:tblLayout w:type="fixed"/>
        <w:tblCellMar>
          <w:top w:w="0" w:type="dxa"/>
          <w:left w:w="0" w:type="dxa"/>
          <w:bottom w:w="0" w:type="dxa"/>
          <w:right w:w="0" w:type="dxa"/>
        </w:tblCellMar>
      </w:tblPr>
      <w:tblGrid>
        <w:gridCol w:w="1651"/>
        <w:gridCol w:w="154"/>
      </w:tblGrid>
      <w:tr>
        <w:trPr/>
        <w:tc>
          <w:tcPr>
            <w:tcW w:w="1651"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65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AGENDA ITEM 5</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 addition to recommending director nominees to the Governance, Safety &amp; Environment Committee, any shareholder may, in compliance with applicable requirements, nominate directors for election at annual general meetings of the shareholders. For more information on this topic, see “Other Matters.”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 xml:space="preserve">In connection with the Board of Directors’ periodic review of the merits, skills, qualifications, and professional experiences of its members, the Board of Directors also assesses the appropriateness of its capabilities and size to determine whether any changes are necessary. </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Board of Directors takes an expansive view of the diversity of its members, with the goal of having directors with the expertise in environmental, health, safety, industry, sustainability, information security, corporate and business development, investor relations and financial matters necessary to make them effective as directors of the Company and who reflect the international nature of our workforce, our customers and the cultures of the regions in which we operate. We are a multinational company and, as of March 4, 2026, have seven different nationalities represented in our director and executive officer group, and 68 in our global workforce. We have a presence in 21 countries worldwide.</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Board considers the diversity of candidates, assesses candidate backgrounds and skillsets to complement the existing expertise of the board, and evaluates which candidates will represent the best interests of the Company’s shareholders when recommending the slate of nominees to the shareholders.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As described above, in accordance with the majority vote provisions of our Corporate Governance Guidelines, the Board of Directors may nominate only those candidates for director who have submitted an irrevocable letter of resignation, which would be effective upon and only in the event that (1) such nominee fails to receive more votes cast “FOR” than “AGAINST” his or her election in an uncontested election and (2) the Board of Directors accepts the resignation. The Board of Directors will also request a statement from any person nominated as a director by anyone other than the Board of Directors as to whether that person will also submit an irrevocable letter of resignation upon the same terms as a person nominated by the Board of Directors. For purposes of our Corporate Governance Guidelines, an uncontested election occurs in an election of directors that does not constitute a contested election, and a contested election occurs when (i) the Secretary of the Company receives a notice that a shareholder has nominated a person for election to the Board of Directors in compliance with the advance notice requirements for shareholder nominees for director set forth in our Articles of Association and (ii) such nomination has not been withdrawn by such shareholder on or prior to the day next preceding the date the Company first mails its notice of meeting for such meeting to the shareholders.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Board of Directors has determined that, should each of the 2026 director nominees be elected, the Company will have an appropriate combination of leadership, experience and oversight at this time.</w:t>
      </w:r>
    </w:p>
    <w:p>
      <w:pPr>
        <w:pStyle w:val="TextBody"/>
        <w:bidi w:val="0"/>
        <w:spacing w:lineRule="auto" w:line="285" w:before="0" w:after="200"/>
        <w:ind w:left="0" w:right="0" w:hanging="0"/>
        <w:jc w:val="both"/>
        <w:rPr>
          <w:rFonts w:ascii="Arial;Helvetica;sans-serif" w:hAnsi="Arial;Helvetica;sans-serif"/>
          <w:sz w:val="32"/>
        </w:rPr>
      </w:pPr>
      <w:r>
        <w:rPr>
          <w:rFonts w:ascii="Arial;Helvetica;sans-serif" w:hAnsi="Arial;Helvetica;sans-serif"/>
          <w:sz w:val="32"/>
        </w:rPr>
        <w:t>Board Leadership</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Board of Directors has chosen not to combine the positions of Chief Executive Officer and Chair of the Board of Directors. The Board of Directors believes that separating these positions allows our Chief Executive Officer to focus on day-to-day business of the Company, while our Chair of the Board of Directors leads the Board of Directors in providing strategic guidance to, and oversight of, management and the Company’s operations. The Board of Directors recognizes the time, effort, and energy that our Chief Executive Officer is required to devote to his position and the additional commitment the position of Chair of the Board of Directors requires. Mr. Adamson serves as President and Chief Executive Officer and a member of the Board of Directors. Mr. Thigpen serves as Executive Chair.</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To enhance independent oversight, Mr. Deaton serves as Lead Independent Director. In this position, Mr. Deaton plays a critical role in Board oversight and governance by,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presiding at all meetings of the Board of Directors at which the Executive Chair is not present, including executive sessions of independent directors; </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serving as the principal liaison between the Executive Chair and independent directors; </w:t>
            </w:r>
          </w:p>
        </w:tc>
      </w:tr>
    </w:tbl>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P-30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805" w:type="dxa"/>
        <w:jc w:val="left"/>
        <w:tblInd w:w="0" w:type="dxa"/>
        <w:tblLayout w:type="fixed"/>
        <w:tblCellMar>
          <w:top w:w="0" w:type="dxa"/>
          <w:left w:w="0" w:type="dxa"/>
          <w:bottom w:w="0" w:type="dxa"/>
          <w:right w:w="0" w:type="dxa"/>
        </w:tblCellMar>
      </w:tblPr>
      <w:tblGrid>
        <w:gridCol w:w="124"/>
        <w:gridCol w:w="1681"/>
      </w:tblGrid>
      <w:tr>
        <w:trPr/>
        <w:tc>
          <w:tcPr>
            <w:tcW w:w="124" w:type="dxa"/>
            <w:tcBorders/>
            <w:vAlign w:val="center"/>
          </w:tcPr>
          <w:p>
            <w:pPr>
              <w:pStyle w:val="TableContents"/>
              <w:bidi w:val="0"/>
              <w:spacing w:lineRule="auto" w:line="285" w:before="0" w:after="0"/>
              <w:ind w:left="0" w:right="0" w:hanging="0"/>
              <w:jc w:val="both"/>
              <w:rPr/>
            </w:pPr>
            <w:r>
              <w:rPr/>
              <w:t>​</w:t>
            </w:r>
          </w:p>
        </w:tc>
        <w:tc>
          <w:tcPr>
            <w:tcW w:w="1681" w:type="dxa"/>
            <w:tcBorders/>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68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AGENDA ITEM 5</w:t>
            </w:r>
          </w:p>
        </w:tc>
      </w:tr>
    </w:tbl>
    <w:p>
      <w:pPr>
        <w:pStyle w:val="TextBody"/>
        <w:bidi w:val="0"/>
        <w:spacing w:lineRule="auto" w:line="285" w:before="0" w:after="0"/>
        <w:ind w:left="0" w:right="0" w:hanging="0"/>
        <w:jc w:val="both"/>
        <w:rPr/>
      </w:pPr>
      <w:r>
        <w:rPr/>
        <w:t>​</w:t>
      </w:r>
    </w:p>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having the authority to call meetings of the independent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consulting with the Executive Chair on agendas for meetings of the Board of Directors and other matters pertinent to the Company and the Board of Directors. </w:t>
            </w:r>
          </w:p>
        </w:tc>
      </w:tr>
    </w:tbl>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Board of Directors believes that this leadership structure is the appropriate leadership structure for us at this time and strikes the right balance between management continuity, strategic oversight, and independent Board leadership.</w:t>
      </w:r>
    </w:p>
    <w:p>
      <w:pPr>
        <w:pStyle w:val="TextBody"/>
        <w:bidi w:val="0"/>
        <w:spacing w:lineRule="auto" w:line="285" w:before="0" w:after="200"/>
        <w:ind w:left="0" w:right="0" w:hanging="0"/>
        <w:jc w:val="both"/>
        <w:rPr>
          <w:rFonts w:ascii="Arial;Helvetica;sans-serif" w:hAnsi="Arial;Helvetica;sans-serif"/>
          <w:sz w:val="32"/>
        </w:rPr>
      </w:pPr>
      <w:r>
        <w:rPr>
          <w:rFonts w:ascii="Arial;Helvetica;sans-serif" w:hAnsi="Arial;Helvetica;sans-serif"/>
          <w:sz w:val="32"/>
        </w:rPr>
        <w:t>Executive Sessions</w:t>
      </w:r>
    </w:p>
    <w:p>
      <w:pPr>
        <w:pStyle w:val="TextBody"/>
        <w:bidi w:val="0"/>
        <w:spacing w:lineRule="auto" w:line="285" w:before="0" w:after="180"/>
        <w:ind w:left="0" w:right="0" w:hanging="0"/>
        <w:jc w:val="both"/>
        <w:rPr>
          <w:rFonts w:ascii="Arial;Helvetica;sans-serif" w:hAnsi="Arial;Helvetica;sans-serif"/>
          <w:sz w:val="20"/>
        </w:rPr>
      </w:pPr>
      <w:r>
        <w:rPr>
          <w:rFonts w:ascii="Arial;Helvetica;sans-serif" w:hAnsi="Arial;Helvetica;sans-serif"/>
          <w:sz w:val="20"/>
        </w:rPr>
        <w:t>Our independent directors met in executive session without management at each of the regularly scheduled Board of Directors’ meetings held in 2025. During 2026, the independent directors are again scheduled to meet in executive session at each regularly scheduled Board of Directors’ meeting. The Lead Independent Director, Mr. Deaton, serves as the presiding director for executive sessions of the independent directors.</w:t>
      </w:r>
    </w:p>
    <w:p>
      <w:pPr>
        <w:pStyle w:val="TextBody"/>
        <w:bidi w:val="0"/>
        <w:spacing w:lineRule="auto" w:line="285" w:before="0" w:after="200"/>
        <w:ind w:left="0" w:right="0" w:hanging="0"/>
        <w:jc w:val="both"/>
        <w:rPr>
          <w:rFonts w:ascii="Arial;Helvetica;sans-serif" w:hAnsi="Arial;Helvetica;sans-serif"/>
          <w:sz w:val="32"/>
        </w:rPr>
      </w:pPr>
      <w:r>
        <w:rPr>
          <w:rFonts w:ascii="Arial;Helvetica;sans-serif" w:hAnsi="Arial;Helvetica;sans-serif"/>
          <w:sz w:val="32"/>
        </w:rPr>
        <w:t>Director Attendance at Annual General Meeting</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We expect all of our directors to attend the 2026 Annual General Meeting. All of our directors then serving on the Board of Directors attended the 2025 Annual General Meeting.</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VOTING REQUIREMENT TO ELECT NOMINEES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election of each nominee requires the affirmative vote of a plurality of the votes cast at the 2026 Annual General Meeting. The plurality requirement means that the nominee who receives the largest number of votes for a board seat is elected. Shareholders are entitled to one vote per share for each of the directors to be elected.</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 xml:space="preserve">We have adopted a majority vote policy in the election of directors as part of our Corporate Governance Guidelines. This policy provides that the Board of Directors may nominate only those candidates for director who have submitted an irrevocable letter of resignation, which would be effective upon and only in the event that (1) such nominee fails to receive more votes cast “FOR” than “AGAINST” his or her election in an uncontested election and (2) the Board of Directors accepts the resignation. If a nominee who has submitted such a letter of resignation does not receive more votes cast for than against the nominee’s election, the Governance, Safety &amp; Environment Committee must promptly review the letter of resignation and recommend to the Board of Directors whether to accept the tendered resignation or reject it. The Board of Directors must then act on the Governance, Safety &amp; Environment Committee’s recommendation within 90 days following the certification of the shareholder vote. The Board of Directors must promptly disclose its decision regarding whether or not to accept the nominee’s resignation letter in a Form 8-K filed with or furnished to the SEC or other broadly disseminated means of communication. Full details of this policy are set out in our Corporate Governance Guidelines, which are available on our website at </w:t>
      </w:r>
      <w:r>
        <w:rPr>
          <w:rFonts w:ascii="Arial;Helvetica;sans-serif" w:hAnsi="Arial;Helvetica;sans-serif"/>
          <w:color w:val="005670"/>
          <w:sz w:val="20"/>
        </w:rPr>
        <w:t>www.deepwater.com</w:t>
      </w:r>
      <w:r>
        <w:rPr>
          <w:rFonts w:ascii="Arial;Helvetica;sans-serif" w:hAnsi="Arial;Helvetica;sans-serif"/>
          <w:sz w:val="20"/>
        </w:rPr>
        <w:t xml:space="preserve"> by selecting the Governance page in the Investors section dropdown.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Board of Directors has received from each nominee for election as a director at the 2026 Annual General Meeting listed below an executed irrevocable letter of resignation consistent with these guidelines described above.</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information regarding the nominees presented below is as of March 4, 2026.</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P-31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both"/>
        <w:rPr/>
      </w:pPr>
      <w:r>
        <w:rPr/>
        <w:t>​</w:t>
      </w:r>
    </w:p>
    <w:tbl>
      <w:tblPr>
        <w:tblW w:w="1805" w:type="dxa"/>
        <w:jc w:val="left"/>
        <w:tblInd w:w="0" w:type="dxa"/>
        <w:tblLayout w:type="fixed"/>
        <w:tblCellMar>
          <w:top w:w="0" w:type="dxa"/>
          <w:left w:w="0" w:type="dxa"/>
          <w:bottom w:w="0" w:type="dxa"/>
          <w:right w:w="0" w:type="dxa"/>
        </w:tblCellMar>
      </w:tblPr>
      <w:tblGrid>
        <w:gridCol w:w="1651"/>
        <w:gridCol w:w="154"/>
      </w:tblGrid>
      <w:tr>
        <w:trPr/>
        <w:tc>
          <w:tcPr>
            <w:tcW w:w="1651"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65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AGENDA ITEM 5</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NOMINEES FOR DIRECTOR</w:t>
      </w:r>
    </w:p>
    <w:tbl>
      <w:tblPr>
        <w:tblW w:w="10205" w:type="dxa"/>
        <w:jc w:val="left"/>
        <w:tblInd w:w="0" w:type="dxa"/>
        <w:tblLayout w:type="fixed"/>
        <w:tblCellMar>
          <w:top w:w="0" w:type="dxa"/>
          <w:left w:w="0" w:type="dxa"/>
          <w:bottom w:w="0" w:type="dxa"/>
          <w:right w:w="0" w:type="dxa"/>
        </w:tblCellMar>
      </w:tblPr>
      <w:tblGrid>
        <w:gridCol w:w="1993"/>
        <w:gridCol w:w="109"/>
        <w:gridCol w:w="8103"/>
      </w:tblGrid>
      <w:tr>
        <w:trPr/>
        <w:tc>
          <w:tcPr>
            <w:tcW w:w="1993"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8103" w:type="dxa"/>
            <w:tcBorders/>
            <w:vAlign w:val="center"/>
          </w:tcPr>
          <w:p>
            <w:pPr>
              <w:pStyle w:val="TableContents"/>
              <w:bidi w:val="0"/>
              <w:spacing w:lineRule="auto" w:line="285" w:before="0" w:after="0"/>
              <w:ind w:left="0" w:right="0" w:hanging="0"/>
              <w:jc w:val="both"/>
              <w:rPr/>
            </w:pPr>
            <w:r>
              <w:rPr/>
              <w:t>​</w:t>
            </w:r>
          </w:p>
        </w:tc>
      </w:tr>
      <w:tr>
        <w:trPr/>
        <w:tc>
          <w:tcPr>
            <w:tcW w:w="1993" w:type="dxa"/>
            <w:tcBorders/>
            <w:vAlign w:val="center"/>
          </w:tcPr>
          <w:p>
            <w:pPr>
              <w:pStyle w:val="TableContents"/>
              <w:bidi w:val="0"/>
              <w:spacing w:lineRule="auto" w:line="285" w:before="0" w:after="0"/>
              <w:ind w:left="0" w:right="0" w:hanging="0"/>
              <w:jc w:val="left"/>
              <w:rPr/>
            </w:pPr>
            <w:r>
              <w:rPr/>
              <w:drawing>
                <wp:inline distT="0" distB="0" distL="0" distR="0">
                  <wp:extent cx="1060450" cy="1426210"/>
                  <wp:effectExtent l="0" t="0" r="0" b="0"/>
                  <wp:docPr id="10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1" descr=""/>
                          <pic:cNvPicPr>
                            <a:picLocks noChangeAspect="1" noChangeArrowheads="1"/>
                          </pic:cNvPicPr>
                        </pic:nvPicPr>
                        <pic:blipFill>
                          <a:blip r:embed="rId72"/>
                          <a:stretch>
                            <a:fillRect/>
                          </a:stretch>
                        </pic:blipFill>
                        <pic:spPr bwMode="auto">
                          <a:xfrm>
                            <a:off x="0" y="0"/>
                            <a:ext cx="1060450" cy="1426210"/>
                          </a:xfrm>
                          <a:prstGeom prst="rect">
                            <a:avLst/>
                          </a:prstGeom>
                        </pic:spPr>
                      </pic:pic>
                    </a:graphicData>
                  </a:graphic>
                </wp:inline>
              </w:drawing>
            </w:r>
          </w:p>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 xml:space="preserve">PRESIDENT AND CEO, TRANSOCEAN LTD. </w:t>
            </w:r>
          </w:p>
          <w:p>
            <w:pPr>
              <w:pStyle w:val="TableContents"/>
              <w:bidi w:val="0"/>
              <w:spacing w:lineRule="auto" w:line="285" w:before="0" w:after="0"/>
              <w:ind w:left="0" w:right="0" w:hanging="0"/>
              <w:jc w:val="both"/>
              <w:rPr/>
            </w:pPr>
            <w:r>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IRISH AND U.S. CITIZEN</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Age: 56</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8103" w:type="dxa"/>
            <w:tcBorders/>
            <w:vAlign w:val="center"/>
          </w:tcPr>
          <w:p>
            <w:pPr>
              <w:pStyle w:val="TableContents"/>
              <w:bidi w:val="0"/>
              <w:spacing w:lineRule="auto" w:line="285" w:before="80" w:after="0"/>
              <w:ind w:left="0" w:right="0" w:hanging="0"/>
              <w:jc w:val="both"/>
              <w:rPr>
                <w:rFonts w:ascii="Arial;Helvetica;sans-serif" w:hAnsi="Arial;Helvetica;sans-serif"/>
                <w:sz w:val="20"/>
              </w:rPr>
            </w:pPr>
            <w:r>
              <w:rPr>
                <w:rFonts w:ascii="Arial;Helvetica;sans-serif" w:hAnsi="Arial;Helvetica;sans-serif"/>
                <w:b/>
                <w:color w:val="4B4F54"/>
                <w:sz w:val="28"/>
              </w:rPr>
              <w:t>KEELAN I. ADAMSON |</w:t>
            </w:r>
            <w:r>
              <w:rPr>
                <w:rFonts w:ascii="Arial;Helvetica;sans-serif" w:hAnsi="Arial;Helvetica;sans-serif"/>
                <w:color w:val="005670"/>
                <w:sz w:val="20"/>
              </w:rPr>
              <w:t xml:space="preserve"> </w:t>
            </w:r>
            <w:r>
              <w:rPr>
                <w:rFonts w:ascii="Arial;Helvetica;sans-serif" w:hAnsi="Arial;Helvetica;sans-serif"/>
                <w:b/>
                <w:color w:val="005670"/>
                <w:sz w:val="22"/>
              </w:rPr>
              <w:t>Director Since 2025</w:t>
            </w:r>
          </w:p>
          <w:p>
            <w:pPr>
              <w:pStyle w:val="TableContents"/>
              <w:bidi w:val="0"/>
              <w:spacing w:lineRule="auto" w:line="285" w:before="0" w:after="0"/>
              <w:ind w:left="0" w:right="0" w:hanging="0"/>
              <w:jc w:val="both"/>
              <w:rPr/>
            </w:pPr>
            <w:r>
              <w:rPr/>
              <w:t>​</w:t>
            </w:r>
          </w:p>
          <w:p>
            <w:pPr>
              <w:pStyle w:val="TableContents"/>
              <w:bidi w:val="0"/>
              <w:spacing w:lineRule="auto" w:line="285" w:before="0" w:after="60"/>
              <w:ind w:left="0" w:right="0" w:hanging="0"/>
              <w:jc w:val="both"/>
              <w:rPr>
                <w:rFonts w:ascii="Arial;Helvetica;sans-serif" w:hAnsi="Arial;Helvetica;sans-serif"/>
                <w:b/>
                <w:color w:val="ECA44A"/>
                <w:sz w:val="18"/>
              </w:rPr>
            </w:pPr>
            <w:r>
              <w:rPr>
                <w:rFonts w:ascii="Arial;Helvetica;sans-serif" w:hAnsi="Arial;Helvetica;sans-serif"/>
                <w:b/>
                <w:color w:val="ECA44A"/>
                <w:sz w:val="18"/>
              </w:rPr>
              <w:t>CAREER HIGHLIGHTS</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Keelan I. Adamson is President and Chief Executive Officer of Transocean Ltd. He has served as a director since 2025. Before being named to his current position, Mr. Adamson served as President and Chief Operating Officer from March 2022 until April 2025, Executive Vice President and Chief Operations Officer from August 2018 to February 2022, as Senior Vice President, Operations from October 2017 to July 2018, and as Senior Vice President, Operations Integrity and HSE, from June 2015 to October 2017. Mr. Adamson has served in multiple executive positions with responsibilities spanning Engineering and Technical Services, Major Capital Projects, Human Resources, and as the Managing Director for the company's business in North America, Canada and Trinidad.</w:t>
            </w:r>
          </w:p>
          <w:p>
            <w:pPr>
              <w:pStyle w:val="TableContents"/>
              <w:bidi w:val="0"/>
              <w:spacing w:lineRule="auto" w:line="285" w:before="0" w:after="0"/>
              <w:ind w:left="0" w:right="0" w:hanging="0"/>
              <w:jc w:val="both"/>
              <w:rPr/>
            </w:pPr>
            <w:r>
              <w:rPr/>
              <w:t>​</w:t>
            </w:r>
          </w:p>
          <w:p>
            <w:pPr>
              <w:pStyle w:val="TableContents"/>
              <w:bidi w:val="0"/>
              <w:spacing w:lineRule="auto" w:line="285" w:before="0" w:after="60"/>
              <w:ind w:left="0" w:right="0" w:hanging="0"/>
              <w:jc w:val="both"/>
              <w:rPr>
                <w:rFonts w:ascii="Arial;Helvetica;sans-serif" w:hAnsi="Arial;Helvetica;sans-serif"/>
                <w:b/>
                <w:color w:val="ECA44A"/>
                <w:sz w:val="18"/>
              </w:rPr>
            </w:pPr>
            <w:r>
              <w:rPr>
                <w:rFonts w:ascii="Arial;Helvetica;sans-serif" w:hAnsi="Arial;Helvetica;sans-serif"/>
                <w:b/>
                <w:color w:val="ECA44A"/>
                <w:sz w:val="18"/>
              </w:rPr>
              <w:t>EDUCATION</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Bachelor of Aeronautical Engineering, Queen’s University Belfast (1991)</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Advanced Management Program, Harvard Business School (2016)</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Arial;Helvetica;sans-serif" w:hAnsi="Arial;Helvetica;sans-serif"/>
                <w:b/>
                <w:color w:val="ECA44A"/>
                <w:sz w:val="18"/>
              </w:rPr>
            </w:pPr>
            <w:r>
              <w:rPr>
                <w:rFonts w:ascii="Arial;Helvetica;sans-serif" w:hAnsi="Arial;Helvetica;sans-serif"/>
                <w:b/>
                <w:color w:val="ECA44A"/>
                <w:sz w:val="18"/>
              </w:rPr>
              <w:t>KEY QUALIFICATIONS AND EXPERTISE</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The Board of Directors recommends that Mr. Adamson continue to serve on the Board of Directors due to his experience and expertise in:</w:t>
            </w:r>
          </w:p>
          <w:p>
            <w:pPr>
              <w:pStyle w:val="TableContents"/>
              <w:bidi w:val="0"/>
              <w:spacing w:lineRule="auto" w:line="285" w:before="60" w:after="0"/>
              <w:ind w:left="144" w:right="0" w:hanging="0"/>
              <w:jc w:val="both"/>
              <w:rPr>
                <w:rFonts w:ascii="Arial;Helvetica;sans-serif" w:hAnsi="Arial;Helvetica;sans-serif"/>
                <w:sz w:val="18"/>
              </w:rPr>
            </w:pPr>
            <w:r>
              <w:rPr>
                <w:rFonts w:ascii="Arial;Helvetica;sans-serif" w:hAnsi="Arial;Helvetica;sans-serif"/>
                <w:sz w:val="18"/>
              </w:rPr>
              <w:t>Oil &amp; Gas (Including Oilfield Services)</w:t>
            </w:r>
          </w:p>
          <w:p>
            <w:pPr>
              <w:pStyle w:val="TableContents"/>
              <w:bidi w:val="0"/>
              <w:spacing w:lineRule="auto" w:line="285" w:before="60" w:after="0"/>
              <w:ind w:left="144" w:right="0" w:hanging="0"/>
              <w:jc w:val="both"/>
              <w:rPr>
                <w:rFonts w:ascii="Arial;Helvetica;sans-serif" w:hAnsi="Arial;Helvetica;sans-serif"/>
                <w:sz w:val="18"/>
              </w:rPr>
            </w:pPr>
            <w:r>
              <w:rPr>
                <w:rFonts w:ascii="Arial;Helvetica;sans-serif" w:hAnsi="Arial;Helvetica;sans-serif"/>
                <w:sz w:val="18"/>
              </w:rPr>
              <w:t>Operations &amp; Technical Management</w:t>
            </w:r>
          </w:p>
          <w:p>
            <w:pPr>
              <w:pStyle w:val="TableContents"/>
              <w:bidi w:val="0"/>
              <w:spacing w:lineRule="auto" w:line="285" w:before="60" w:after="0"/>
              <w:ind w:left="144" w:right="0" w:hanging="0"/>
              <w:jc w:val="both"/>
              <w:rPr>
                <w:rFonts w:ascii="Arial;Helvetica;sans-serif" w:hAnsi="Arial;Helvetica;sans-serif"/>
                <w:sz w:val="18"/>
              </w:rPr>
            </w:pPr>
            <w:r>
              <w:rPr>
                <w:rFonts w:ascii="Arial;Helvetica;sans-serif" w:hAnsi="Arial;Helvetica;sans-serif"/>
                <w:sz w:val="18"/>
              </w:rPr>
              <w:t>Project Management</w:t>
            </w:r>
          </w:p>
          <w:p>
            <w:pPr>
              <w:pStyle w:val="TableContents"/>
              <w:bidi w:val="0"/>
              <w:spacing w:lineRule="auto" w:line="285" w:before="60" w:after="0"/>
              <w:ind w:left="144" w:right="0" w:hanging="0"/>
              <w:jc w:val="both"/>
              <w:rPr>
                <w:rFonts w:ascii="Arial;Helvetica;sans-serif" w:hAnsi="Arial;Helvetica;sans-serif"/>
                <w:sz w:val="18"/>
              </w:rPr>
            </w:pPr>
            <w:r>
              <w:rPr>
                <w:rFonts w:ascii="Arial;Helvetica;sans-serif" w:hAnsi="Arial;Helvetica;sans-serif"/>
                <w:sz w:val="18"/>
              </w:rPr>
              <w:t>Business Development</w:t>
            </w:r>
          </w:p>
          <w:p>
            <w:pPr>
              <w:pStyle w:val="TableContents"/>
              <w:bidi w:val="0"/>
              <w:spacing w:lineRule="auto" w:line="285" w:before="60" w:after="0"/>
              <w:ind w:left="144" w:right="0" w:hanging="0"/>
              <w:jc w:val="both"/>
              <w:rPr>
                <w:rFonts w:ascii="Arial;Helvetica;sans-serif" w:hAnsi="Arial;Helvetica;sans-serif"/>
                <w:sz w:val="18"/>
              </w:rPr>
            </w:pPr>
            <w:r>
              <w:rPr>
                <w:rFonts w:ascii="Arial;Helvetica;sans-serif" w:hAnsi="Arial;Helvetica;sans-serif"/>
                <w:sz w:val="18"/>
              </w:rPr>
              <w:t>Human Capital Management</w:t>
            </w:r>
          </w:p>
          <w:p>
            <w:pPr>
              <w:pStyle w:val="TableContents"/>
              <w:bidi w:val="0"/>
              <w:spacing w:lineRule="auto" w:line="285" w:before="60" w:after="0"/>
              <w:ind w:left="144" w:right="0" w:hanging="0"/>
              <w:jc w:val="both"/>
              <w:rPr>
                <w:rFonts w:ascii="Arial;Helvetica;sans-serif" w:hAnsi="Arial;Helvetica;sans-serif"/>
                <w:sz w:val="18"/>
              </w:rPr>
            </w:pPr>
            <w:r>
              <w:rPr>
                <w:rFonts w:ascii="Arial;Helvetica;sans-serif" w:hAnsi="Arial;Helvetica;sans-serif"/>
                <w:sz w:val="18"/>
              </w:rPr>
              <w:t>Safety and Environmental Management</w:t>
            </w:r>
          </w:p>
          <w:p>
            <w:pPr>
              <w:pStyle w:val="TableContents"/>
              <w:bidi w:val="0"/>
              <w:spacing w:lineRule="auto" w:line="285" w:before="60" w:after="0"/>
              <w:ind w:left="144" w:right="0" w:hanging="0"/>
              <w:jc w:val="both"/>
              <w:rPr>
                <w:rFonts w:ascii="Arial;Helvetica;sans-serif" w:hAnsi="Arial;Helvetica;sans-serif"/>
                <w:sz w:val="18"/>
              </w:rPr>
            </w:pPr>
            <w:r>
              <w:rPr>
                <w:rFonts w:ascii="Arial;Helvetica;sans-serif" w:hAnsi="Arial;Helvetica;sans-serif"/>
                <w:sz w:val="18"/>
              </w:rPr>
              <w:t>Multinational Company</w:t>
            </w:r>
          </w:p>
          <w:p>
            <w:pPr>
              <w:pStyle w:val="TableContents"/>
              <w:bidi w:val="0"/>
              <w:spacing w:lineRule="auto" w:line="285" w:before="60" w:after="0"/>
              <w:ind w:left="144" w:right="0" w:hanging="0"/>
              <w:jc w:val="both"/>
              <w:rPr>
                <w:rFonts w:ascii="Arial;Helvetica;sans-serif" w:hAnsi="Arial;Helvetica;sans-serif"/>
                <w:sz w:val="18"/>
              </w:rPr>
            </w:pPr>
            <w:r>
              <w:rPr>
                <w:rFonts w:ascii="Arial;Helvetica;sans-serif" w:hAnsi="Arial;Helvetica;sans-serif"/>
                <w:sz w:val="18"/>
              </w:rPr>
              <w:t>Public Company CEO</w:t>
            </w:r>
          </w:p>
          <w:p>
            <w:pPr>
              <w:pStyle w:val="TableContents"/>
              <w:bidi w:val="0"/>
              <w:spacing w:lineRule="auto" w:line="285" w:before="60" w:after="0"/>
              <w:ind w:left="0" w:right="0" w:hanging="0"/>
              <w:jc w:val="both"/>
              <w:rPr/>
            </w:pPr>
            <w:r>
              <w:rPr/>
              <w:t>​</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This experience assists the other members of the Board of Directors in considering strategic decisions for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P-32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805" w:type="dxa"/>
        <w:jc w:val="left"/>
        <w:tblInd w:w="0" w:type="dxa"/>
        <w:tblLayout w:type="fixed"/>
        <w:tblCellMar>
          <w:top w:w="0" w:type="dxa"/>
          <w:left w:w="0" w:type="dxa"/>
          <w:bottom w:w="0" w:type="dxa"/>
          <w:right w:w="0" w:type="dxa"/>
        </w:tblCellMar>
      </w:tblPr>
      <w:tblGrid>
        <w:gridCol w:w="124"/>
        <w:gridCol w:w="1681"/>
      </w:tblGrid>
      <w:tr>
        <w:trPr/>
        <w:tc>
          <w:tcPr>
            <w:tcW w:w="124" w:type="dxa"/>
            <w:tcBorders/>
            <w:vAlign w:val="center"/>
          </w:tcPr>
          <w:p>
            <w:pPr>
              <w:pStyle w:val="TableContents"/>
              <w:bidi w:val="0"/>
              <w:spacing w:lineRule="auto" w:line="285" w:before="0" w:after="0"/>
              <w:ind w:left="0" w:right="0" w:hanging="0"/>
              <w:jc w:val="both"/>
              <w:rPr/>
            </w:pPr>
            <w:r>
              <w:rPr/>
              <w:t>​</w:t>
            </w:r>
          </w:p>
        </w:tc>
        <w:tc>
          <w:tcPr>
            <w:tcW w:w="1681" w:type="dxa"/>
            <w:tcBorders/>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68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AGENDA ITEM 5</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912"/>
        <w:gridCol w:w="109"/>
        <w:gridCol w:w="8184"/>
      </w:tblGrid>
      <w:tr>
        <w:trPr/>
        <w:tc>
          <w:tcPr>
            <w:tcW w:w="1912" w:type="dxa"/>
            <w:tcBorders/>
            <w:vAlign w:val="center"/>
          </w:tcPr>
          <w:p>
            <w:pPr>
              <w:pStyle w:val="TableContents"/>
              <w:bidi w:val="0"/>
              <w:spacing w:lineRule="auto" w:line="285" w:before="0" w:after="0"/>
              <w:ind w:left="0" w:right="0" w:hanging="0"/>
              <w:jc w:val="left"/>
              <w:rPr/>
            </w:pPr>
            <w:r>
              <w:rPr/>
              <w:drawing>
                <wp:inline distT="0" distB="0" distL="0" distR="0">
                  <wp:extent cx="1060450" cy="1405890"/>
                  <wp:effectExtent l="0" t="0" r="0" b="0"/>
                  <wp:docPr id="10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2" descr=""/>
                          <pic:cNvPicPr>
                            <a:picLocks noChangeAspect="1" noChangeArrowheads="1"/>
                          </pic:cNvPicPr>
                        </pic:nvPicPr>
                        <pic:blipFill>
                          <a:blip r:embed="rId73"/>
                          <a:stretch>
                            <a:fillRect/>
                          </a:stretch>
                        </pic:blipFill>
                        <pic:spPr bwMode="auto">
                          <a:xfrm>
                            <a:off x="0" y="0"/>
                            <a:ext cx="1060450" cy="1405890"/>
                          </a:xfrm>
                          <a:prstGeom prst="rect">
                            <a:avLst/>
                          </a:prstGeom>
                        </pic:spPr>
                      </pic:pic>
                    </a:graphicData>
                  </a:graphic>
                </wp:inline>
              </w:drawing>
            </w:r>
          </w:p>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 xml:space="preserve">FORMER VICE CHAIR – U.K., </w:t>
            </w:r>
          </w:p>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PWC LLP</w:t>
            </w:r>
          </w:p>
          <w:p>
            <w:pPr>
              <w:pStyle w:val="TableContents"/>
              <w:bidi w:val="0"/>
              <w:spacing w:lineRule="auto" w:line="285" w:before="0" w:after="0"/>
              <w:ind w:left="0" w:right="0" w:hanging="0"/>
              <w:jc w:val="both"/>
              <w:rPr/>
            </w:pPr>
            <w:r>
              <w:rPr/>
              <w:t>​</w:t>
            </w:r>
          </w:p>
          <w:p>
            <w:pPr>
              <w:pStyle w:val="TableContents"/>
              <w:bidi w:val="0"/>
              <w:spacing w:lineRule="auto" w:line="285" w:before="0" w:after="60"/>
              <w:ind w:left="0" w:right="0" w:hanging="0"/>
              <w:jc w:val="both"/>
              <w:rPr>
                <w:rFonts w:ascii="Arial;Helvetica;sans-serif" w:hAnsi="Arial;Helvetica;sans-serif"/>
                <w:b/>
                <w:color w:val="4B4F54"/>
                <w:sz w:val="18"/>
              </w:rPr>
            </w:pPr>
            <w:r>
              <w:rPr>
                <w:rFonts w:ascii="Arial;Helvetica;sans-serif" w:hAnsi="Arial;Helvetica;sans-serif"/>
                <w:b/>
                <w:color w:val="4B4F54"/>
                <w:sz w:val="18"/>
              </w:rPr>
              <w:t>U.K. CITIZEN</w:t>
            </w:r>
          </w:p>
          <w:p>
            <w:pPr>
              <w:pStyle w:val="TableContents"/>
              <w:bidi w:val="0"/>
              <w:spacing w:lineRule="auto" w:line="285" w:before="0" w:after="60"/>
              <w:ind w:left="0" w:right="0" w:hanging="0"/>
              <w:jc w:val="both"/>
              <w:rPr>
                <w:rFonts w:ascii="Arial;Helvetica;sans-serif" w:hAnsi="Arial;Helvetica;sans-serif"/>
                <w:sz w:val="18"/>
              </w:rPr>
            </w:pPr>
            <w:r>
              <w:rPr>
                <w:rFonts w:ascii="Arial;Helvetica;sans-serif" w:hAnsi="Arial;Helvetica;sans-serif"/>
                <w:sz w:val="18"/>
              </w:rPr>
              <w:t>Independent</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Age: 72</w:t>
            </w:r>
          </w:p>
          <w:p>
            <w:pPr>
              <w:pStyle w:val="TableContents"/>
              <w:bidi w:val="0"/>
              <w:spacing w:lineRule="auto" w:line="285" w:before="0" w:after="0"/>
              <w:ind w:left="0" w:right="0" w:hanging="0"/>
              <w:jc w:val="both"/>
              <w:rPr/>
            </w:pPr>
            <w:r>
              <w:rPr/>
              <w:t>​</w:t>
            </w:r>
          </w:p>
          <w:p>
            <w:pPr>
              <w:pStyle w:val="TableContents"/>
              <w:bidi w:val="0"/>
              <w:spacing w:lineRule="auto" w:line="285" w:before="0" w:after="60"/>
              <w:ind w:left="0" w:right="0" w:hanging="0"/>
              <w:jc w:val="both"/>
              <w:rPr>
                <w:rFonts w:ascii="Arial;Helvetica;sans-serif" w:hAnsi="Arial;Helvetica;sans-serif"/>
                <w:b/>
                <w:color w:val="4B4F54"/>
                <w:sz w:val="18"/>
              </w:rPr>
            </w:pPr>
            <w:r>
              <w:rPr>
                <w:rFonts w:ascii="Arial;Helvetica;sans-serif" w:hAnsi="Arial;Helvetica;sans-serif"/>
                <w:b/>
                <w:color w:val="4B4F54"/>
                <w:sz w:val="18"/>
              </w:rPr>
              <w:t>COMMITTEES</w:t>
            </w:r>
          </w:p>
          <w:p>
            <w:pPr>
              <w:pStyle w:val="TableContents"/>
              <w:bidi w:val="0"/>
              <w:spacing w:lineRule="auto" w:line="285" w:before="0" w:after="60"/>
              <w:ind w:left="0" w:right="0" w:hanging="0"/>
              <w:jc w:val="both"/>
              <w:rPr>
                <w:rFonts w:ascii="Arial;Helvetica;sans-serif" w:hAnsi="Arial;Helvetica;sans-serif"/>
                <w:sz w:val="18"/>
              </w:rPr>
            </w:pPr>
            <w:r>
              <w:rPr>
                <w:rFonts w:ascii="Arial;Helvetica;sans-serif" w:hAnsi="Arial;Helvetica;sans-serif"/>
                <w:sz w:val="18"/>
              </w:rPr>
              <w:t>Audit</w:t>
            </w:r>
          </w:p>
          <w:p>
            <w:pPr>
              <w:pStyle w:val="TableContents"/>
              <w:bidi w:val="0"/>
              <w:spacing w:lineRule="auto" w:line="285" w:before="0" w:after="60"/>
              <w:ind w:left="0" w:right="0" w:hanging="0"/>
              <w:jc w:val="both"/>
              <w:rPr>
                <w:rFonts w:ascii="Arial;Helvetica;sans-serif" w:hAnsi="Arial;Helvetica;sans-serif"/>
                <w:sz w:val="18"/>
              </w:rPr>
            </w:pPr>
            <w:r>
              <w:rPr>
                <w:rFonts w:ascii="Arial;Helvetica;sans-serif" w:hAnsi="Arial;Helvetica;sans-serif"/>
                <w:sz w:val="18"/>
              </w:rPr>
              <w:t>Compensation</w:t>
            </w:r>
          </w:p>
          <w:p>
            <w:pPr>
              <w:pStyle w:val="TableContents"/>
              <w:bidi w:val="0"/>
              <w:spacing w:lineRule="auto" w:line="285" w:before="0" w:after="0"/>
              <w:ind w:left="0" w:right="0" w:hanging="0"/>
              <w:jc w:val="both"/>
              <w:rPr/>
            </w:pPr>
            <w:r>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OTHER CURRENT PUBLIC COMPANY BOARDS</w:t>
            </w:r>
          </w:p>
          <w:p>
            <w:pPr>
              <w:pStyle w:val="TableContents"/>
              <w:bidi w:val="0"/>
              <w:spacing w:lineRule="auto" w:line="285" w:before="0" w:after="60"/>
              <w:ind w:left="0" w:right="0" w:hanging="0"/>
              <w:jc w:val="left"/>
              <w:rPr>
                <w:rFonts w:ascii="Arial;Helvetica;sans-serif" w:hAnsi="Arial;Helvetica;sans-serif"/>
                <w:sz w:val="18"/>
              </w:rPr>
            </w:pPr>
            <w:r>
              <w:rPr>
                <w:rFonts w:ascii="Arial;Helvetica;sans-serif" w:hAnsi="Arial;Helvetica;sans-serif"/>
                <w:sz w:val="18"/>
              </w:rPr>
              <w:t>Various Eateries plc (LON: VARE) (since 2020)</w:t>
            </w:r>
          </w:p>
        </w:tc>
        <w:tc>
          <w:tcPr>
            <w:tcW w:w="109" w:type="dxa"/>
            <w:tcBorders/>
            <w:vAlign w:val="center"/>
          </w:tcPr>
          <w:p>
            <w:pPr>
              <w:pStyle w:val="TableContents"/>
              <w:bidi w:val="0"/>
              <w:spacing w:lineRule="auto" w:line="285" w:before="0" w:after="0"/>
              <w:ind w:left="0" w:right="0" w:hanging="0"/>
              <w:jc w:val="both"/>
              <w:rPr/>
            </w:pPr>
            <w:r>
              <w:rPr/>
              <w:t>​</w:t>
            </w:r>
          </w:p>
        </w:tc>
        <w:tc>
          <w:tcPr>
            <w:tcW w:w="8184" w:type="dxa"/>
            <w:tcBorders/>
            <w:vAlign w:val="center"/>
          </w:tcPr>
          <w:p>
            <w:pPr>
              <w:pStyle w:val="TableContents"/>
              <w:bidi w:val="0"/>
              <w:spacing w:lineRule="auto" w:line="285" w:before="80" w:after="0"/>
              <w:ind w:left="0" w:right="0" w:hanging="0"/>
              <w:jc w:val="both"/>
              <w:rPr>
                <w:rFonts w:ascii="Arial;Helvetica;sans-serif" w:hAnsi="Arial;Helvetica;sans-serif"/>
                <w:sz w:val="20"/>
              </w:rPr>
            </w:pPr>
            <w:r>
              <w:rPr>
                <w:rFonts w:ascii="Arial;Helvetica;sans-serif" w:hAnsi="Arial;Helvetica;sans-serif"/>
                <w:b/>
                <w:color w:val="4B4F54"/>
                <w:sz w:val="28"/>
              </w:rPr>
              <w:t>GLYN A. BARKER |</w:t>
            </w:r>
            <w:r>
              <w:rPr>
                <w:rFonts w:ascii="Arial;Helvetica;sans-serif" w:hAnsi="Arial;Helvetica;sans-serif"/>
                <w:color w:val="005670"/>
                <w:sz w:val="20"/>
              </w:rPr>
              <w:t xml:space="preserve"> </w:t>
            </w:r>
            <w:r>
              <w:rPr>
                <w:rFonts w:ascii="Arial;Helvetica;sans-serif" w:hAnsi="Arial;Helvetica;sans-serif"/>
                <w:b/>
                <w:color w:val="005670"/>
                <w:sz w:val="22"/>
              </w:rPr>
              <w:t>Director since 2012</w:t>
            </w:r>
          </w:p>
          <w:p>
            <w:pPr>
              <w:pStyle w:val="TableContents"/>
              <w:bidi w:val="0"/>
              <w:spacing w:lineRule="auto" w:line="285" w:before="0" w:after="0"/>
              <w:ind w:left="0" w:right="0" w:hanging="0"/>
              <w:jc w:val="both"/>
              <w:rPr/>
            </w:pPr>
            <w:r>
              <w:rPr/>
              <w:t>​</w:t>
            </w:r>
          </w:p>
          <w:p>
            <w:pPr>
              <w:pStyle w:val="TableContents"/>
              <w:bidi w:val="0"/>
              <w:spacing w:lineRule="auto" w:line="285" w:before="0" w:after="60"/>
              <w:ind w:left="0" w:right="0" w:hanging="0"/>
              <w:jc w:val="both"/>
              <w:rPr>
                <w:rFonts w:ascii="Arial;Helvetica;sans-serif" w:hAnsi="Arial;Helvetica;sans-serif"/>
                <w:b/>
                <w:color w:val="ECA44A"/>
                <w:sz w:val="18"/>
              </w:rPr>
            </w:pPr>
            <w:r>
              <w:rPr>
                <w:rFonts w:ascii="Arial;Helvetica;sans-serif" w:hAnsi="Arial;Helvetica;sans-serif"/>
                <w:b/>
                <w:color w:val="ECA44A"/>
                <w:sz w:val="18"/>
              </w:rPr>
              <w:t>CAREER HIGHLIGHTS</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Glyn A. Barker served as Vice Chair–U.K. of PricewaterhouseCoopers LLP (PwC) from 2008 to 2011. He was also responsible for PwC's strategy and business development for the geographic areas of Europe, the Middle East, Africa and India. Mr. Barker joined PwC in 1975 and became an audit partner in 1987. He then established PwC's private equity-focused Transactions Services business and led it globally. He joined the Management Board of PwC in the UK as Head of the Assurance Practice in 2002. In 2006, he became U.K. Managing Partner and served in that role until 2008. Mr. Barker is the Chair of Irwin Mitchell Holdings Limited (since 2012) and serves as a director of Various Eateries plc (LON: VARE) (since 2020) and CI Financial Corp. (since 2025). Previously, Mr. Barker served as the Chair of Tappit Technologies (UK) Ltd. (from 2020 to 2023), as a director of Cornerstone FS plc (from 2021 to 2022), as a director of Quilter (in 2022), as a director of Berkeley Group Holdings plc (from 2012 to 2022), as a director (from 2014 to 2016) and the Chair (from 2015 to 2016) of Transocean Partners LLC, as a director of Aviva plc (from 2012 to 2019), and a director of Interserve plc (from 2016 to 2019). Mr. Barker was Deputy Chair of the English National Opera Company from 2009 to 2016.</w:t>
            </w:r>
          </w:p>
          <w:p>
            <w:pPr>
              <w:pStyle w:val="TableContents"/>
              <w:bidi w:val="0"/>
              <w:spacing w:lineRule="auto" w:line="285" w:before="0" w:after="0"/>
              <w:ind w:left="0" w:right="0" w:hanging="0"/>
              <w:jc w:val="both"/>
              <w:rPr/>
            </w:pPr>
            <w:r>
              <w:rPr/>
              <w:t>​</w:t>
            </w:r>
          </w:p>
          <w:p>
            <w:pPr>
              <w:pStyle w:val="TableContents"/>
              <w:bidi w:val="0"/>
              <w:spacing w:lineRule="auto" w:line="285" w:before="0" w:after="60"/>
              <w:ind w:left="0" w:right="0" w:hanging="0"/>
              <w:jc w:val="both"/>
              <w:rPr>
                <w:rFonts w:ascii="Arial;Helvetica;sans-serif" w:hAnsi="Arial;Helvetica;sans-serif"/>
                <w:b/>
                <w:color w:val="ECA44A"/>
                <w:sz w:val="18"/>
              </w:rPr>
            </w:pPr>
            <w:r>
              <w:rPr>
                <w:rFonts w:ascii="Arial;Helvetica;sans-serif" w:hAnsi="Arial;Helvetica;sans-serif"/>
                <w:b/>
                <w:color w:val="ECA44A"/>
                <w:sz w:val="18"/>
              </w:rPr>
              <w:t>EDUCATION</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Chartered Accountant</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Bachelor of Science, Economics and Accounting, University of Bristol (1975)</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Arial;Helvetica;sans-serif" w:hAnsi="Arial;Helvetica;sans-serif"/>
                <w:b/>
                <w:color w:val="ECA44A"/>
                <w:sz w:val="18"/>
              </w:rPr>
            </w:pPr>
            <w:r>
              <w:rPr>
                <w:rFonts w:ascii="Arial;Helvetica;sans-serif" w:hAnsi="Arial;Helvetica;sans-serif"/>
                <w:b/>
                <w:color w:val="ECA44A"/>
                <w:sz w:val="18"/>
              </w:rPr>
              <w:t>KEY QUALIFICATIONS AND EXPERTISE</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The Board of Directors recommends that Mr. Barker continue to serve on the Board of Directors due to his experience and expertise in:</w:t>
            </w:r>
          </w:p>
          <w:p>
            <w:pPr>
              <w:pStyle w:val="TableContents"/>
              <w:bidi w:val="0"/>
              <w:spacing w:lineRule="auto" w:line="285" w:before="60" w:after="0"/>
              <w:ind w:left="144" w:right="0" w:hanging="0"/>
              <w:jc w:val="both"/>
              <w:rPr>
                <w:rFonts w:ascii="Arial;Helvetica;sans-serif" w:hAnsi="Arial;Helvetica;sans-serif"/>
                <w:sz w:val="18"/>
              </w:rPr>
            </w:pPr>
            <w:r>
              <w:rPr>
                <w:rFonts w:ascii="Arial;Helvetica;sans-serif" w:hAnsi="Arial;Helvetica;sans-serif"/>
                <w:sz w:val="18"/>
              </w:rPr>
              <w:t>Accounting &amp; Auditing</w:t>
            </w:r>
          </w:p>
          <w:p>
            <w:pPr>
              <w:pStyle w:val="TableContents"/>
              <w:bidi w:val="0"/>
              <w:spacing w:lineRule="auto" w:line="285" w:before="60" w:after="0"/>
              <w:ind w:left="144" w:right="0" w:hanging="0"/>
              <w:jc w:val="both"/>
              <w:rPr>
                <w:rFonts w:ascii="Arial;Helvetica;sans-serif" w:hAnsi="Arial;Helvetica;sans-serif"/>
                <w:sz w:val="18"/>
              </w:rPr>
            </w:pPr>
            <w:r>
              <w:rPr>
                <w:rFonts w:ascii="Arial;Helvetica;sans-serif" w:hAnsi="Arial;Helvetica;sans-serif"/>
                <w:sz w:val="18"/>
              </w:rPr>
              <w:t>Finance, Debt &amp; Capital Markets</w:t>
            </w:r>
          </w:p>
          <w:p>
            <w:pPr>
              <w:pStyle w:val="TableContents"/>
              <w:bidi w:val="0"/>
              <w:spacing w:lineRule="auto" w:line="285" w:before="60" w:after="0"/>
              <w:ind w:left="144" w:right="0" w:hanging="0"/>
              <w:jc w:val="both"/>
              <w:rPr>
                <w:rFonts w:ascii="Arial;Helvetica;sans-serif" w:hAnsi="Arial;Helvetica;sans-serif"/>
                <w:sz w:val="18"/>
              </w:rPr>
            </w:pPr>
            <w:r>
              <w:rPr>
                <w:rFonts w:ascii="Arial;Helvetica;sans-serif" w:hAnsi="Arial;Helvetica;sans-serif"/>
                <w:sz w:val="18"/>
              </w:rPr>
              <w:t>Information Security &amp; Cybersecurity</w:t>
            </w:r>
          </w:p>
          <w:p>
            <w:pPr>
              <w:pStyle w:val="TableContents"/>
              <w:bidi w:val="0"/>
              <w:spacing w:lineRule="auto" w:line="285" w:before="60" w:after="0"/>
              <w:ind w:left="144" w:right="0" w:hanging="0"/>
              <w:jc w:val="both"/>
              <w:rPr>
                <w:rFonts w:ascii="Arial;Helvetica;sans-serif" w:hAnsi="Arial;Helvetica;sans-serif"/>
                <w:sz w:val="18"/>
              </w:rPr>
            </w:pPr>
            <w:r>
              <w:rPr>
                <w:rFonts w:ascii="Arial;Helvetica;sans-serif" w:hAnsi="Arial;Helvetica;sans-serif"/>
                <w:sz w:val="18"/>
              </w:rPr>
              <w:t>Mergers &amp; Acquisitions</w:t>
            </w:r>
          </w:p>
          <w:p>
            <w:pPr>
              <w:pStyle w:val="TableContents"/>
              <w:bidi w:val="0"/>
              <w:spacing w:lineRule="auto" w:line="285" w:before="60" w:after="0"/>
              <w:ind w:left="144" w:right="0" w:hanging="0"/>
              <w:jc w:val="both"/>
              <w:rPr>
                <w:rFonts w:ascii="Arial;Helvetica;sans-serif" w:hAnsi="Arial;Helvetica;sans-serif"/>
                <w:sz w:val="18"/>
              </w:rPr>
            </w:pPr>
            <w:r>
              <w:rPr>
                <w:rFonts w:ascii="Arial;Helvetica;sans-serif" w:hAnsi="Arial;Helvetica;sans-serif"/>
                <w:sz w:val="18"/>
              </w:rPr>
              <w:t>Multinational Company</w:t>
            </w:r>
          </w:p>
          <w:p>
            <w:pPr>
              <w:pStyle w:val="TableContents"/>
              <w:bidi w:val="0"/>
              <w:spacing w:lineRule="auto" w:line="285" w:before="60" w:after="0"/>
              <w:ind w:left="144" w:right="0" w:hanging="0"/>
              <w:jc w:val="both"/>
              <w:rPr>
                <w:rFonts w:ascii="Arial;Helvetica;sans-serif" w:hAnsi="Arial;Helvetica;sans-serif"/>
                <w:sz w:val="18"/>
              </w:rPr>
            </w:pPr>
            <w:r>
              <w:rPr>
                <w:rFonts w:ascii="Arial;Helvetica;sans-serif" w:hAnsi="Arial;Helvetica;sans-serif"/>
                <w:sz w:val="18"/>
              </w:rPr>
              <w:t>Public Company Governance</w:t>
            </w:r>
          </w:p>
          <w:p>
            <w:pPr>
              <w:pStyle w:val="TableContents"/>
              <w:bidi w:val="0"/>
              <w:spacing w:lineRule="auto" w:line="285" w:before="60" w:after="0"/>
              <w:ind w:left="144" w:right="0" w:hanging="0"/>
              <w:jc w:val="both"/>
              <w:rPr>
                <w:rFonts w:ascii="Arial;Helvetica;sans-serif" w:hAnsi="Arial;Helvetica;sans-serif"/>
                <w:sz w:val="18"/>
              </w:rPr>
            </w:pPr>
            <w:r>
              <w:rPr>
                <w:rFonts w:ascii="Arial;Helvetica;sans-serif" w:hAnsi="Arial;Helvetica;sans-serif"/>
                <w:sz w:val="18"/>
              </w:rPr>
              <w:t>Strategy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P-33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both"/>
        <w:rPr/>
      </w:pPr>
      <w:r>
        <w:rPr/>
        <w:t>​</w:t>
      </w:r>
    </w:p>
    <w:tbl>
      <w:tblPr>
        <w:tblW w:w="1805" w:type="dxa"/>
        <w:jc w:val="left"/>
        <w:tblInd w:w="0" w:type="dxa"/>
        <w:tblLayout w:type="fixed"/>
        <w:tblCellMar>
          <w:top w:w="0" w:type="dxa"/>
          <w:left w:w="0" w:type="dxa"/>
          <w:bottom w:w="0" w:type="dxa"/>
          <w:right w:w="0" w:type="dxa"/>
        </w:tblCellMar>
      </w:tblPr>
      <w:tblGrid>
        <w:gridCol w:w="1651"/>
        <w:gridCol w:w="154"/>
      </w:tblGrid>
      <w:tr>
        <w:trPr/>
        <w:tc>
          <w:tcPr>
            <w:tcW w:w="1651"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65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AGENDA ITEM 5</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30"/>
        <w:gridCol w:w="109"/>
        <w:gridCol w:w="8066"/>
      </w:tblGrid>
      <w:tr>
        <w:trPr/>
        <w:tc>
          <w:tcPr>
            <w:tcW w:w="2030" w:type="dxa"/>
            <w:tcBorders/>
            <w:vAlign w:val="center"/>
          </w:tcPr>
          <w:p>
            <w:pPr>
              <w:pStyle w:val="TableContents"/>
              <w:bidi w:val="0"/>
              <w:spacing w:lineRule="auto" w:line="285" w:before="0" w:after="0"/>
              <w:ind w:left="0" w:right="0" w:hanging="0"/>
              <w:jc w:val="left"/>
              <w:rPr/>
            </w:pPr>
            <w:r>
              <w:rPr/>
              <w:drawing>
                <wp:inline distT="0" distB="0" distL="0" distR="0">
                  <wp:extent cx="1060450" cy="1405890"/>
                  <wp:effectExtent l="0" t="0" r="0" b="0"/>
                  <wp:docPr id="10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3" descr=""/>
                          <pic:cNvPicPr>
                            <a:picLocks noChangeAspect="1" noChangeArrowheads="1"/>
                          </pic:cNvPicPr>
                        </pic:nvPicPr>
                        <pic:blipFill>
                          <a:blip r:embed="rId74"/>
                          <a:stretch>
                            <a:fillRect/>
                          </a:stretch>
                        </pic:blipFill>
                        <pic:spPr bwMode="auto">
                          <a:xfrm>
                            <a:off x="0" y="0"/>
                            <a:ext cx="1060450" cy="1405890"/>
                          </a:xfrm>
                          <a:prstGeom prst="rect">
                            <a:avLst/>
                          </a:prstGeom>
                        </pic:spPr>
                      </pic:pic>
                    </a:graphicData>
                  </a:graphic>
                </wp:inline>
              </w:drawing>
            </w:r>
          </w:p>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FORMER DIRECTOR AND SHAREHOLDER OF EL &amp; EL INVESTMENTS LTD.</w:t>
            </w:r>
          </w:p>
          <w:p>
            <w:pPr>
              <w:pStyle w:val="TableContents"/>
              <w:bidi w:val="0"/>
              <w:spacing w:lineRule="auto" w:line="285" w:before="0" w:after="0"/>
              <w:ind w:left="0" w:right="0" w:hanging="0"/>
              <w:jc w:val="left"/>
              <w:rPr/>
            </w:pPr>
            <w:r>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CANADIAN AND U.S. CITIZEN</w:t>
            </w:r>
          </w:p>
          <w:p>
            <w:pPr>
              <w:pStyle w:val="TableContents"/>
              <w:bidi w:val="0"/>
              <w:spacing w:lineRule="auto" w:line="285" w:before="0" w:after="60"/>
              <w:ind w:left="0" w:right="0" w:hanging="0"/>
              <w:jc w:val="both"/>
              <w:rPr>
                <w:rFonts w:ascii="Arial;Helvetica;sans-serif" w:hAnsi="Arial;Helvetica;sans-serif"/>
                <w:sz w:val="18"/>
              </w:rPr>
            </w:pPr>
            <w:r>
              <w:rPr>
                <w:rFonts w:ascii="Arial;Helvetica;sans-serif" w:hAnsi="Arial;Helvetica;sans-serif"/>
                <w:sz w:val="18"/>
              </w:rPr>
              <w:t>Independent</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Age: 73</w:t>
            </w:r>
          </w:p>
          <w:p>
            <w:pPr>
              <w:pStyle w:val="TableContents"/>
              <w:bidi w:val="0"/>
              <w:spacing w:lineRule="auto" w:line="285" w:before="0" w:after="0"/>
              <w:ind w:left="0" w:right="0" w:hanging="0"/>
              <w:jc w:val="both"/>
              <w:rPr/>
            </w:pPr>
            <w:r>
              <w:rPr/>
              <w:t>​</w:t>
            </w:r>
          </w:p>
          <w:p>
            <w:pPr>
              <w:pStyle w:val="TableContents"/>
              <w:bidi w:val="0"/>
              <w:spacing w:lineRule="auto" w:line="285" w:before="0" w:after="60"/>
              <w:ind w:left="0" w:right="0" w:hanging="0"/>
              <w:jc w:val="both"/>
              <w:rPr>
                <w:rFonts w:ascii="Arial;Helvetica;sans-serif" w:hAnsi="Arial;Helvetica;sans-serif"/>
                <w:b/>
                <w:color w:val="4B4F54"/>
                <w:sz w:val="18"/>
              </w:rPr>
            </w:pPr>
            <w:r>
              <w:rPr>
                <w:rFonts w:ascii="Arial;Helvetica;sans-serif" w:hAnsi="Arial;Helvetica;sans-serif"/>
                <w:b/>
                <w:color w:val="4B4F54"/>
                <w:sz w:val="18"/>
              </w:rPr>
              <w:t>COMMITTEES</w:t>
            </w:r>
          </w:p>
          <w:p>
            <w:pPr>
              <w:pStyle w:val="TableContents"/>
              <w:bidi w:val="0"/>
              <w:spacing w:lineRule="auto" w:line="285" w:before="0" w:after="60"/>
              <w:ind w:left="0" w:right="0" w:hanging="0"/>
              <w:jc w:val="both"/>
              <w:rPr>
                <w:rFonts w:ascii="Arial;Helvetica;sans-serif" w:hAnsi="Arial;Helvetica;sans-serif"/>
                <w:sz w:val="18"/>
              </w:rPr>
            </w:pPr>
            <w:r>
              <w:rPr>
                <w:rFonts w:ascii="Arial;Helvetica;sans-serif" w:hAnsi="Arial;Helvetica;sans-serif"/>
                <w:sz w:val="18"/>
              </w:rPr>
              <w:t>Audit</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Compensation</w:t>
            </w:r>
          </w:p>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8066" w:type="dxa"/>
            <w:tcBorders/>
            <w:vAlign w:val="center"/>
          </w:tcPr>
          <w:p>
            <w:pPr>
              <w:pStyle w:val="TableContents"/>
              <w:bidi w:val="0"/>
              <w:spacing w:lineRule="auto" w:line="285" w:before="80" w:after="0"/>
              <w:ind w:left="0" w:right="0" w:hanging="0"/>
              <w:jc w:val="both"/>
              <w:rPr>
                <w:rFonts w:ascii="Arial;Helvetica;sans-serif" w:hAnsi="Arial;Helvetica;sans-serif"/>
                <w:sz w:val="20"/>
              </w:rPr>
            </w:pPr>
            <w:r>
              <w:rPr>
                <w:rFonts w:ascii="Arial;Helvetica;sans-serif" w:hAnsi="Arial;Helvetica;sans-serif"/>
                <w:b/>
                <w:color w:val="4B4F54"/>
                <w:sz w:val="28"/>
              </w:rPr>
              <w:t>VANESSA C.L. CHANG</w:t>
            </w:r>
            <w:r>
              <w:rPr>
                <w:rFonts w:ascii="Arial;Helvetica;sans-serif" w:hAnsi="Arial;Helvetica;sans-serif"/>
                <w:color w:val="00556F"/>
                <w:sz w:val="20"/>
              </w:rPr>
              <w:t xml:space="preserve"> </w:t>
            </w:r>
            <w:r>
              <w:rPr>
                <w:rFonts w:ascii="Arial;Helvetica;sans-serif" w:hAnsi="Arial;Helvetica;sans-serif"/>
                <w:b/>
                <w:color w:val="4B4F54"/>
                <w:sz w:val="28"/>
              </w:rPr>
              <w:t>|</w:t>
            </w:r>
            <w:r>
              <w:rPr>
                <w:rFonts w:ascii="Arial;Helvetica;sans-serif" w:hAnsi="Arial;Helvetica;sans-serif"/>
                <w:color w:val="005670"/>
                <w:sz w:val="20"/>
              </w:rPr>
              <w:t xml:space="preserve"> </w:t>
            </w:r>
            <w:r>
              <w:rPr>
                <w:rFonts w:ascii="Arial;Helvetica;sans-serif" w:hAnsi="Arial;Helvetica;sans-serif"/>
                <w:b/>
                <w:color w:val="005670"/>
                <w:sz w:val="22"/>
              </w:rPr>
              <w:t>Director since 2012</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Arial;Helvetica;sans-serif" w:hAnsi="Arial;Helvetica;sans-serif"/>
                <w:b/>
                <w:color w:val="ECA44A"/>
                <w:sz w:val="18"/>
              </w:rPr>
            </w:pPr>
            <w:r>
              <w:rPr>
                <w:rFonts w:ascii="Arial;Helvetica;sans-serif" w:hAnsi="Arial;Helvetica;sans-serif"/>
                <w:b/>
                <w:color w:val="ECA44A"/>
                <w:sz w:val="18"/>
              </w:rPr>
              <w:t>CAREER HIGHLIGHTS</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 xml:space="preserve">Vanessa C.L. Chang previously served as a director and shareholder of EL &amp; EL Investments Ltd., a privately held real estate investment business, from 1998 to 2018, as the President and Chief Executive Officer of </w:t>
            </w:r>
            <w:r>
              <w:rPr>
                <w:rFonts w:ascii="Arial;Helvetica;sans-serif" w:hAnsi="Arial;Helvetica;sans-serif"/>
                <w:i/>
                <w:sz w:val="18"/>
              </w:rPr>
              <w:t>ResolveItNow.com</w:t>
            </w:r>
            <w:r>
              <w:rPr>
                <w:rFonts w:ascii="Arial;Helvetica;sans-serif" w:hAnsi="Arial;Helvetica;sans-serif"/>
                <w:sz w:val="18"/>
              </w:rPr>
              <w:t xml:space="preserve"> from 2000 until 2002 and was the Senior Vice President of Secured Capital Corp in 1998. From 1986 until 1997, Ms. Chang was the West Coast partner in charge of Corporate Finance for KPMG Peat Marwick LLP. Ms. Chang is a director or trustee of 19 separate funds, members of the American Funds family and advised by the Capital Group. She is also a director or trustee of several fund of funds, portfolio series and fund solutions, referenced off other American Funds, all advised by Capital Group and its subsidiaries and members of the American Funds family. In addition, she is a director of the privately held Global Infrastructure Solutions, Inc. (since 2021). Previously, she served as a director of Edison International (NYSE: EIX) and its wholly owned subsidiary, Southern California Edison Company from 2007 to 2025; of Sykes Enterprises, Incorporated from 2016 to 2021; Forest Lawn Memorial Parks Association, a non-profit organization, from 2005 to 2020; and SCO America, Inc., a non-profit organization, from 2013 to 2019. Ms. Chang is a member of the American Institute of Certified Public Accountants, the California State Board of Accountancy, Women Corporate Directors and the National Association of Corporate Directors.</w:t>
            </w:r>
          </w:p>
          <w:p>
            <w:pPr>
              <w:pStyle w:val="TableContents"/>
              <w:bidi w:val="0"/>
              <w:spacing w:lineRule="auto" w:line="285" w:before="60" w:after="0"/>
              <w:ind w:left="0" w:right="0" w:hanging="0"/>
              <w:jc w:val="both"/>
              <w:rPr/>
            </w:pPr>
            <w:r>
              <w:rPr/>
              <w:t>​</w:t>
            </w:r>
          </w:p>
          <w:p>
            <w:pPr>
              <w:pStyle w:val="TableContents"/>
              <w:bidi w:val="0"/>
              <w:spacing w:lineRule="auto" w:line="285" w:before="0" w:after="0"/>
              <w:ind w:left="0" w:right="0" w:hanging="0"/>
              <w:jc w:val="both"/>
              <w:rPr>
                <w:rFonts w:ascii="Arial;Helvetica;sans-serif" w:hAnsi="Arial;Helvetica;sans-serif"/>
                <w:b/>
                <w:color w:val="ECA44A"/>
                <w:sz w:val="18"/>
              </w:rPr>
            </w:pPr>
            <w:r>
              <w:rPr>
                <w:rFonts w:ascii="Arial;Helvetica;sans-serif" w:hAnsi="Arial;Helvetica;sans-serif"/>
                <w:b/>
                <w:color w:val="ECA44A"/>
                <w:sz w:val="18"/>
              </w:rPr>
              <w:t>EDUCATION</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Certified Public Accountant (inactive)</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Bachelor of Arts, University of British Columbia (1973)</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Arial;Helvetica;sans-serif" w:hAnsi="Arial;Helvetica;sans-serif"/>
                <w:b/>
                <w:color w:val="ECA44A"/>
                <w:sz w:val="18"/>
              </w:rPr>
            </w:pPr>
            <w:r>
              <w:rPr>
                <w:rFonts w:ascii="Arial;Helvetica;sans-serif" w:hAnsi="Arial;Helvetica;sans-serif"/>
                <w:b/>
                <w:color w:val="ECA44A"/>
                <w:sz w:val="18"/>
              </w:rPr>
              <w:t>KEY QUALIFICATIONS AND EXPERTISE</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The Board of Directors recommends that Ms. Chang continue to serve on the Board of Directors due to her experience and expertise in:</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Accounting &amp; Auditing</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Finance, Debt &amp; Capital Markets</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Human Capital Management</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Information Security &amp; Cybersecurity</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Mergers &amp; Acquisitions</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Multinational Company</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Public Company Governance</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Strategy</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Sustainability Risk, Reporting &amp; Disclosures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P-34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805" w:type="dxa"/>
        <w:jc w:val="left"/>
        <w:tblInd w:w="0" w:type="dxa"/>
        <w:tblLayout w:type="fixed"/>
        <w:tblCellMar>
          <w:top w:w="0" w:type="dxa"/>
          <w:left w:w="0" w:type="dxa"/>
          <w:bottom w:w="0" w:type="dxa"/>
          <w:right w:w="0" w:type="dxa"/>
        </w:tblCellMar>
      </w:tblPr>
      <w:tblGrid>
        <w:gridCol w:w="124"/>
        <w:gridCol w:w="1681"/>
      </w:tblGrid>
      <w:tr>
        <w:trPr/>
        <w:tc>
          <w:tcPr>
            <w:tcW w:w="124" w:type="dxa"/>
            <w:tcBorders/>
            <w:vAlign w:val="center"/>
          </w:tcPr>
          <w:p>
            <w:pPr>
              <w:pStyle w:val="TableContents"/>
              <w:bidi w:val="0"/>
              <w:spacing w:lineRule="auto" w:line="285" w:before="0" w:after="0"/>
              <w:ind w:left="0" w:right="0" w:hanging="0"/>
              <w:jc w:val="both"/>
              <w:rPr/>
            </w:pPr>
            <w:r>
              <w:rPr/>
              <w:t>​</w:t>
            </w:r>
          </w:p>
        </w:tc>
        <w:tc>
          <w:tcPr>
            <w:tcW w:w="1681" w:type="dxa"/>
            <w:tcBorders/>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68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AGENDA ITEM 5</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951"/>
        <w:gridCol w:w="109"/>
        <w:gridCol w:w="8145"/>
      </w:tblGrid>
      <w:tr>
        <w:trPr/>
        <w:tc>
          <w:tcPr>
            <w:tcW w:w="1951" w:type="dxa"/>
            <w:tcBorders/>
            <w:vAlign w:val="center"/>
          </w:tcPr>
          <w:p>
            <w:pPr>
              <w:pStyle w:val="TableContents"/>
              <w:bidi w:val="0"/>
              <w:spacing w:lineRule="auto" w:line="285" w:before="0" w:after="0"/>
              <w:ind w:left="0" w:right="0" w:hanging="0"/>
              <w:jc w:val="left"/>
              <w:rPr/>
            </w:pPr>
            <w:r>
              <w:rPr/>
              <w:drawing>
                <wp:inline distT="0" distB="0" distL="0" distR="0">
                  <wp:extent cx="1060450" cy="1405890"/>
                  <wp:effectExtent l="0" t="0" r="0" b="0"/>
                  <wp:docPr id="10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4" descr=""/>
                          <pic:cNvPicPr>
                            <a:picLocks noChangeAspect="1" noChangeArrowheads="1"/>
                          </pic:cNvPicPr>
                        </pic:nvPicPr>
                        <pic:blipFill>
                          <a:blip r:embed="rId75"/>
                          <a:stretch>
                            <a:fillRect/>
                          </a:stretch>
                        </pic:blipFill>
                        <pic:spPr bwMode="auto">
                          <a:xfrm>
                            <a:off x="0" y="0"/>
                            <a:ext cx="1060450" cy="1405890"/>
                          </a:xfrm>
                          <a:prstGeom prst="rect">
                            <a:avLst/>
                          </a:prstGeom>
                        </pic:spPr>
                      </pic:pic>
                    </a:graphicData>
                  </a:graphic>
                </wp:inline>
              </w:drawing>
            </w:r>
          </w:p>
          <w:p>
            <w:pPr>
              <w:pStyle w:val="TableContents"/>
              <w:bidi w:val="0"/>
              <w:spacing w:lineRule="auto" w:line="285" w:before="0" w:after="0"/>
              <w:ind w:left="0" w:right="0" w:hanging="0"/>
              <w:jc w:val="center"/>
              <w:rPr/>
            </w:pPr>
            <w:r>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FORMER PRESIDENT AND CEO, EMBRAER S.A.</w:t>
            </w:r>
          </w:p>
          <w:p>
            <w:pPr>
              <w:pStyle w:val="TableContents"/>
              <w:bidi w:val="0"/>
              <w:spacing w:lineRule="auto" w:line="285" w:before="0" w:after="0"/>
              <w:ind w:left="0" w:right="0" w:hanging="0"/>
              <w:jc w:val="left"/>
              <w:rPr/>
            </w:pPr>
            <w:r>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BRAZILIAN AND PORTUGUESE CITIZEN</w:t>
            </w:r>
          </w:p>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Independent</w:t>
              <w:br/>
              <w:t>Age: 64</w:t>
            </w:r>
          </w:p>
          <w:p>
            <w:pPr>
              <w:pStyle w:val="TableContents"/>
              <w:bidi w:val="0"/>
              <w:spacing w:lineRule="auto" w:line="285" w:before="0" w:after="0"/>
              <w:ind w:left="0" w:right="0" w:hanging="0"/>
              <w:jc w:val="left"/>
              <w:rPr/>
            </w:pPr>
            <w:r>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COMMITTEES</w:t>
            </w:r>
          </w:p>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Compensation</w:t>
            </w:r>
          </w:p>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xml:space="preserve">Governance, Safety &amp; Environment </w:t>
            </w:r>
          </w:p>
          <w:p>
            <w:pPr>
              <w:pStyle w:val="TableContents"/>
              <w:bidi w:val="0"/>
              <w:spacing w:lineRule="auto" w:line="285" w:before="0" w:after="0"/>
              <w:ind w:left="0" w:right="0" w:hanging="0"/>
              <w:jc w:val="left"/>
              <w:rPr/>
            </w:pPr>
            <w:r>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OTHER CURRENT PUBLIC COMPANY BOARDS</w:t>
            </w:r>
          </w:p>
          <w:p>
            <w:pPr>
              <w:pStyle w:val="TableContents"/>
              <w:bidi w:val="0"/>
              <w:spacing w:lineRule="auto" w:line="285" w:before="0" w:after="60"/>
              <w:ind w:left="0" w:right="0" w:hanging="0"/>
              <w:jc w:val="left"/>
              <w:rPr>
                <w:rFonts w:ascii="Arial;Helvetica;sans-serif" w:hAnsi="Arial;Helvetica;sans-serif"/>
                <w:sz w:val="18"/>
              </w:rPr>
            </w:pPr>
            <w:r>
              <w:rPr>
                <w:rFonts w:ascii="Arial;Helvetica;sans-serif" w:hAnsi="Arial;Helvetica;sans-serif"/>
                <w:sz w:val="18"/>
              </w:rPr>
              <w:t>ABB Ltd. (SIX: ABBN) (since 2016)</w:t>
            </w:r>
          </w:p>
          <w:p>
            <w:pPr>
              <w:pStyle w:val="TableContents"/>
              <w:bidi w:val="0"/>
              <w:spacing w:lineRule="auto" w:line="285" w:before="0" w:after="60"/>
              <w:ind w:left="0" w:right="0" w:hanging="0"/>
              <w:jc w:val="left"/>
              <w:rPr>
                <w:rFonts w:ascii="Arial;Helvetica;sans-serif" w:hAnsi="Arial;Helvetica;sans-serif"/>
                <w:sz w:val="18"/>
              </w:rPr>
            </w:pPr>
            <w:r>
              <w:rPr>
                <w:rFonts w:ascii="Arial;Helvetica;sans-serif" w:hAnsi="Arial;Helvetica;sans-serif"/>
                <w:sz w:val="18"/>
              </w:rPr>
              <w:t>LATAM Airlines Group SA (BCS: LTM; NYSE: LTM)</w:t>
            </w:r>
          </w:p>
        </w:tc>
        <w:tc>
          <w:tcPr>
            <w:tcW w:w="109" w:type="dxa"/>
            <w:tcBorders/>
            <w:vAlign w:val="center"/>
          </w:tcPr>
          <w:p>
            <w:pPr>
              <w:pStyle w:val="TableContents"/>
              <w:bidi w:val="0"/>
              <w:spacing w:lineRule="auto" w:line="285" w:before="0" w:after="0"/>
              <w:ind w:left="0" w:right="0" w:hanging="0"/>
              <w:jc w:val="both"/>
              <w:rPr/>
            </w:pPr>
            <w:r>
              <w:rPr/>
              <w:t>​</w:t>
            </w:r>
          </w:p>
        </w:tc>
        <w:tc>
          <w:tcPr>
            <w:tcW w:w="8145" w:type="dxa"/>
            <w:tcBorders/>
            <w:vAlign w:val="center"/>
          </w:tcPr>
          <w:p>
            <w:pPr>
              <w:pStyle w:val="TableContents"/>
              <w:bidi w:val="0"/>
              <w:spacing w:lineRule="auto" w:line="285" w:before="80" w:after="0"/>
              <w:ind w:left="0" w:right="0" w:hanging="0"/>
              <w:jc w:val="both"/>
              <w:rPr>
                <w:rFonts w:ascii="Arial;Helvetica;sans-serif" w:hAnsi="Arial;Helvetica;sans-serif"/>
                <w:sz w:val="20"/>
              </w:rPr>
            </w:pPr>
            <w:r>
              <w:rPr>
                <w:rFonts w:ascii="Arial;Helvetica;sans-serif" w:hAnsi="Arial;Helvetica;sans-serif"/>
                <w:b/>
                <w:color w:val="4B4F54"/>
                <w:sz w:val="28"/>
              </w:rPr>
              <w:t>FREDERICO F. CURADO</w:t>
            </w:r>
            <w:r>
              <w:rPr>
                <w:rFonts w:ascii="Arial;Helvetica;sans-serif" w:hAnsi="Arial;Helvetica;sans-serif"/>
                <w:color w:val="00556F"/>
                <w:sz w:val="20"/>
              </w:rPr>
              <w:t xml:space="preserve"> </w:t>
            </w:r>
            <w:r>
              <w:rPr>
                <w:rFonts w:ascii="Arial;Helvetica;sans-serif" w:hAnsi="Arial;Helvetica;sans-serif"/>
                <w:b/>
                <w:color w:val="4B4F54"/>
                <w:sz w:val="28"/>
              </w:rPr>
              <w:t>|</w:t>
            </w:r>
            <w:r>
              <w:rPr>
                <w:rFonts w:ascii="Arial;Helvetica;sans-serif" w:hAnsi="Arial;Helvetica;sans-serif"/>
                <w:color w:val="005670"/>
                <w:sz w:val="20"/>
              </w:rPr>
              <w:t xml:space="preserve"> </w:t>
            </w:r>
            <w:r>
              <w:rPr>
                <w:rFonts w:ascii="Arial;Helvetica;sans-serif" w:hAnsi="Arial;Helvetica;sans-serif"/>
                <w:b/>
                <w:color w:val="005670"/>
                <w:sz w:val="22"/>
              </w:rPr>
              <w:t>Director since 2013</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Arial;Helvetica;sans-serif" w:hAnsi="Arial;Helvetica;sans-serif"/>
                <w:b/>
                <w:color w:val="ECA44A"/>
                <w:sz w:val="18"/>
              </w:rPr>
            </w:pPr>
            <w:r>
              <w:rPr>
                <w:rFonts w:ascii="Arial;Helvetica;sans-serif" w:hAnsi="Arial;Helvetica;sans-serif"/>
                <w:b/>
                <w:color w:val="ECA44A"/>
                <w:sz w:val="18"/>
              </w:rPr>
              <w:t>CAREER HIGHLIGHTS</w:t>
            </w:r>
          </w:p>
          <w:p>
            <w:pPr>
              <w:pStyle w:val="TableContents"/>
              <w:bidi w:val="0"/>
              <w:spacing w:lineRule="atLeast" w:line="200" w:before="60" w:after="0"/>
              <w:ind w:left="0" w:right="0" w:hanging="0"/>
              <w:jc w:val="both"/>
              <w:rPr>
                <w:rFonts w:ascii="Arial;Helvetica;sans-serif" w:hAnsi="Arial;Helvetica;sans-serif"/>
                <w:sz w:val="18"/>
              </w:rPr>
            </w:pPr>
            <w:r>
              <w:rPr>
                <w:rFonts w:ascii="Arial;Helvetica;sans-serif" w:hAnsi="Arial;Helvetica;sans-serif"/>
                <w:sz w:val="18"/>
              </w:rPr>
              <w:t>Frederico F. Curado served as the Chief Executive Officer of Ultrapar Participacoes S.A. from 2017 to 2021 and previously served as President and Chief Executive Officer of Embraer S.A. from 2007 to 2016. He joined Embraer in 1984 and served in a variety of management positions during his career, including Executive Vice President, Airline Market from 1998 to 2007 and Executive Vice President, Planning and Organizational Development from 1995 to 1998. Mr. Curado is a director of LATAM Airlines Group SA (BCS: LTM; NYSE: LTM) (since 2022) and a director of ABB Ltd. (SIX: ABBN) (since 2016). Mr. Curado was a director of Ultrapar from 2021 to 2022, a member of the Executive Board of the International Chamber of Commerce from 2013 to 2018, a director of Iochpe-Maxion S.A. from 2015 to 2017, the President of the Brazilian Chapter of the Brazil-United States Business Council from 2011 to 2016, a member of Brazil's National Council for Industrial Development from 2011 to 2016, and had been a director of the Smithsonian National Air and Space Museum from 2014 to 2017.</w:t>
            </w:r>
          </w:p>
          <w:p>
            <w:pPr>
              <w:pStyle w:val="TableContents"/>
              <w:bidi w:val="0"/>
              <w:spacing w:lineRule="auto" w:line="285" w:before="60" w:after="0"/>
              <w:ind w:left="0" w:right="0" w:hanging="0"/>
              <w:jc w:val="both"/>
              <w:rPr/>
            </w:pPr>
            <w:r>
              <w:rPr/>
              <w:t>​</w:t>
            </w:r>
          </w:p>
          <w:p>
            <w:pPr>
              <w:pStyle w:val="TableContents"/>
              <w:bidi w:val="0"/>
              <w:spacing w:lineRule="auto" w:line="285" w:before="0" w:after="60"/>
              <w:ind w:left="0" w:right="0" w:hanging="0"/>
              <w:jc w:val="both"/>
              <w:rPr>
                <w:rFonts w:ascii="Arial;Helvetica;sans-serif" w:hAnsi="Arial;Helvetica;sans-serif"/>
                <w:b/>
                <w:color w:val="ECA44A"/>
                <w:sz w:val="18"/>
              </w:rPr>
            </w:pPr>
            <w:r>
              <w:rPr>
                <w:rFonts w:ascii="Arial;Helvetica;sans-serif" w:hAnsi="Arial;Helvetica;sans-serif"/>
                <w:b/>
                <w:color w:val="ECA44A"/>
                <w:sz w:val="18"/>
              </w:rPr>
              <w:t>EDUCATION</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Executive Master’s in Business Administration, University of São Paulo, Brazil (1997)</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Bachelor of Science degree, Mechanical-Aeronautical Engineering, Instituto Tecnológico de Aeronáutica in Brazil (1983)</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Arial;Helvetica;sans-serif" w:hAnsi="Arial;Helvetica;sans-serif"/>
                <w:b/>
                <w:color w:val="ECA44A"/>
                <w:sz w:val="18"/>
              </w:rPr>
            </w:pPr>
            <w:r>
              <w:rPr>
                <w:rFonts w:ascii="Arial;Helvetica;sans-serif" w:hAnsi="Arial;Helvetica;sans-serif"/>
                <w:b/>
                <w:color w:val="ECA44A"/>
                <w:sz w:val="18"/>
              </w:rPr>
              <w:t>KEY QUALIFICATIONS AND EXPERTISE</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The Board of Directors recommends that Mr. Curado continue to serve on the Board of Directors due to his experience and expertise in:</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Accounting &amp; Auditing</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Finance, Debt &amp; Capital Markets</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Human Capital Management</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Legal &amp; Compliance</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Mergers &amp; Acquisitions</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Multinational Company</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Oil &amp; Gas (Including Oilfield Services)</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Operations &amp; Engineering</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Public Company CEO</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Public Company Governance</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Safety &amp; Environment</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Strategy</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Sustainability Risk, Reporting &amp; Disclosures</w:t>
            </w:r>
          </w:p>
          <w:p>
            <w:pPr>
              <w:pStyle w:val="TableContents"/>
              <w:bidi w:val="0"/>
              <w:spacing w:lineRule="auto" w:line="285" w:before="60" w:after="0"/>
              <w:ind w:left="140" w:right="0" w:hanging="0"/>
              <w:jc w:val="both"/>
              <w:rPr>
                <w:rFonts w:ascii="Arial;Helvetica;sans-serif" w:hAnsi="Arial;Helvetica;sans-serif"/>
                <w:sz w:val="18"/>
              </w:rPr>
            </w:pPr>
            <w:r>
              <w:rPr>
                <w:rFonts w:ascii="Arial;Helvetica;sans-serif" w:hAnsi="Arial;Helvetica;sans-serif"/>
                <w:sz w:val="18"/>
              </w:rPr>
              <w:t>Technology, Research &amp; Development</w:t>
            </w:r>
          </w:p>
          <w:p>
            <w:pPr>
              <w:pStyle w:val="TableContents"/>
              <w:bidi w:val="0"/>
              <w:spacing w:lineRule="auto" w:line="285" w:before="0" w:after="0"/>
              <w:ind w:left="1008" w:right="0" w:hanging="0"/>
              <w:jc w:val="both"/>
              <w:rPr/>
            </w:pPr>
            <w:r>
              <w:rPr/>
              <w:t>​</w:t>
            </w:r>
          </w:p>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P-35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both"/>
        <w:rPr/>
      </w:pPr>
      <w:r>
        <w:rPr/>
        <w:t>​</w:t>
      </w:r>
    </w:p>
    <w:tbl>
      <w:tblPr>
        <w:tblW w:w="1805" w:type="dxa"/>
        <w:jc w:val="left"/>
        <w:tblInd w:w="0" w:type="dxa"/>
        <w:tblLayout w:type="fixed"/>
        <w:tblCellMar>
          <w:top w:w="0" w:type="dxa"/>
          <w:left w:w="0" w:type="dxa"/>
          <w:bottom w:w="0" w:type="dxa"/>
          <w:right w:w="0" w:type="dxa"/>
        </w:tblCellMar>
      </w:tblPr>
      <w:tblGrid>
        <w:gridCol w:w="1651"/>
        <w:gridCol w:w="154"/>
      </w:tblGrid>
      <w:tr>
        <w:trPr/>
        <w:tc>
          <w:tcPr>
            <w:tcW w:w="1651"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65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AGENDA ITEM 5</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70"/>
        <w:gridCol w:w="109"/>
        <w:gridCol w:w="8026"/>
      </w:tblGrid>
      <w:tr>
        <w:trPr/>
        <w:tc>
          <w:tcPr>
            <w:tcW w:w="2070" w:type="dxa"/>
            <w:tcBorders/>
            <w:vAlign w:val="center"/>
          </w:tcPr>
          <w:p>
            <w:pPr>
              <w:pStyle w:val="TableContents"/>
              <w:bidi w:val="0"/>
              <w:spacing w:lineRule="auto" w:line="285" w:before="0" w:after="0"/>
              <w:ind w:left="0" w:right="0" w:hanging="0"/>
              <w:jc w:val="left"/>
              <w:rPr/>
            </w:pPr>
            <w:r>
              <w:rPr/>
              <w:drawing>
                <wp:inline distT="0" distB="0" distL="0" distR="0">
                  <wp:extent cx="1060450" cy="1405890"/>
                  <wp:effectExtent l="0" t="0" r="0" b="0"/>
                  <wp:docPr id="10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5" descr=""/>
                          <pic:cNvPicPr>
                            <a:picLocks noChangeAspect="1" noChangeArrowheads="1"/>
                          </pic:cNvPicPr>
                        </pic:nvPicPr>
                        <pic:blipFill>
                          <a:blip r:embed="rId76"/>
                          <a:stretch>
                            <a:fillRect/>
                          </a:stretch>
                        </pic:blipFill>
                        <pic:spPr bwMode="auto">
                          <a:xfrm>
                            <a:off x="0" y="0"/>
                            <a:ext cx="1060450" cy="1405890"/>
                          </a:xfrm>
                          <a:prstGeom prst="rect">
                            <a:avLst/>
                          </a:prstGeom>
                        </pic:spPr>
                      </pic:pic>
                    </a:graphicData>
                  </a:graphic>
                </wp:inline>
              </w:drawing>
            </w:r>
          </w:p>
          <w:p>
            <w:pPr>
              <w:pStyle w:val="TableContents"/>
              <w:bidi w:val="0"/>
              <w:spacing w:lineRule="auto" w:line="285" w:before="0" w:after="0"/>
              <w:ind w:left="0" w:right="0" w:hanging="0"/>
              <w:jc w:val="center"/>
              <w:rPr/>
            </w:pPr>
            <w:r>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FORMER EXECUTIVE CHAIR AND CEO, BAKER HUGHES INCORPORATED</w:t>
            </w:r>
          </w:p>
          <w:p>
            <w:pPr>
              <w:pStyle w:val="TableContents"/>
              <w:bidi w:val="0"/>
              <w:spacing w:lineRule="auto" w:line="285" w:before="0" w:after="0"/>
              <w:ind w:left="0" w:right="0" w:hanging="0"/>
              <w:jc w:val="left"/>
              <w:rPr/>
            </w:pPr>
            <w:r>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U.S. CITIZEN</w:t>
            </w:r>
          </w:p>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Independent</w:t>
            </w:r>
          </w:p>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Age 73</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8026" w:type="dxa"/>
            <w:tcBorders/>
            <w:vAlign w:val="center"/>
          </w:tcPr>
          <w:p>
            <w:pPr>
              <w:pStyle w:val="TableContents"/>
              <w:bidi w:val="0"/>
              <w:spacing w:lineRule="auto" w:line="285" w:before="80" w:after="0"/>
              <w:ind w:left="0" w:right="0" w:hanging="0"/>
              <w:jc w:val="both"/>
              <w:rPr>
                <w:rFonts w:ascii="Arial;Helvetica;sans-serif" w:hAnsi="Arial;Helvetica;sans-serif"/>
                <w:sz w:val="20"/>
              </w:rPr>
            </w:pPr>
            <w:r>
              <w:rPr>
                <w:rFonts w:ascii="Arial;Helvetica;sans-serif" w:hAnsi="Arial;Helvetica;sans-serif"/>
                <w:b/>
                <w:color w:val="4B4F54"/>
                <w:sz w:val="28"/>
              </w:rPr>
              <w:t>CHADWICK C. DEATON</w:t>
            </w:r>
            <w:r>
              <w:rPr>
                <w:rFonts w:ascii="Arial;Helvetica;sans-serif" w:hAnsi="Arial;Helvetica;sans-serif"/>
                <w:color w:val="00556F"/>
                <w:sz w:val="20"/>
              </w:rPr>
              <w:t xml:space="preserve"> </w:t>
            </w:r>
            <w:r>
              <w:rPr>
                <w:rFonts w:ascii="Arial;Helvetica;sans-serif" w:hAnsi="Arial;Helvetica;sans-serif"/>
                <w:b/>
                <w:color w:val="4B4F54"/>
                <w:sz w:val="28"/>
              </w:rPr>
              <w:t>|</w:t>
            </w:r>
            <w:r>
              <w:rPr>
                <w:rFonts w:ascii="Arial;Helvetica;sans-serif" w:hAnsi="Arial;Helvetica;sans-serif"/>
                <w:color w:val="005670"/>
                <w:sz w:val="20"/>
              </w:rPr>
              <w:t xml:space="preserve"> </w:t>
            </w:r>
            <w:r>
              <w:rPr>
                <w:rFonts w:ascii="Arial;Helvetica;sans-serif" w:hAnsi="Arial;Helvetica;sans-serif"/>
                <w:b/>
                <w:color w:val="005670"/>
                <w:sz w:val="22"/>
              </w:rPr>
              <w:t>Director since 2012</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Arial;Helvetica;sans-serif" w:hAnsi="Arial;Helvetica;sans-serif"/>
                <w:b/>
                <w:color w:val="ECA44A"/>
                <w:sz w:val="18"/>
              </w:rPr>
            </w:pPr>
            <w:r>
              <w:rPr>
                <w:rFonts w:ascii="Arial;Helvetica;sans-serif" w:hAnsi="Arial;Helvetica;sans-serif"/>
                <w:b/>
                <w:color w:val="ECA44A"/>
                <w:sz w:val="18"/>
              </w:rPr>
              <w:t>CAREER HIGHLIGHTS</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Mr. Deaton served as Executive Chair of Baker Hughes Incorporated from 2012 to 2013, prior to which he served as Chair and Chief Executive Officer since 2004. He began his career with Schlumberger in 1976 and served in a variety of international capacities, including as Executive Vice President, Oilfield Services from 1998 to 1999 and as a Senior Advisor from 1999 until 2001. From 2002 until 2004, Mr. Deaton was the President, Chief Executive Officer and Director of Hanover Compressor Company. Mr. Deaton previously served as a director of Marathon Oil Corporation from 2014 to 2024, a director of Air Products and Chemicals, Inc. from 2010 to 2022 and Carbo Ceramics Inc. from 2004 to 2009 and from 2013 to 2020. He is a member of the Society of Petroleum Engineers (since 1980) and has served on its Industrial Advisory Council. He is also a director of the University of Wyoming Foundation, UCross Foundation, a non-profit research and development lab for the arts, and of the Houston Achievement Place. Mr. Deaton served as co-chair of the Wyoming Governor’s Task Force for the buildout of the University of Wyoming’s Engineering and Applied Sciences Center. He was a member of the National Petroleum Council (from 2007 to 2013).</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Arial;Helvetica;sans-serif" w:hAnsi="Arial;Helvetica;sans-serif"/>
                <w:b/>
                <w:color w:val="ECA44A"/>
                <w:sz w:val="18"/>
              </w:rPr>
            </w:pPr>
            <w:r>
              <w:rPr>
                <w:rFonts w:ascii="Arial;Helvetica;sans-serif" w:hAnsi="Arial;Helvetica;sans-serif"/>
                <w:b/>
                <w:color w:val="ECA44A"/>
                <w:sz w:val="18"/>
              </w:rPr>
              <w:t>EDUCATION</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Bachelor of Science degree, Geology, University of Wyoming (1976)</w:t>
            </w:r>
          </w:p>
          <w:p>
            <w:pPr>
              <w:pStyle w:val="TableContents"/>
              <w:bidi w:val="0"/>
              <w:spacing w:lineRule="auto" w:line="285" w:before="0" w:after="0"/>
              <w:ind w:left="0" w:right="0" w:hanging="0"/>
              <w:jc w:val="both"/>
              <w:rPr/>
            </w:pPr>
            <w:r>
              <w:rPr/>
              <w:t>​</w:t>
            </w:r>
          </w:p>
          <w:p>
            <w:pPr>
              <w:pStyle w:val="TableContents"/>
              <w:bidi w:val="0"/>
              <w:spacing w:lineRule="auto" w:line="285" w:before="0" w:after="60"/>
              <w:ind w:left="0" w:right="0" w:hanging="0"/>
              <w:jc w:val="both"/>
              <w:rPr>
                <w:rFonts w:ascii="Arial;Helvetica;sans-serif" w:hAnsi="Arial;Helvetica;sans-serif"/>
                <w:b/>
                <w:color w:val="ECA44A"/>
                <w:sz w:val="18"/>
              </w:rPr>
            </w:pPr>
            <w:r>
              <w:rPr>
                <w:rFonts w:ascii="Arial;Helvetica;sans-serif" w:hAnsi="Arial;Helvetica;sans-serif"/>
                <w:b/>
                <w:color w:val="ECA44A"/>
                <w:sz w:val="18"/>
              </w:rPr>
              <w:t>KEY QUALIFICATIONS AND EXPERTISE</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The Board of Directors recommends that Mr. Deaton continue to serve on the Board of Directors continue to serve as Lead Independent Director due to his experience and expertise in:</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Finance, Debt &amp; Capital Markets</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Human Capital Management</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Legal &amp; Compliance</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Mergers &amp; Acquisitions</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Multinational Company</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Oil &amp; Gas (Including Oilfield Services)</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Operations &amp; Engineering</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Public Company CEO</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Public Company Governance</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Safety &amp; Environment</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Strategy</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Technology, Research &amp; Development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P-36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805" w:type="dxa"/>
        <w:jc w:val="left"/>
        <w:tblInd w:w="0" w:type="dxa"/>
        <w:tblLayout w:type="fixed"/>
        <w:tblCellMar>
          <w:top w:w="0" w:type="dxa"/>
          <w:left w:w="0" w:type="dxa"/>
          <w:bottom w:w="0" w:type="dxa"/>
          <w:right w:w="0" w:type="dxa"/>
        </w:tblCellMar>
      </w:tblPr>
      <w:tblGrid>
        <w:gridCol w:w="124"/>
        <w:gridCol w:w="1681"/>
      </w:tblGrid>
      <w:tr>
        <w:trPr/>
        <w:tc>
          <w:tcPr>
            <w:tcW w:w="124" w:type="dxa"/>
            <w:tcBorders/>
            <w:vAlign w:val="center"/>
          </w:tcPr>
          <w:p>
            <w:pPr>
              <w:pStyle w:val="TableContents"/>
              <w:bidi w:val="0"/>
              <w:spacing w:lineRule="auto" w:line="285" w:before="0" w:after="0"/>
              <w:ind w:left="0" w:right="0" w:hanging="0"/>
              <w:jc w:val="both"/>
              <w:rPr/>
            </w:pPr>
            <w:r>
              <w:rPr/>
              <w:t>​</w:t>
            </w:r>
          </w:p>
        </w:tc>
        <w:tc>
          <w:tcPr>
            <w:tcW w:w="1681" w:type="dxa"/>
            <w:tcBorders/>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68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AGENDA ITEM 5</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266"/>
        <w:gridCol w:w="109"/>
        <w:gridCol w:w="7830"/>
      </w:tblGrid>
      <w:tr>
        <w:trPr/>
        <w:tc>
          <w:tcPr>
            <w:tcW w:w="2266"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7830" w:type="dxa"/>
            <w:tcBorders/>
            <w:vAlign w:val="center"/>
          </w:tcPr>
          <w:p>
            <w:pPr>
              <w:pStyle w:val="TableContents"/>
              <w:bidi w:val="0"/>
              <w:spacing w:lineRule="auto" w:line="285" w:before="0" w:after="0"/>
              <w:ind w:left="0" w:right="0" w:hanging="0"/>
              <w:jc w:val="both"/>
              <w:rPr/>
            </w:pPr>
            <w:r>
              <w:rPr/>
              <w:t>​</w:t>
            </w:r>
          </w:p>
        </w:tc>
      </w:tr>
      <w:tr>
        <w:trPr/>
        <w:tc>
          <w:tcPr>
            <w:tcW w:w="2266" w:type="dxa"/>
            <w:tcBorders/>
            <w:vAlign w:val="center"/>
          </w:tcPr>
          <w:p>
            <w:pPr>
              <w:pStyle w:val="TableContents"/>
              <w:bidi w:val="0"/>
              <w:spacing w:lineRule="auto" w:line="285" w:before="0" w:after="0"/>
              <w:ind w:left="0" w:right="0" w:hanging="0"/>
              <w:jc w:val="left"/>
              <w:rPr>
                <w:shd w:fill="005670" w:val="clear"/>
              </w:rPr>
            </w:pPr>
            <w:r>
              <w:rPr>
                <w:shd w:fill="005670" w:val="clear"/>
              </w:rPr>
              <w:drawing>
                <wp:inline distT="0" distB="0" distL="0" distR="0">
                  <wp:extent cx="1060450" cy="1483995"/>
                  <wp:effectExtent l="0" t="0" r="0" b="0"/>
                  <wp:docPr id="10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6" descr=""/>
                          <pic:cNvPicPr>
                            <a:picLocks noChangeAspect="1" noChangeArrowheads="1"/>
                          </pic:cNvPicPr>
                        </pic:nvPicPr>
                        <pic:blipFill>
                          <a:blip r:embed="rId77"/>
                          <a:stretch>
                            <a:fillRect/>
                          </a:stretch>
                        </pic:blipFill>
                        <pic:spPr bwMode="auto">
                          <a:xfrm>
                            <a:off x="0" y="0"/>
                            <a:ext cx="1060450" cy="1483995"/>
                          </a:xfrm>
                          <a:prstGeom prst="rect">
                            <a:avLst/>
                          </a:prstGeom>
                        </pic:spPr>
                      </pic:pic>
                    </a:graphicData>
                  </a:graphic>
                </wp:inline>
              </w:drawing>
            </w:r>
          </w:p>
          <w:p>
            <w:pPr>
              <w:pStyle w:val="TableContents"/>
              <w:bidi w:val="0"/>
              <w:spacing w:lineRule="auto" w:line="285" w:before="0" w:after="0"/>
              <w:ind w:left="0" w:right="0" w:hanging="0"/>
              <w:jc w:val="both"/>
              <w:rPr>
                <w:shd w:fill="005670" w:val="clear"/>
              </w:rPr>
            </w:pPr>
            <w:r>
              <w:rPr>
                <w:shd w:fill="005670" w:val="clear"/>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FORMER PRESIDENT AND CEO, EXPAND ENERGY CORPORATION</w:t>
            </w:r>
          </w:p>
          <w:p>
            <w:pPr>
              <w:pStyle w:val="TableContents"/>
              <w:bidi w:val="0"/>
              <w:spacing w:lineRule="auto" w:line="285" w:before="0" w:after="0"/>
              <w:ind w:left="0" w:right="0" w:hanging="0"/>
              <w:jc w:val="left"/>
              <w:rPr/>
            </w:pPr>
            <w:r>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U.S. CITIZEN</w:t>
            </w:r>
          </w:p>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Independent</w:t>
              <w:br/>
              <w:t>Age 49</w:t>
            </w:r>
          </w:p>
          <w:p>
            <w:pPr>
              <w:pStyle w:val="TableContents"/>
              <w:bidi w:val="0"/>
              <w:spacing w:lineRule="auto" w:line="285" w:before="0" w:after="0"/>
              <w:ind w:left="0" w:right="0" w:hanging="0"/>
              <w:jc w:val="left"/>
              <w:rPr/>
            </w:pPr>
            <w:r>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COMMITTEES</w:t>
            </w:r>
          </w:p>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Finance</w:t>
            </w:r>
          </w:p>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Governance, Safety &amp; Environment</w:t>
            </w:r>
          </w:p>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7830" w:type="dxa"/>
            <w:tcBorders/>
            <w:vAlign w:val="center"/>
          </w:tcPr>
          <w:p>
            <w:pPr>
              <w:pStyle w:val="TableContents"/>
              <w:bidi w:val="0"/>
              <w:spacing w:lineRule="auto" w:line="285" w:before="80" w:after="0"/>
              <w:ind w:left="0" w:right="0" w:hanging="0"/>
              <w:jc w:val="both"/>
              <w:rPr>
                <w:rFonts w:ascii="Arial;Helvetica;sans-serif" w:hAnsi="Arial;Helvetica;sans-serif"/>
                <w:sz w:val="20"/>
              </w:rPr>
            </w:pPr>
            <w:r>
              <w:rPr>
                <w:rFonts w:ascii="Arial;Helvetica;sans-serif" w:hAnsi="Arial;Helvetica;sans-serif"/>
                <w:b/>
                <w:color w:val="4B4F54"/>
                <w:sz w:val="28"/>
              </w:rPr>
              <w:t>DOMENIC J. “NICK” DELL’OSSO, JR.</w:t>
            </w:r>
            <w:r>
              <w:rPr>
                <w:rFonts w:ascii="Arial;Helvetica;sans-serif" w:hAnsi="Arial;Helvetica;sans-serif"/>
                <w:color w:val="00556F"/>
                <w:sz w:val="20"/>
              </w:rPr>
              <w:t xml:space="preserve"> </w:t>
            </w:r>
            <w:r>
              <w:rPr>
                <w:rFonts w:ascii="Arial;Helvetica;sans-serif" w:hAnsi="Arial;Helvetica;sans-serif"/>
                <w:b/>
                <w:color w:val="4B4F54"/>
                <w:sz w:val="28"/>
              </w:rPr>
              <w:t>|</w:t>
            </w:r>
            <w:r>
              <w:rPr>
                <w:rFonts w:ascii="Arial;Helvetica;sans-serif" w:hAnsi="Arial;Helvetica;sans-serif"/>
                <w:color w:val="005670"/>
                <w:sz w:val="20"/>
              </w:rPr>
              <w:t xml:space="preserve"> </w:t>
            </w:r>
            <w:r>
              <w:rPr>
                <w:rFonts w:ascii="Arial;Helvetica;sans-serif" w:hAnsi="Arial;Helvetica;sans-serif"/>
                <w:b/>
                <w:color w:val="005670"/>
                <w:sz w:val="22"/>
              </w:rPr>
              <w:t>Director since 2023</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Arial;Helvetica;sans-serif" w:hAnsi="Arial;Helvetica;sans-serif"/>
                <w:b/>
                <w:color w:val="ECA44A"/>
                <w:sz w:val="18"/>
              </w:rPr>
            </w:pPr>
            <w:r>
              <w:rPr>
                <w:rFonts w:ascii="Arial;Helvetica;sans-serif" w:hAnsi="Arial;Helvetica;sans-serif"/>
                <w:b/>
                <w:color w:val="ECA44A"/>
                <w:sz w:val="18"/>
              </w:rPr>
              <w:t>CAREER HIGHLIGHTS</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Mr. Dell’Osso served as President and Chief Executive Officer of Expand Energy Corporation (NASDAQ: EXE) (formerly Chesapeake Energy Corporation) from 2021 to 2025. He previously served as Chesapeake’s Executive Vice President and Chief Financial Officer from 2010 until 2021. Prior to that time, he served as Vice President – Finance and Chief Financial Officer of Chesapeake’s wholly owned midstream subsidiary, Chesapeake Midstream Development, L.P. from 2008 to 2010. Before joining Chesapeake, Mr. Dell’Osso was an energy investment banker with Jefferies &amp; Co. from 2006 to 2008 and Banc of America Securities from 2004 to 2006.</w:t>
            </w:r>
          </w:p>
          <w:p>
            <w:pPr>
              <w:pStyle w:val="TableContents"/>
              <w:bidi w:val="0"/>
              <w:spacing w:lineRule="auto" w:line="285" w:before="60" w:after="0"/>
              <w:ind w:left="0" w:right="0" w:hanging="0"/>
              <w:jc w:val="both"/>
              <w:rPr/>
            </w:pPr>
            <w:r>
              <w:rPr/>
              <w:t>​</w:t>
            </w:r>
          </w:p>
          <w:p>
            <w:pPr>
              <w:pStyle w:val="TableContents"/>
              <w:bidi w:val="0"/>
              <w:spacing w:lineRule="auto" w:line="285" w:before="0" w:after="60"/>
              <w:ind w:left="0" w:right="0" w:hanging="0"/>
              <w:jc w:val="both"/>
              <w:rPr>
                <w:rFonts w:ascii="Arial;Helvetica;sans-serif" w:hAnsi="Arial;Helvetica;sans-serif"/>
                <w:b/>
                <w:color w:val="ECA44A"/>
                <w:sz w:val="18"/>
              </w:rPr>
            </w:pPr>
            <w:r>
              <w:rPr>
                <w:rFonts w:ascii="Arial;Helvetica;sans-serif" w:hAnsi="Arial;Helvetica;sans-serif"/>
                <w:b/>
                <w:color w:val="ECA44A"/>
                <w:sz w:val="18"/>
              </w:rPr>
              <w:t>EDUCATION</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Master of Business Administration, Finance, University of Texas at Austin (2003)</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Bachelor’s degree, Economics, Boston College (1998)</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Arial;Helvetica;sans-serif" w:hAnsi="Arial;Helvetica;sans-serif"/>
                <w:b/>
                <w:color w:val="ECA44A"/>
                <w:sz w:val="18"/>
              </w:rPr>
            </w:pPr>
            <w:r>
              <w:rPr>
                <w:rFonts w:ascii="Arial;Helvetica;sans-serif" w:hAnsi="Arial;Helvetica;sans-serif"/>
                <w:b/>
                <w:color w:val="ECA44A"/>
                <w:sz w:val="18"/>
              </w:rPr>
              <w:t>KEY QUALIFICATIONS AND EXPERTISE</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The Board of Directors recommends that Mr. Dell’Osso continue to serve on the Board of Directors due to his experience and expertise in:</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Accounting &amp; Auditing</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Finance, Debt &amp; Capital Markets</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Human Capital Management</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Legal &amp; Compliance</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Mergers &amp; Acquisitions</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Oil &amp; Gas (Including Oilfield Services)</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Public Company CEO</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Public Company Governance</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Safety &amp; Environment</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Strategy</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Sustainability Risk, Reporting &amp; Disclosures</w:t>
            </w:r>
          </w:p>
          <w:p>
            <w:pPr>
              <w:pStyle w:val="TableContents"/>
              <w:bidi w:val="0"/>
              <w:spacing w:lineRule="auto" w:line="285" w:before="0" w:after="0"/>
              <w:ind w:left="158"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P-37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both"/>
        <w:rPr/>
      </w:pPr>
      <w:r>
        <w:rPr/>
        <w:t>​</w:t>
      </w:r>
    </w:p>
    <w:tbl>
      <w:tblPr>
        <w:tblW w:w="1805" w:type="dxa"/>
        <w:jc w:val="left"/>
        <w:tblInd w:w="0" w:type="dxa"/>
        <w:tblLayout w:type="fixed"/>
        <w:tblCellMar>
          <w:top w:w="0" w:type="dxa"/>
          <w:left w:w="0" w:type="dxa"/>
          <w:bottom w:w="0" w:type="dxa"/>
          <w:right w:w="0" w:type="dxa"/>
        </w:tblCellMar>
      </w:tblPr>
      <w:tblGrid>
        <w:gridCol w:w="1651"/>
        <w:gridCol w:w="154"/>
      </w:tblGrid>
      <w:tr>
        <w:trPr/>
        <w:tc>
          <w:tcPr>
            <w:tcW w:w="1651"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65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AGENDA ITEM 5</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874"/>
        <w:gridCol w:w="109"/>
        <w:gridCol w:w="8222"/>
      </w:tblGrid>
      <w:tr>
        <w:trPr/>
        <w:tc>
          <w:tcPr>
            <w:tcW w:w="1874" w:type="dxa"/>
            <w:tcBorders/>
            <w:vAlign w:val="center"/>
          </w:tcPr>
          <w:p>
            <w:pPr>
              <w:pStyle w:val="TableContents"/>
              <w:bidi w:val="0"/>
              <w:spacing w:lineRule="auto" w:line="285" w:before="0" w:after="0"/>
              <w:ind w:left="0" w:right="0" w:hanging="0"/>
              <w:jc w:val="left"/>
              <w:rPr/>
            </w:pPr>
            <w:r>
              <w:rPr/>
              <w:drawing>
                <wp:inline distT="0" distB="0" distL="0" distR="0">
                  <wp:extent cx="1060450" cy="1405890"/>
                  <wp:effectExtent l="0" t="0" r="0" b="0"/>
                  <wp:docPr id="11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7" descr=""/>
                          <pic:cNvPicPr>
                            <a:picLocks noChangeAspect="1" noChangeArrowheads="1"/>
                          </pic:cNvPicPr>
                        </pic:nvPicPr>
                        <pic:blipFill>
                          <a:blip r:embed="rId78"/>
                          <a:stretch>
                            <a:fillRect/>
                          </a:stretch>
                        </pic:blipFill>
                        <pic:spPr bwMode="auto">
                          <a:xfrm>
                            <a:off x="0" y="0"/>
                            <a:ext cx="1060450" cy="1405890"/>
                          </a:xfrm>
                          <a:prstGeom prst="rect">
                            <a:avLst/>
                          </a:prstGeom>
                        </pic:spPr>
                      </pic:pic>
                    </a:graphicData>
                  </a:graphic>
                </wp:inline>
              </w:drawing>
            </w:r>
          </w:p>
          <w:p>
            <w:pPr>
              <w:pStyle w:val="TableContents"/>
              <w:bidi w:val="0"/>
              <w:spacing w:lineRule="auto" w:line="285" w:before="0" w:after="0"/>
              <w:ind w:left="0" w:right="0" w:hanging="0"/>
              <w:jc w:val="both"/>
              <w:rPr/>
            </w:pPr>
            <w:r>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FOUNDER AND CEO, VDA CAPITAL MANAGEMENT LLC</w:t>
            </w:r>
          </w:p>
          <w:p>
            <w:pPr>
              <w:pStyle w:val="TableContents"/>
              <w:bidi w:val="0"/>
              <w:spacing w:lineRule="auto" w:line="285" w:before="0" w:after="0"/>
              <w:ind w:left="0" w:right="0" w:hanging="0"/>
              <w:jc w:val="both"/>
              <w:rPr/>
            </w:pPr>
            <w:r>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U.S. CITIZEN</w:t>
            </w:r>
          </w:p>
          <w:p>
            <w:pPr>
              <w:pStyle w:val="TableContents"/>
              <w:bidi w:val="0"/>
              <w:spacing w:lineRule="auto" w:line="285" w:before="0" w:after="60"/>
              <w:ind w:left="0" w:right="0" w:hanging="0"/>
              <w:jc w:val="both"/>
              <w:rPr>
                <w:rFonts w:ascii="Arial;Helvetica;sans-serif" w:hAnsi="Arial;Helvetica;sans-serif"/>
                <w:sz w:val="18"/>
              </w:rPr>
            </w:pPr>
            <w:r>
              <w:rPr>
                <w:rFonts w:ascii="Arial;Helvetica;sans-serif" w:hAnsi="Arial;Helvetica;sans-serif"/>
                <w:sz w:val="18"/>
              </w:rPr>
              <w:t>Independent</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Age 69</w:t>
            </w:r>
          </w:p>
          <w:p>
            <w:pPr>
              <w:pStyle w:val="TableContents"/>
              <w:bidi w:val="0"/>
              <w:spacing w:lineRule="auto" w:line="285" w:before="0" w:after="0"/>
              <w:ind w:left="0" w:right="0" w:hanging="0"/>
              <w:jc w:val="both"/>
              <w:rPr/>
            </w:pPr>
            <w:r>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 xml:space="preserve">COMMITTEES </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Finance</w:t>
            </w:r>
          </w:p>
          <w:p>
            <w:pPr>
              <w:pStyle w:val="TableContents"/>
              <w:bidi w:val="0"/>
              <w:spacing w:lineRule="auto" w:line="285" w:before="0" w:after="0"/>
              <w:ind w:left="0" w:right="0" w:hanging="0"/>
              <w:jc w:val="both"/>
              <w:rPr/>
            </w:pPr>
            <w:r>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 xml:space="preserve">OTHER CURRENT PUBLIC COMPANY BOARDS </w:t>
            </w:r>
          </w:p>
          <w:p>
            <w:pPr>
              <w:pStyle w:val="TableContents"/>
              <w:bidi w:val="0"/>
              <w:spacing w:lineRule="auto" w:line="285" w:before="0" w:after="60"/>
              <w:ind w:left="0" w:right="0" w:hanging="0"/>
              <w:jc w:val="left"/>
              <w:rPr>
                <w:rFonts w:ascii="Arial;Helvetica;sans-serif" w:hAnsi="Arial;Helvetica;sans-serif"/>
                <w:sz w:val="18"/>
              </w:rPr>
            </w:pPr>
            <w:r>
              <w:rPr>
                <w:rFonts w:ascii="Arial;Helvetica;sans-serif" w:hAnsi="Arial;Helvetica;sans-serif"/>
                <w:sz w:val="18"/>
              </w:rPr>
              <w:t>Hertz Global Holdings, Inc. (NASDAQ: HTZ) (since 2014)</w:t>
            </w:r>
          </w:p>
          <w:p>
            <w:pPr>
              <w:pStyle w:val="TableContents"/>
              <w:bidi w:val="0"/>
              <w:spacing w:lineRule="auto" w:line="285" w:before="0" w:after="120"/>
              <w:ind w:left="0" w:right="0" w:hanging="0"/>
              <w:jc w:val="left"/>
              <w:rPr>
                <w:rFonts w:ascii="Arial;Helvetica;sans-serif" w:hAnsi="Arial;Helvetica;sans-serif"/>
                <w:sz w:val="18"/>
              </w:rPr>
            </w:pPr>
            <w:r>
              <w:rPr>
                <w:rFonts w:ascii="Arial;Helvetica;sans-serif" w:hAnsi="Arial;Helvetica;sans-serif"/>
                <w:sz w:val="18"/>
              </w:rPr>
              <w:t>SandRidge Energy, Inc. (NYSE: SD) (since 2024)</w:t>
            </w:r>
          </w:p>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8222" w:type="dxa"/>
            <w:tcBorders/>
            <w:vAlign w:val="center"/>
          </w:tcPr>
          <w:p>
            <w:pPr>
              <w:pStyle w:val="TableContents"/>
              <w:bidi w:val="0"/>
              <w:spacing w:lineRule="auto" w:line="285" w:before="80" w:after="0"/>
              <w:ind w:left="0" w:right="0" w:hanging="0"/>
              <w:jc w:val="both"/>
              <w:rPr>
                <w:rFonts w:ascii="Arial;Helvetica;sans-serif" w:hAnsi="Arial;Helvetica;sans-serif"/>
                <w:sz w:val="20"/>
              </w:rPr>
            </w:pPr>
            <w:r>
              <w:rPr>
                <w:rFonts w:ascii="Arial;Helvetica;sans-serif" w:hAnsi="Arial;Helvetica;sans-serif"/>
                <w:b/>
                <w:color w:val="4B4F54"/>
                <w:sz w:val="28"/>
              </w:rPr>
              <w:t>VINCENT J. INTRIERI</w:t>
            </w:r>
            <w:r>
              <w:rPr>
                <w:rFonts w:ascii="Arial;Helvetica;sans-serif" w:hAnsi="Arial;Helvetica;sans-serif"/>
                <w:color w:val="00556F"/>
                <w:sz w:val="20"/>
              </w:rPr>
              <w:t xml:space="preserve"> </w:t>
            </w:r>
            <w:r>
              <w:rPr>
                <w:rFonts w:ascii="Arial;Helvetica;sans-serif" w:hAnsi="Arial;Helvetica;sans-serif"/>
                <w:b/>
                <w:color w:val="4B4F54"/>
                <w:sz w:val="28"/>
              </w:rPr>
              <w:t>|</w:t>
            </w:r>
            <w:r>
              <w:rPr>
                <w:rFonts w:ascii="Arial;Helvetica;sans-serif" w:hAnsi="Arial;Helvetica;sans-serif"/>
                <w:color w:val="005670"/>
                <w:sz w:val="20"/>
              </w:rPr>
              <w:t xml:space="preserve"> </w:t>
            </w:r>
            <w:r>
              <w:rPr>
                <w:rFonts w:ascii="Arial;Helvetica;sans-serif" w:hAnsi="Arial;Helvetica;sans-serif"/>
                <w:b/>
                <w:color w:val="005670"/>
                <w:sz w:val="22"/>
              </w:rPr>
              <w:t>Director since 2014</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Arial;Helvetica;sans-serif" w:hAnsi="Arial;Helvetica;sans-serif"/>
                <w:b/>
                <w:color w:val="ECA44A"/>
                <w:sz w:val="18"/>
              </w:rPr>
            </w:pPr>
            <w:r>
              <w:rPr>
                <w:rFonts w:ascii="Arial;Helvetica;sans-serif" w:hAnsi="Arial;Helvetica;sans-serif"/>
                <w:b/>
                <w:color w:val="ECA44A"/>
                <w:sz w:val="18"/>
              </w:rPr>
              <w:t>CAREER HIGHLIGHTS</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Mr. Intrieri is the Founder and Chief Executive Officer of VDA Capital Management LLC, a private investment fund founded in 2017. Mr. Intrieri was previously employed by Carl C. Icahn-related entities in various investment-related capacities from 1998 to 2016. From 2008 to 2016, Mr. Intrieri served as Senior Managing Director of Icahn Capital LP, the entity through which Carl C. Icahn manages private investment funds. In addition, from 2004 to 2016, Mr. Intrieri was a Senior Managing Director of Icahn Onshore LP, the general partner of Icahn Partners LP, and Icahn Offshore LP, the general partner of Icahn Partners Master Fund LP, entities through which Mr. Icahn invests in securities. Mr. Intrieri is a director of Hertz Global Holdings, Inc. (NASDAQ: HTZ) (since 2014) and Chairman of the of the Board of Directors for SandRidge Energy, Inc. (NYSE: SD) (director since 2024). Mr. Intrieri previously served as a director of International Flavors &amp; Fragrances Inc. (NYSE: IFF) in 2025, of Navistar International Corporation from 2012 until 2021, Energen Corporation from March 2018 until November 2018, Conduent Incorporated from 2017 to 2018, Chesapeake Energy Corporation from 2012 to 2016, CVR Refining, GP, LLC, the general partner of CVR Refining, LP, from 2012 to 2014, Ferrous Resources Limited from 2015 to 2016, Forest Laboratories Inc. from 2013 to 2014, CVR Energy, Inc. from 2012 to 2014, Federal-Mogul Holdings Corporation from 2007 to 2013, Icahn Enterprises L.P. from 2006 to 2012, and was Senior Vice President of Icahn Enterprises L.P. from 2011 to 2012. Mr. Intrieri was also a director of Dynegy Inc. from 2011 to 2012, and Chair and a director of PSC Metals Inc. from 2007 to 2012. He served as a director of Motorola Solutions, Inc. from 2011 to 2012, XO Holdings from 2006 to 2011, National Energy Group, Inc. from 2006 to 2011, American Railcar Industries, Inc. from 2005 to 2011, WestPoint Home LLC from 2005 to 2011, and as Chair and a director of Viskase Companies, Inc. from 2003 to 2011. Ferrous Resources Limited, CVR Refining, CVR Energy, American Railcar Industries, Federal-Mogul, Icahn Enterprises, XO Holdings, National Energy Group, WestPoint Home, Viskase Companies and PSC Metals each are or previously were indirectly controlled by Carl C. Icahn. Mr. Icahn also has or previously had a noncontrolling interest in Dynegy, Hertz, Forest Laboratories, Navistar, Chesapeake Energy, Motorola Solutions and Transocean through the ownership of securities.</w:t>
            </w:r>
          </w:p>
          <w:p>
            <w:pPr>
              <w:pStyle w:val="TableContents"/>
              <w:bidi w:val="0"/>
              <w:spacing w:lineRule="auto" w:line="285" w:before="60" w:after="0"/>
              <w:ind w:left="0" w:right="0" w:hanging="0"/>
              <w:jc w:val="both"/>
              <w:rPr/>
            </w:pPr>
            <w:r>
              <w:rPr/>
              <w:t>​</w:t>
            </w:r>
          </w:p>
          <w:p>
            <w:pPr>
              <w:pStyle w:val="TableContents"/>
              <w:bidi w:val="0"/>
              <w:spacing w:lineRule="auto" w:line="285" w:before="0" w:after="0"/>
              <w:ind w:left="0" w:right="0" w:hanging="0"/>
              <w:jc w:val="both"/>
              <w:rPr>
                <w:rFonts w:ascii="Arial;Helvetica;sans-serif" w:hAnsi="Arial;Helvetica;sans-serif"/>
                <w:b/>
                <w:color w:val="ECA44A"/>
                <w:sz w:val="18"/>
              </w:rPr>
            </w:pPr>
            <w:r>
              <w:rPr>
                <w:rFonts w:ascii="Arial;Helvetica;sans-serif" w:hAnsi="Arial;Helvetica;sans-serif"/>
                <w:b/>
                <w:color w:val="ECA44A"/>
                <w:sz w:val="18"/>
              </w:rPr>
              <w:t>EDUCATION</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Certified Public Accountant (inactive)</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Bachelor of Science degree, with Distinction, Accounting, The Pennsylvania State University (Erie Campus) (1984)</w:t>
            </w:r>
          </w:p>
          <w:p>
            <w:pPr>
              <w:pStyle w:val="TableContents"/>
              <w:bidi w:val="0"/>
              <w:spacing w:lineRule="auto" w:line="285" w:before="0" w:after="0"/>
              <w:ind w:left="0" w:right="0" w:hanging="0"/>
              <w:jc w:val="both"/>
              <w:rPr/>
            </w:pPr>
            <w:r>
              <w:rPr/>
              <w:t>​</w:t>
            </w:r>
          </w:p>
          <w:p>
            <w:pPr>
              <w:pStyle w:val="TableContents"/>
              <w:bidi w:val="0"/>
              <w:spacing w:lineRule="auto" w:line="285" w:before="0" w:after="60"/>
              <w:ind w:left="0" w:right="0" w:hanging="0"/>
              <w:jc w:val="both"/>
              <w:rPr>
                <w:rFonts w:ascii="Arial;Helvetica;sans-serif" w:hAnsi="Arial;Helvetica;sans-serif"/>
                <w:b/>
                <w:color w:val="ECA44A"/>
                <w:sz w:val="18"/>
              </w:rPr>
            </w:pPr>
            <w:r>
              <w:rPr>
                <w:rFonts w:ascii="Arial;Helvetica;sans-serif" w:hAnsi="Arial;Helvetica;sans-serif"/>
                <w:b/>
                <w:color w:val="ECA44A"/>
                <w:sz w:val="18"/>
              </w:rPr>
              <w:t>KEY QUALIFICATIONS AND EXPERTISE</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The Board of Directors recommends that Mr. Intrieri continue to serve on the Board of Directors due to his experience and expertise in:</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Accounting &amp; Auditing</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Finance, Debt &amp; Capital Markets</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Human Capital Management</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Mergers &amp; Acquisitions</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Multinational Company</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Oil &amp; Gas (Including Oilfield Services)</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Public Company Governance</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Safety &amp; Environment</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Strategy</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Technology, Research &amp; Development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P-38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805" w:type="dxa"/>
        <w:jc w:val="left"/>
        <w:tblInd w:w="0" w:type="dxa"/>
        <w:tblLayout w:type="fixed"/>
        <w:tblCellMar>
          <w:top w:w="0" w:type="dxa"/>
          <w:left w:w="0" w:type="dxa"/>
          <w:bottom w:w="0" w:type="dxa"/>
          <w:right w:w="0" w:type="dxa"/>
        </w:tblCellMar>
      </w:tblPr>
      <w:tblGrid>
        <w:gridCol w:w="124"/>
        <w:gridCol w:w="1681"/>
      </w:tblGrid>
      <w:tr>
        <w:trPr/>
        <w:tc>
          <w:tcPr>
            <w:tcW w:w="124" w:type="dxa"/>
            <w:tcBorders/>
            <w:vAlign w:val="center"/>
          </w:tcPr>
          <w:p>
            <w:pPr>
              <w:pStyle w:val="TableContents"/>
              <w:bidi w:val="0"/>
              <w:spacing w:lineRule="auto" w:line="285" w:before="0" w:after="0"/>
              <w:ind w:left="0" w:right="0" w:hanging="0"/>
              <w:jc w:val="both"/>
              <w:rPr/>
            </w:pPr>
            <w:r>
              <w:rPr/>
              <w:t>​</w:t>
            </w:r>
          </w:p>
        </w:tc>
        <w:tc>
          <w:tcPr>
            <w:tcW w:w="1681" w:type="dxa"/>
            <w:tcBorders/>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68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AGENDA ITEM 5</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70"/>
        <w:gridCol w:w="109"/>
        <w:gridCol w:w="8026"/>
      </w:tblGrid>
      <w:tr>
        <w:trPr/>
        <w:tc>
          <w:tcPr>
            <w:tcW w:w="2070" w:type="dxa"/>
            <w:tcBorders/>
            <w:vAlign w:val="center"/>
          </w:tcPr>
          <w:p>
            <w:pPr>
              <w:pStyle w:val="TableContents"/>
              <w:bidi w:val="0"/>
              <w:spacing w:lineRule="auto" w:line="285" w:before="0" w:after="0"/>
              <w:ind w:left="0" w:right="0" w:hanging="0"/>
              <w:jc w:val="left"/>
              <w:rPr>
                <w:color w:val="4B4F54"/>
              </w:rPr>
            </w:pPr>
            <w:r>
              <w:rPr>
                <w:color w:val="4B4F54"/>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left"/>
              <w:rPr>
                <w:color w:val="4B4F54"/>
              </w:rPr>
            </w:pPr>
            <w:r>
              <w:rPr>
                <w:color w:val="4B4F54"/>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left"/>
              <w:rPr>
                <w:color w:val="4B4F54"/>
              </w:rPr>
            </w:pPr>
            <w:r>
              <w:rPr>
                <w:color w:val="4B4F54"/>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left"/>
              <w:rPr>
                <w:color w:val="4B4F54"/>
              </w:rPr>
            </w:pPr>
            <w:r>
              <w:rPr>
                <w:color w:val="4B4F54"/>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8026" w:type="dxa"/>
            <w:tcBorders/>
            <w:vAlign w:val="center"/>
          </w:tcPr>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color w:val="ECA44A"/>
              </w:rPr>
            </w:pPr>
            <w:r>
              <w:rPr>
                <w:color w:val="ECA44A"/>
              </w:rPr>
              <w:t>​</w:t>
            </w:r>
          </w:p>
          <w:p>
            <w:pPr>
              <w:pStyle w:val="TableContents"/>
              <w:bidi w:val="0"/>
              <w:spacing w:lineRule="auto" w:line="285" w:before="60" w:after="0"/>
              <w:ind w:left="0" w:right="0" w:hanging="0"/>
              <w:jc w:val="both"/>
              <w:rPr/>
            </w:pPr>
            <w:r>
              <w:rPr/>
              <w:t>​</w:t>
            </w:r>
          </w:p>
          <w:p>
            <w:pPr>
              <w:pStyle w:val="TableContents"/>
              <w:bidi w:val="0"/>
              <w:spacing w:lineRule="auto" w:line="285" w:before="60" w:after="0"/>
              <w:ind w:left="0" w:right="0" w:hanging="0"/>
              <w:jc w:val="both"/>
              <w:rPr/>
            </w:pPr>
            <w:r>
              <w:rPr/>
              <w:t>​</w:t>
            </w:r>
          </w:p>
          <w:p>
            <w:pPr>
              <w:pStyle w:val="TableContents"/>
              <w:bidi w:val="0"/>
              <w:spacing w:lineRule="auto" w:line="285" w:before="0" w:after="0"/>
              <w:ind w:left="0" w:right="0" w:hanging="0"/>
              <w:jc w:val="both"/>
              <w:rPr>
                <w:color w:val="ECA44A"/>
              </w:rPr>
            </w:pPr>
            <w:r>
              <w:rPr>
                <w:color w:val="ECA44A"/>
              </w:rPr>
              <w:t>​</w:t>
            </w:r>
          </w:p>
          <w:p>
            <w:pPr>
              <w:pStyle w:val="TableContents"/>
              <w:bidi w:val="0"/>
              <w:spacing w:lineRule="auto" w:line="285" w:before="0" w:after="0"/>
              <w:ind w:left="158" w:right="0" w:hanging="0"/>
              <w:jc w:val="both"/>
              <w:rPr/>
            </w:pPr>
            <w:r>
              <w:rPr/>
              <w:t>​</w:t>
            </w:r>
          </w:p>
          <w:p>
            <w:pPr>
              <w:pStyle w:val="TableContents"/>
              <w:bidi w:val="0"/>
              <w:spacing w:lineRule="auto" w:line="285" w:before="0" w:after="0"/>
              <w:ind w:left="158"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color w:val="ECA44A"/>
              </w:rPr>
            </w:pPr>
            <w:r>
              <w:rPr>
                <w:color w:val="ECA44A"/>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158" w:right="0" w:hanging="0"/>
              <w:jc w:val="both"/>
              <w:rPr/>
            </w:pPr>
            <w:r>
              <w:rPr/>
              <w:t>​</w:t>
            </w:r>
          </w:p>
          <w:p>
            <w:pPr>
              <w:pStyle w:val="TableContents"/>
              <w:bidi w:val="0"/>
              <w:spacing w:lineRule="auto" w:line="285" w:before="0" w:after="0"/>
              <w:ind w:left="158" w:right="0" w:hanging="0"/>
              <w:jc w:val="both"/>
              <w:rPr/>
            </w:pPr>
            <w:r>
              <w:rPr/>
              <w:t>​</w:t>
            </w:r>
          </w:p>
          <w:p>
            <w:pPr>
              <w:pStyle w:val="TableContents"/>
              <w:bidi w:val="0"/>
              <w:spacing w:lineRule="auto" w:line="285" w:before="0" w:after="0"/>
              <w:ind w:left="158" w:right="0" w:hanging="0"/>
              <w:jc w:val="both"/>
              <w:rPr/>
            </w:pPr>
            <w:r>
              <w:rPr/>
              <w:t>​</w:t>
            </w:r>
          </w:p>
          <w:p>
            <w:pPr>
              <w:pStyle w:val="TableContents"/>
              <w:bidi w:val="0"/>
              <w:spacing w:lineRule="auto" w:line="285" w:before="0" w:after="0"/>
              <w:ind w:left="158" w:right="0" w:hanging="0"/>
              <w:jc w:val="both"/>
              <w:rPr/>
            </w:pPr>
            <w:r>
              <w:rPr/>
              <w:t>​</w:t>
            </w:r>
          </w:p>
          <w:p>
            <w:pPr>
              <w:pStyle w:val="TableContents"/>
              <w:bidi w:val="0"/>
              <w:spacing w:lineRule="auto" w:line="285" w:before="0" w:after="0"/>
              <w:ind w:left="158" w:right="0" w:hanging="0"/>
              <w:jc w:val="both"/>
              <w:rPr/>
            </w:pPr>
            <w:r>
              <w:rPr/>
              <w:t>​</w:t>
            </w:r>
          </w:p>
          <w:p>
            <w:pPr>
              <w:pStyle w:val="TableContents"/>
              <w:bidi w:val="0"/>
              <w:spacing w:lineRule="auto" w:line="285" w:before="0" w:after="0"/>
              <w:ind w:left="158" w:right="0" w:hanging="0"/>
              <w:jc w:val="both"/>
              <w:rPr/>
            </w:pPr>
            <w:r>
              <w:rPr/>
              <w:t>​</w:t>
            </w:r>
          </w:p>
          <w:p>
            <w:pPr>
              <w:pStyle w:val="TableContents"/>
              <w:bidi w:val="0"/>
              <w:spacing w:lineRule="auto" w:line="285" w:before="0" w:after="0"/>
              <w:ind w:left="158" w:right="0" w:hanging="0"/>
              <w:jc w:val="both"/>
              <w:rPr/>
            </w:pPr>
            <w:r>
              <w:rPr/>
              <w:t>​</w:t>
            </w:r>
          </w:p>
          <w:p>
            <w:pPr>
              <w:pStyle w:val="TableContents"/>
              <w:bidi w:val="0"/>
              <w:spacing w:lineRule="auto" w:line="285" w:before="0" w:after="0"/>
              <w:ind w:left="158" w:right="0" w:hanging="0"/>
              <w:jc w:val="both"/>
              <w:rPr/>
            </w:pPr>
            <w:r>
              <w:rPr/>
              <w:t>​</w:t>
            </w:r>
          </w:p>
          <w:p>
            <w:pPr>
              <w:pStyle w:val="TableContents"/>
              <w:bidi w:val="0"/>
              <w:spacing w:lineRule="auto" w:line="285" w:before="0" w:after="0"/>
              <w:ind w:left="158" w:right="0" w:hanging="0"/>
              <w:jc w:val="both"/>
              <w:rPr/>
            </w:pPr>
            <w:r>
              <w:rPr/>
              <w:t>​</w:t>
            </w:r>
          </w:p>
          <w:p>
            <w:pPr>
              <w:pStyle w:val="TableContents"/>
              <w:bidi w:val="0"/>
              <w:spacing w:lineRule="auto" w:line="285" w:before="0" w:after="0"/>
              <w:ind w:left="158" w:right="0" w:hanging="0"/>
              <w:jc w:val="both"/>
              <w:rPr/>
            </w:pPr>
            <w:r>
              <w:rPr/>
              <w:t>​</w:t>
            </w:r>
          </w:p>
          <w:p>
            <w:pPr>
              <w:pStyle w:val="TableContents"/>
              <w:bidi w:val="0"/>
              <w:spacing w:lineRule="auto" w:line="285" w:before="0" w:after="0"/>
              <w:ind w:left="0" w:right="0" w:hanging="0"/>
              <w:jc w:val="both"/>
              <w:rPr/>
            </w:pPr>
            <w:r>
              <w:rPr/>
              <w:t>​</w:t>
            </w:r>
          </w:p>
        </w:tc>
      </w:tr>
      <w:tr>
        <w:trPr/>
        <w:tc>
          <w:tcPr>
            <w:tcW w:w="2070" w:type="dxa"/>
            <w:tcBorders/>
            <w:vAlign w:val="center"/>
          </w:tcPr>
          <w:p>
            <w:pPr>
              <w:pStyle w:val="TableContents"/>
              <w:bidi w:val="0"/>
              <w:spacing w:lineRule="auto" w:line="285" w:before="0" w:after="0"/>
              <w:ind w:left="0" w:right="0" w:hanging="0"/>
              <w:jc w:val="left"/>
              <w:rPr/>
            </w:pPr>
            <w:r>
              <w:rPr/>
              <w:drawing>
                <wp:inline distT="0" distB="0" distL="0" distR="0">
                  <wp:extent cx="1060450" cy="1383665"/>
                  <wp:effectExtent l="0" t="0" r="0" b="0"/>
                  <wp:docPr id="11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8" descr=""/>
                          <pic:cNvPicPr>
                            <a:picLocks noChangeAspect="1" noChangeArrowheads="1"/>
                          </pic:cNvPicPr>
                        </pic:nvPicPr>
                        <pic:blipFill>
                          <a:blip r:embed="rId79"/>
                          <a:stretch>
                            <a:fillRect/>
                          </a:stretch>
                        </pic:blipFill>
                        <pic:spPr bwMode="auto">
                          <a:xfrm>
                            <a:off x="0" y="0"/>
                            <a:ext cx="1060450" cy="1383665"/>
                          </a:xfrm>
                          <a:prstGeom prst="rect">
                            <a:avLst/>
                          </a:prstGeom>
                        </pic:spPr>
                      </pic:pic>
                    </a:graphicData>
                  </a:graphic>
                </wp:inline>
              </w:drawing>
            </w:r>
          </w:p>
          <w:p>
            <w:pPr>
              <w:pStyle w:val="TableContents"/>
              <w:bidi w:val="0"/>
              <w:spacing w:lineRule="auto" w:line="285" w:before="0" w:after="0"/>
              <w:ind w:left="0" w:right="0" w:hanging="0"/>
              <w:jc w:val="left"/>
              <w:rPr>
                <w:color w:val="4B4F54"/>
              </w:rPr>
            </w:pPr>
            <w:r>
              <w:rPr>
                <w:color w:val="4B4F54"/>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EXECUTIVE VICE PRESIDENT AND CFO, WOODWARD, INC.</w:t>
            </w:r>
          </w:p>
          <w:p>
            <w:pPr>
              <w:pStyle w:val="TableContents"/>
              <w:bidi w:val="0"/>
              <w:spacing w:lineRule="auto" w:line="285" w:before="0" w:after="0"/>
              <w:ind w:left="0" w:right="0" w:hanging="0"/>
              <w:jc w:val="left"/>
              <w:rPr/>
            </w:pPr>
            <w:r>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U.S. CITIZEN</w:t>
            </w:r>
          </w:p>
          <w:p>
            <w:pPr>
              <w:pStyle w:val="TableContents"/>
              <w:bidi w:val="0"/>
              <w:spacing w:lineRule="auto" w:line="285" w:before="0" w:after="60"/>
              <w:ind w:left="0" w:right="0" w:hanging="0"/>
              <w:jc w:val="both"/>
              <w:rPr>
                <w:rFonts w:ascii="Arial;Helvetica;sans-serif" w:hAnsi="Arial;Helvetica;sans-serif"/>
                <w:sz w:val="18"/>
              </w:rPr>
            </w:pPr>
            <w:r>
              <w:rPr>
                <w:rFonts w:ascii="Arial;Helvetica;sans-serif" w:hAnsi="Arial;Helvetica;sans-serif"/>
                <w:sz w:val="18"/>
              </w:rPr>
              <w:t>Independent</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Age 56</w:t>
            </w:r>
          </w:p>
          <w:p>
            <w:pPr>
              <w:pStyle w:val="TableContents"/>
              <w:bidi w:val="0"/>
              <w:spacing w:lineRule="auto" w:line="285" w:before="0" w:after="0"/>
              <w:ind w:left="0" w:right="0" w:hanging="0"/>
              <w:jc w:val="both"/>
              <w:rPr/>
            </w:pPr>
            <w:r>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COMMITTEES</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Audit</w:t>
            </w:r>
          </w:p>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8026" w:type="dxa"/>
            <w:tcBorders/>
            <w:vAlign w:val="center"/>
          </w:tcPr>
          <w:p>
            <w:pPr>
              <w:pStyle w:val="TableContents"/>
              <w:bidi w:val="0"/>
              <w:spacing w:lineRule="auto" w:line="285" w:before="80" w:after="0"/>
              <w:ind w:left="0" w:right="0" w:hanging="0"/>
              <w:jc w:val="both"/>
              <w:rPr>
                <w:rFonts w:ascii="Arial;Helvetica;sans-serif" w:hAnsi="Arial;Helvetica;sans-serif"/>
                <w:sz w:val="20"/>
              </w:rPr>
            </w:pPr>
            <w:r>
              <w:rPr>
                <w:rFonts w:ascii="Arial;Helvetica;sans-serif" w:hAnsi="Arial;Helvetica;sans-serif"/>
                <w:b/>
                <w:color w:val="4B4F54"/>
                <w:sz w:val="28"/>
              </w:rPr>
              <w:t>WILLIAM F. “BILL” LACEY</w:t>
            </w:r>
            <w:r>
              <w:rPr>
                <w:rFonts w:ascii="Arial;Helvetica;sans-serif" w:hAnsi="Arial;Helvetica;sans-serif"/>
                <w:color w:val="00556F"/>
                <w:sz w:val="20"/>
              </w:rPr>
              <w:t xml:space="preserve"> </w:t>
            </w:r>
            <w:r>
              <w:rPr>
                <w:rFonts w:ascii="Arial;Helvetica;sans-serif" w:hAnsi="Arial;Helvetica;sans-serif"/>
                <w:b/>
                <w:color w:val="4B4F54"/>
                <w:sz w:val="28"/>
              </w:rPr>
              <w:t>|</w:t>
            </w:r>
            <w:r>
              <w:rPr>
                <w:rFonts w:ascii="Arial;Helvetica;sans-serif" w:hAnsi="Arial;Helvetica;sans-serif"/>
                <w:color w:val="005670"/>
                <w:sz w:val="20"/>
              </w:rPr>
              <w:t xml:space="preserve"> </w:t>
            </w:r>
            <w:r>
              <w:rPr>
                <w:rFonts w:ascii="Arial;Helvetica;sans-serif" w:hAnsi="Arial;Helvetica;sans-serif"/>
                <w:b/>
                <w:color w:val="005670"/>
                <w:sz w:val="22"/>
              </w:rPr>
              <w:t>Director Since 2025</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Arial;Helvetica;sans-serif" w:hAnsi="Arial;Helvetica;sans-serif"/>
                <w:b/>
                <w:color w:val="ECA44A"/>
                <w:sz w:val="18"/>
              </w:rPr>
            </w:pPr>
            <w:r>
              <w:rPr>
                <w:rFonts w:ascii="Arial;Helvetica;sans-serif" w:hAnsi="Arial;Helvetica;sans-serif"/>
                <w:b/>
                <w:color w:val="ECA44A"/>
                <w:sz w:val="18"/>
              </w:rPr>
              <w:t>CAREER HIGHLIGHTS</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Mr. Lacey is Executive Vice President and Chief Financial Officer of Woodward, Inc. since May 2023. Mr. Lacey previously served as Vice President of Finance, Books and Kindle Content at Amazon, Inc. from 2022 to 2023. Prior to joining Amazon, Mr. Lacey was President and Chief Executive Officer of GE Lighting, a division of Savant Systems, Inc. (“Savant”) from 2020 to 2022, and President and Chief Executive Officer of GE Lighting at General Electric Company (“GE”) from 2016 to 2020 when GE Lighting was acquired by Savant. During nearly three decades with GE, Mr. Lacey also served as President and Chief Financial Officer of GE Home &amp; Business Solution Lighting from 2011 to 2016, Chief Financial Officer of GE Healthcare Medical Diagnostic from 2007 to 2011, and as Chief Financial Officer of GE Wind Energy from 2002 to 2005. Mr. Lacey served as a director of Parker-Hannifin Corporation from 2021 to 2023.</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Arial;Helvetica;sans-serif" w:hAnsi="Arial;Helvetica;sans-serif"/>
                <w:b/>
                <w:color w:val="ECA44A"/>
                <w:sz w:val="18"/>
              </w:rPr>
            </w:pPr>
            <w:r>
              <w:rPr>
                <w:rFonts w:ascii="Arial;Helvetica;sans-serif" w:hAnsi="Arial;Helvetica;sans-serif"/>
                <w:b/>
                <w:color w:val="ECA44A"/>
                <w:sz w:val="18"/>
              </w:rPr>
              <w:t>EDUCATION</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Bachelor’s degree, Accounting and Business Management, Florida Agricultural and Mechanical University (1992)</w:t>
            </w:r>
          </w:p>
          <w:p>
            <w:pPr>
              <w:pStyle w:val="TableContents"/>
              <w:bidi w:val="0"/>
              <w:spacing w:lineRule="auto" w:line="285" w:before="0" w:after="0"/>
              <w:ind w:left="0" w:right="0" w:hanging="0"/>
              <w:jc w:val="both"/>
              <w:rPr/>
            </w:pPr>
            <w:r>
              <w:rPr/>
              <w:t>​</w:t>
            </w:r>
          </w:p>
          <w:p>
            <w:pPr>
              <w:pStyle w:val="TableContents"/>
              <w:bidi w:val="0"/>
              <w:spacing w:lineRule="auto" w:line="285" w:before="0" w:after="60"/>
              <w:ind w:left="0" w:right="0" w:hanging="0"/>
              <w:jc w:val="both"/>
              <w:rPr>
                <w:rFonts w:ascii="Arial;Helvetica;sans-serif" w:hAnsi="Arial;Helvetica;sans-serif"/>
                <w:b/>
                <w:color w:val="ECA44A"/>
                <w:sz w:val="18"/>
              </w:rPr>
            </w:pPr>
            <w:r>
              <w:rPr>
                <w:rFonts w:ascii="Arial;Helvetica;sans-serif" w:hAnsi="Arial;Helvetica;sans-serif"/>
                <w:b/>
                <w:color w:val="ECA44A"/>
                <w:sz w:val="18"/>
              </w:rPr>
              <w:t>KEY QUALIFICATIONS AND EXPERTISE</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The Board of Directors recommends that Mr. Lacey continue to serve on the Board of Directors due to his experience and expertise in:</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Accounting &amp; Auditing</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Finance, Debt &amp; Capital Markets</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Human Capital Management</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Mergers &amp; Acquisitions</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Multinational Company</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Public Company Governance</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Strategy</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Technology, Research &amp; Development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P-39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both"/>
        <w:rPr/>
      </w:pPr>
      <w:r>
        <w:rPr/>
        <w:t>​</w:t>
      </w:r>
    </w:p>
    <w:tbl>
      <w:tblPr>
        <w:tblW w:w="1805" w:type="dxa"/>
        <w:jc w:val="left"/>
        <w:tblInd w:w="0" w:type="dxa"/>
        <w:tblLayout w:type="fixed"/>
        <w:tblCellMar>
          <w:top w:w="0" w:type="dxa"/>
          <w:left w:w="0" w:type="dxa"/>
          <w:bottom w:w="0" w:type="dxa"/>
          <w:right w:w="0" w:type="dxa"/>
        </w:tblCellMar>
      </w:tblPr>
      <w:tblGrid>
        <w:gridCol w:w="1651"/>
        <w:gridCol w:w="154"/>
      </w:tblGrid>
      <w:tr>
        <w:trPr/>
        <w:tc>
          <w:tcPr>
            <w:tcW w:w="1651"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65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AGENDA ITEM 5</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863"/>
        <w:gridCol w:w="109"/>
        <w:gridCol w:w="8233"/>
      </w:tblGrid>
      <w:tr>
        <w:trPr/>
        <w:tc>
          <w:tcPr>
            <w:tcW w:w="1863"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8233" w:type="dxa"/>
            <w:tcBorders/>
            <w:vAlign w:val="center"/>
          </w:tcPr>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tc>
      </w:tr>
      <w:tr>
        <w:trPr/>
        <w:tc>
          <w:tcPr>
            <w:tcW w:w="1863" w:type="dxa"/>
            <w:tcBorders/>
            <w:vAlign w:val="center"/>
          </w:tcPr>
          <w:p>
            <w:pPr>
              <w:pStyle w:val="TableContents"/>
              <w:bidi w:val="0"/>
              <w:spacing w:lineRule="auto" w:line="285" w:before="0" w:after="0"/>
              <w:ind w:left="0" w:right="0" w:hanging="0"/>
              <w:jc w:val="left"/>
              <w:rPr/>
            </w:pPr>
            <w:r>
              <w:rPr/>
              <w:drawing>
                <wp:inline distT="0" distB="0" distL="0" distR="0">
                  <wp:extent cx="1060450" cy="1405890"/>
                  <wp:effectExtent l="0" t="0" r="0" b="0"/>
                  <wp:docPr id="11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9" descr=""/>
                          <pic:cNvPicPr>
                            <a:picLocks noChangeAspect="1" noChangeArrowheads="1"/>
                          </pic:cNvPicPr>
                        </pic:nvPicPr>
                        <pic:blipFill>
                          <a:blip r:embed="rId80"/>
                          <a:stretch>
                            <a:fillRect/>
                          </a:stretch>
                        </pic:blipFill>
                        <pic:spPr bwMode="auto">
                          <a:xfrm>
                            <a:off x="0" y="0"/>
                            <a:ext cx="1060450" cy="1405890"/>
                          </a:xfrm>
                          <a:prstGeom prst="rect">
                            <a:avLst/>
                          </a:prstGeom>
                        </pic:spPr>
                      </pic:pic>
                    </a:graphicData>
                  </a:graphic>
                </wp:inline>
              </w:drawing>
            </w:r>
          </w:p>
          <w:p>
            <w:pPr>
              <w:pStyle w:val="TableContents"/>
              <w:bidi w:val="0"/>
              <w:spacing w:lineRule="auto" w:line="285" w:before="16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EXECUTIVE DIRECTOR, MUBADALA CAPITAL</w:t>
            </w:r>
          </w:p>
          <w:p>
            <w:pPr>
              <w:pStyle w:val="TableContents"/>
              <w:bidi w:val="0"/>
              <w:spacing w:lineRule="auto" w:line="285" w:before="0" w:after="0"/>
              <w:ind w:left="0" w:right="0" w:hanging="0"/>
              <w:jc w:val="left"/>
              <w:rPr>
                <w:color w:val="4B4F54"/>
              </w:rPr>
            </w:pPr>
            <w:r>
              <w:rPr>
                <w:color w:val="4B4F54"/>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U.S. CITIZEN</w:t>
            </w:r>
          </w:p>
          <w:p>
            <w:pPr>
              <w:pStyle w:val="TableContents"/>
              <w:bidi w:val="0"/>
              <w:spacing w:lineRule="auto" w:line="285" w:before="0" w:after="60"/>
              <w:ind w:left="0" w:right="0" w:hanging="0"/>
              <w:jc w:val="left"/>
              <w:rPr>
                <w:rFonts w:ascii="Arial;Helvetica;sans-serif" w:hAnsi="Arial;Helvetica;sans-serif"/>
                <w:sz w:val="18"/>
              </w:rPr>
            </w:pPr>
            <w:r>
              <w:rPr>
                <w:rFonts w:ascii="Arial;Helvetica;sans-serif" w:hAnsi="Arial;Helvetica;sans-serif"/>
                <w:sz w:val="18"/>
              </w:rPr>
              <w:t>Independent</w:t>
            </w:r>
          </w:p>
          <w:p>
            <w:pPr>
              <w:pStyle w:val="TableContents"/>
              <w:bidi w:val="0"/>
              <w:spacing w:lineRule="auto" w:line="285" w:before="0" w:after="60"/>
              <w:ind w:left="0" w:right="0" w:hanging="0"/>
              <w:jc w:val="left"/>
              <w:rPr>
                <w:rFonts w:ascii="Arial;Helvetica;sans-serif" w:hAnsi="Arial;Helvetica;sans-serif"/>
                <w:sz w:val="18"/>
              </w:rPr>
            </w:pPr>
            <w:r>
              <w:rPr>
                <w:rFonts w:ascii="Arial;Helvetica;sans-serif" w:hAnsi="Arial;Helvetica;sans-serif"/>
                <w:sz w:val="18"/>
              </w:rPr>
              <w:t>Age 45</w:t>
            </w:r>
          </w:p>
          <w:p>
            <w:pPr>
              <w:pStyle w:val="TableContents"/>
              <w:bidi w:val="0"/>
              <w:spacing w:lineRule="auto" w:line="285" w:before="0" w:after="0"/>
              <w:ind w:left="0" w:right="0" w:hanging="0"/>
              <w:jc w:val="left"/>
              <w:rPr/>
            </w:pPr>
            <w:r>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COMMITTEES</w:t>
            </w:r>
          </w:p>
          <w:p>
            <w:pPr>
              <w:pStyle w:val="TableContents"/>
              <w:bidi w:val="0"/>
              <w:spacing w:lineRule="auto" w:line="285" w:before="0" w:after="60"/>
              <w:ind w:left="0" w:right="0" w:hanging="0"/>
              <w:jc w:val="left"/>
              <w:rPr>
                <w:rFonts w:ascii="Arial;Helvetica;sans-serif" w:hAnsi="Arial;Helvetica;sans-serif"/>
                <w:sz w:val="18"/>
              </w:rPr>
            </w:pPr>
            <w:r>
              <w:rPr>
                <w:rFonts w:ascii="Arial;Helvetica;sans-serif" w:hAnsi="Arial;Helvetica;sans-serif"/>
                <w:sz w:val="18"/>
              </w:rPr>
              <w:t>Audit</w:t>
            </w:r>
          </w:p>
          <w:p>
            <w:pPr>
              <w:pStyle w:val="TableContents"/>
              <w:bidi w:val="0"/>
              <w:spacing w:lineRule="auto" w:line="285" w:before="0" w:after="60"/>
              <w:ind w:left="0" w:right="0" w:hanging="0"/>
              <w:jc w:val="left"/>
              <w:rPr>
                <w:rFonts w:ascii="Arial;Helvetica;sans-serif" w:hAnsi="Arial;Helvetica;sans-serif"/>
                <w:sz w:val="18"/>
              </w:rPr>
            </w:pPr>
            <w:r>
              <w:rPr>
                <w:rFonts w:ascii="Arial;Helvetica;sans-serif" w:hAnsi="Arial;Helvetica;sans-serif"/>
                <w:sz w:val="18"/>
              </w:rPr>
              <w:t>Finance</w:t>
            </w:r>
          </w:p>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8233" w:type="dxa"/>
            <w:tcBorders/>
            <w:vAlign w:val="center"/>
          </w:tcPr>
          <w:p>
            <w:pPr>
              <w:pStyle w:val="TableContents"/>
              <w:bidi w:val="0"/>
              <w:spacing w:lineRule="auto" w:line="285" w:before="80" w:after="0"/>
              <w:ind w:left="0" w:right="0" w:hanging="0"/>
              <w:jc w:val="both"/>
              <w:rPr>
                <w:rFonts w:ascii="Arial;Helvetica;sans-serif" w:hAnsi="Arial;Helvetica;sans-serif"/>
                <w:sz w:val="20"/>
              </w:rPr>
            </w:pPr>
            <w:r>
              <w:rPr>
                <w:rFonts w:ascii="Arial;Helvetica;sans-serif" w:hAnsi="Arial;Helvetica;sans-serif"/>
                <w:b/>
                <w:color w:val="4B4F54"/>
                <w:sz w:val="28"/>
              </w:rPr>
              <w:t>SAMUEL J. MERKSAMER</w:t>
            </w:r>
            <w:r>
              <w:rPr>
                <w:rFonts w:ascii="Arial;Helvetica;sans-serif" w:hAnsi="Arial;Helvetica;sans-serif"/>
                <w:color w:val="00556F"/>
                <w:sz w:val="20"/>
              </w:rPr>
              <w:t xml:space="preserve"> </w:t>
            </w:r>
            <w:r>
              <w:rPr>
                <w:rFonts w:ascii="Arial;Helvetica;sans-serif" w:hAnsi="Arial;Helvetica;sans-serif"/>
                <w:b/>
                <w:color w:val="4B4F54"/>
                <w:sz w:val="28"/>
              </w:rPr>
              <w:t>|</w:t>
            </w:r>
            <w:r>
              <w:rPr>
                <w:rFonts w:ascii="Arial;Helvetica;sans-serif" w:hAnsi="Arial;Helvetica;sans-serif"/>
                <w:color w:val="005670"/>
                <w:sz w:val="20"/>
              </w:rPr>
              <w:t xml:space="preserve"> </w:t>
            </w:r>
            <w:r>
              <w:rPr>
                <w:rFonts w:ascii="Arial;Helvetica;sans-serif" w:hAnsi="Arial;Helvetica;sans-serif"/>
                <w:b/>
                <w:color w:val="005670"/>
                <w:sz w:val="22"/>
              </w:rPr>
              <w:t>Director since 2013</w:t>
            </w:r>
          </w:p>
          <w:p>
            <w:pPr>
              <w:pStyle w:val="TableContents"/>
              <w:bidi w:val="0"/>
              <w:spacing w:lineRule="auto" w:line="285" w:before="0" w:after="0"/>
              <w:ind w:left="0" w:right="0" w:hanging="0"/>
              <w:jc w:val="both"/>
              <w:rPr>
                <w:color w:val="4B4F54"/>
              </w:rPr>
            </w:pPr>
            <w:r>
              <w:rPr>
                <w:color w:val="4B4F54"/>
              </w:rPr>
              <w:t>​</w:t>
            </w:r>
          </w:p>
          <w:p>
            <w:pPr>
              <w:pStyle w:val="TableContents"/>
              <w:bidi w:val="0"/>
              <w:spacing w:lineRule="auto" w:line="285" w:before="0" w:after="60"/>
              <w:ind w:left="0" w:right="0" w:hanging="0"/>
              <w:jc w:val="both"/>
              <w:rPr>
                <w:rFonts w:ascii="Arial;Helvetica;sans-serif" w:hAnsi="Arial;Helvetica;sans-serif"/>
                <w:b/>
                <w:color w:val="ECA44A"/>
                <w:sz w:val="18"/>
              </w:rPr>
            </w:pPr>
            <w:r>
              <w:rPr>
                <w:rFonts w:ascii="Arial;Helvetica;sans-serif" w:hAnsi="Arial;Helvetica;sans-serif"/>
                <w:b/>
                <w:color w:val="ECA44A"/>
                <w:sz w:val="18"/>
              </w:rPr>
              <w:t>CAREER HIGHLIGHTS</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Mr. Merksamer is Executive Director at Mubadala Capital (since 2024). He previously was a Partner at One Investment Management from 2022 to 2024. Prior to then, Mr. Merksamer was a Partner at SoftBank Investment Advisers and a Managing Director at SB Management, an affiliate of SoftBank from 2019 to 2022. From 2017 to 2019, he was a co-founder of Caligan Partners, L.P., an investment firm. Mr. Merksamer was a Managing Director of Icahn Capital LP, a subsidiary of Icahn Enterprises L.P., from 2008 to 2016. From 2003 until 2008, he was an analyst at Airlie Opportunity Capital Management. Mr. Merksamer has served as a director of CI Financial Corp. since 2025. Previously, Mr. Merksamer served as a director of Autostore Holdings Ltd. and EQRx, LLC each from 2021 to 2024, a director of American International Group, Inc. from 2016 to 2018, Hertz Global Holdings, Inc. from 2014 to 2017, Navistar International Corporation from 2012 to 2017, Cheniere Energy Inc. from 2015 to 2017, Transocean Partners from 2014 to 2016, Hologic Inc. from 2013 to 2016, Talisman Energy Inc. from 2013 to 2015, Ferrous Resources Limited from 2012 to 2016, CVR Refining, GP, LLC, the general partner of CVR Refining, LP, from 2012 to 2014, CVR Energy, Inc. from 2012 to 2014, American Railcar Industries, Inc. from 2011 to 2013, Dynegy Inc. from 2011 to 2012, Viskase Companies, Inc. from 2010 to 2013, Federal-Mogul Holdings Corporation from 2010 to 2014, and PSC Metals Inc. from 2009 to 2012. Ferrous Resources Limited, CVR Refining, CVR Energy, American Railcar Industries, Federal-Mogul, Viskase Companies and PSC Metals are each indirectly controlled by Carl C. Icahn. Mr. Icahn also has or previously had a noncontrolling interest in Dynegy, Hologic, Talisman Energy, Navistar, Hertz, Cheniere Energy, Transocean Ltd., Transocean Partners and American International Group, Inc. through the ownership of securities.</w:t>
            </w:r>
          </w:p>
          <w:p>
            <w:pPr>
              <w:pStyle w:val="TableContents"/>
              <w:bidi w:val="0"/>
              <w:spacing w:lineRule="auto" w:line="285" w:before="0" w:after="0"/>
              <w:ind w:left="0" w:right="0" w:hanging="0"/>
              <w:jc w:val="both"/>
              <w:rPr>
                <w:color w:val="ECA44A"/>
              </w:rPr>
            </w:pPr>
            <w:r>
              <w:rPr>
                <w:color w:val="ECA44A"/>
              </w:rPr>
              <w:t>​</w:t>
            </w:r>
          </w:p>
          <w:p>
            <w:pPr>
              <w:pStyle w:val="TableContents"/>
              <w:bidi w:val="0"/>
              <w:spacing w:lineRule="auto" w:line="285" w:before="0" w:after="60"/>
              <w:ind w:left="0" w:right="0" w:hanging="0"/>
              <w:jc w:val="both"/>
              <w:rPr>
                <w:rFonts w:ascii="Arial;Helvetica;sans-serif" w:hAnsi="Arial;Helvetica;sans-serif"/>
                <w:b/>
                <w:color w:val="ECA44A"/>
                <w:sz w:val="18"/>
              </w:rPr>
            </w:pPr>
            <w:r>
              <w:rPr>
                <w:rFonts w:ascii="Arial;Helvetica;sans-serif" w:hAnsi="Arial;Helvetica;sans-serif"/>
                <w:b/>
                <w:color w:val="ECA44A"/>
                <w:sz w:val="18"/>
              </w:rPr>
              <w:t>EDUCATION</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A.B. degree, Economics, Cornell University (2002)</w:t>
            </w:r>
          </w:p>
          <w:p>
            <w:pPr>
              <w:pStyle w:val="TableContents"/>
              <w:bidi w:val="0"/>
              <w:spacing w:lineRule="auto" w:line="285" w:before="0" w:after="0"/>
              <w:ind w:left="0" w:right="0" w:hanging="0"/>
              <w:jc w:val="both"/>
              <w:rPr>
                <w:color w:val="ECA44A"/>
              </w:rPr>
            </w:pPr>
            <w:r>
              <w:rPr>
                <w:color w:val="ECA44A"/>
              </w:rPr>
              <w:t>​</w:t>
            </w:r>
          </w:p>
          <w:p>
            <w:pPr>
              <w:pStyle w:val="TableContents"/>
              <w:bidi w:val="0"/>
              <w:spacing w:lineRule="auto" w:line="285" w:before="0" w:after="60"/>
              <w:ind w:left="0" w:right="0" w:hanging="0"/>
              <w:jc w:val="both"/>
              <w:rPr>
                <w:rFonts w:ascii="Arial;Helvetica;sans-serif" w:hAnsi="Arial;Helvetica;sans-serif"/>
                <w:b/>
                <w:color w:val="ECA44A"/>
                <w:sz w:val="18"/>
              </w:rPr>
            </w:pPr>
            <w:r>
              <w:rPr>
                <w:rFonts w:ascii="Arial;Helvetica;sans-serif" w:hAnsi="Arial;Helvetica;sans-serif"/>
                <w:b/>
                <w:color w:val="ECA44A"/>
                <w:sz w:val="18"/>
              </w:rPr>
              <w:t>KEY QUALIFICATIONS AND EXPERTISE</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The Board of Directors recommends that Mr. Merksamer continue to serve on the Board of Directors due to his experience and expertise in:</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Accounting &amp; Auditing</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Finance, Debt &amp; Capital Markets</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Mergers &amp; Acquisitions</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Multinational Company</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Public Company Governance</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Strategy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P-40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805" w:type="dxa"/>
        <w:jc w:val="left"/>
        <w:tblInd w:w="0" w:type="dxa"/>
        <w:tblLayout w:type="fixed"/>
        <w:tblCellMar>
          <w:top w:w="0" w:type="dxa"/>
          <w:left w:w="0" w:type="dxa"/>
          <w:bottom w:w="0" w:type="dxa"/>
          <w:right w:w="0" w:type="dxa"/>
        </w:tblCellMar>
      </w:tblPr>
      <w:tblGrid>
        <w:gridCol w:w="124"/>
        <w:gridCol w:w="1681"/>
      </w:tblGrid>
      <w:tr>
        <w:trPr/>
        <w:tc>
          <w:tcPr>
            <w:tcW w:w="124" w:type="dxa"/>
            <w:tcBorders/>
            <w:vAlign w:val="center"/>
          </w:tcPr>
          <w:p>
            <w:pPr>
              <w:pStyle w:val="TableContents"/>
              <w:bidi w:val="0"/>
              <w:spacing w:lineRule="auto" w:line="285" w:before="0" w:after="0"/>
              <w:ind w:left="0" w:right="0" w:hanging="0"/>
              <w:jc w:val="both"/>
              <w:rPr/>
            </w:pPr>
            <w:r>
              <w:rPr/>
              <w:t>​</w:t>
            </w:r>
          </w:p>
        </w:tc>
        <w:tc>
          <w:tcPr>
            <w:tcW w:w="1681" w:type="dxa"/>
            <w:tcBorders/>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68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AGENDA ITEM 5</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252"/>
        <w:gridCol w:w="109"/>
        <w:gridCol w:w="7844"/>
      </w:tblGrid>
      <w:tr>
        <w:trPr/>
        <w:tc>
          <w:tcPr>
            <w:tcW w:w="2252"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7844" w:type="dxa"/>
            <w:tcBorders/>
            <w:vAlign w:val="center"/>
          </w:tcPr>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tc>
      </w:tr>
      <w:tr>
        <w:trPr/>
        <w:tc>
          <w:tcPr>
            <w:tcW w:w="2252" w:type="dxa"/>
            <w:tcBorders/>
            <w:vAlign w:val="center"/>
          </w:tcPr>
          <w:p>
            <w:pPr>
              <w:pStyle w:val="TableContents"/>
              <w:bidi w:val="0"/>
              <w:spacing w:lineRule="auto" w:line="285" w:before="0" w:after="0"/>
              <w:ind w:left="0" w:right="0" w:hanging="0"/>
              <w:jc w:val="left"/>
              <w:rPr/>
            </w:pPr>
            <w:r>
              <w:rPr/>
              <w:drawing>
                <wp:inline distT="0" distB="0" distL="0" distR="0">
                  <wp:extent cx="1060450" cy="1405890"/>
                  <wp:effectExtent l="0" t="0" r="0" b="0"/>
                  <wp:docPr id="11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0" descr=""/>
                          <pic:cNvPicPr>
                            <a:picLocks noChangeAspect="1" noChangeArrowheads="1"/>
                          </pic:cNvPicPr>
                        </pic:nvPicPr>
                        <pic:blipFill>
                          <a:blip r:embed="rId81"/>
                          <a:stretch>
                            <a:fillRect/>
                          </a:stretch>
                        </pic:blipFill>
                        <pic:spPr bwMode="auto">
                          <a:xfrm>
                            <a:off x="0" y="0"/>
                            <a:ext cx="1060450" cy="1405890"/>
                          </a:xfrm>
                          <a:prstGeom prst="rect">
                            <a:avLst/>
                          </a:prstGeom>
                        </pic:spPr>
                      </pic:pic>
                    </a:graphicData>
                  </a:graphic>
                </wp:inline>
              </w:drawing>
            </w:r>
          </w:p>
          <w:p>
            <w:pPr>
              <w:pStyle w:val="TableContents"/>
              <w:bidi w:val="0"/>
              <w:spacing w:lineRule="auto" w:line="285" w:before="160" w:after="160"/>
              <w:ind w:left="0" w:right="0" w:hanging="0"/>
              <w:jc w:val="left"/>
              <w:rPr>
                <w:rFonts w:ascii="Arial;Helvetica;sans-serif" w:hAnsi="Arial;Helvetica;sans-serif"/>
                <w:b/>
                <w:color w:val="4B4F54"/>
                <w:sz w:val="18"/>
              </w:rPr>
            </w:pPr>
            <w:r>
              <w:rPr>
                <w:rFonts w:ascii="Arial;Helvetica;sans-serif" w:hAnsi="Arial;Helvetica;sans-serif"/>
                <w:b/>
                <w:color w:val="4B4F54"/>
                <w:sz w:val="18"/>
              </w:rPr>
              <w:t>OWNER AND MANAGING DIRECTOR, PERESTROIKA AS; FORMER DIRECTOR AND CHAIR, SONGA</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NORWEGIAN CITIZEN</w:t>
            </w:r>
          </w:p>
          <w:p>
            <w:pPr>
              <w:pStyle w:val="TableContents"/>
              <w:bidi w:val="0"/>
              <w:spacing w:lineRule="auto" w:line="285" w:before="0" w:after="60"/>
              <w:ind w:left="0" w:right="0" w:hanging="0"/>
              <w:jc w:val="left"/>
              <w:rPr>
                <w:rFonts w:ascii="Arial;Helvetica;sans-serif" w:hAnsi="Arial;Helvetica;sans-serif"/>
                <w:sz w:val="18"/>
              </w:rPr>
            </w:pPr>
            <w:r>
              <w:rPr>
                <w:rFonts w:ascii="Arial;Helvetica;sans-serif" w:hAnsi="Arial;Helvetica;sans-serif"/>
                <w:sz w:val="18"/>
              </w:rPr>
              <w:t>Independent</w:t>
            </w:r>
          </w:p>
          <w:p>
            <w:pPr>
              <w:pStyle w:val="TableContents"/>
              <w:bidi w:val="0"/>
              <w:spacing w:lineRule="auto" w:line="285" w:before="0" w:after="160"/>
              <w:ind w:left="0" w:right="0" w:hanging="0"/>
              <w:jc w:val="left"/>
              <w:rPr>
                <w:rFonts w:ascii="Arial;Helvetica;sans-serif" w:hAnsi="Arial;Helvetica;sans-serif"/>
                <w:sz w:val="18"/>
              </w:rPr>
            </w:pPr>
            <w:r>
              <w:rPr>
                <w:rFonts w:ascii="Arial;Helvetica;sans-serif" w:hAnsi="Arial;Helvetica;sans-serif"/>
                <w:sz w:val="18"/>
              </w:rPr>
              <w:t>Age 49</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COMMITTEES</w:t>
            </w:r>
          </w:p>
          <w:p>
            <w:pPr>
              <w:pStyle w:val="TableContents"/>
              <w:bidi w:val="0"/>
              <w:spacing w:lineRule="auto" w:line="285" w:before="0" w:after="60"/>
              <w:ind w:left="0" w:right="0" w:hanging="0"/>
              <w:jc w:val="left"/>
              <w:rPr>
                <w:rFonts w:ascii="Arial;Helvetica;sans-serif" w:hAnsi="Arial;Helvetica;sans-serif"/>
                <w:sz w:val="18"/>
              </w:rPr>
            </w:pPr>
            <w:r>
              <w:rPr>
                <w:rFonts w:ascii="Arial;Helvetica;sans-serif" w:hAnsi="Arial;Helvetica;sans-serif"/>
                <w:sz w:val="18"/>
              </w:rPr>
              <w:t>Finance</w:t>
            </w:r>
          </w:p>
          <w:p>
            <w:pPr>
              <w:pStyle w:val="TableContents"/>
              <w:bidi w:val="0"/>
              <w:spacing w:lineRule="auto" w:line="285" w:before="0" w:after="160"/>
              <w:ind w:left="0" w:right="0" w:hanging="0"/>
              <w:jc w:val="left"/>
              <w:rPr>
                <w:rFonts w:ascii="Arial;Helvetica;sans-serif" w:hAnsi="Arial;Helvetica;sans-serif"/>
                <w:sz w:val="18"/>
              </w:rPr>
            </w:pPr>
            <w:r>
              <w:rPr>
                <w:rFonts w:ascii="Arial;Helvetica;sans-serif" w:hAnsi="Arial;Helvetica;sans-serif"/>
                <w:sz w:val="18"/>
              </w:rPr>
              <w:t xml:space="preserve">Governance, Safety &amp; Environment </w:t>
            </w:r>
          </w:p>
          <w:p>
            <w:pPr>
              <w:pStyle w:val="TableContents"/>
              <w:bidi w:val="0"/>
              <w:spacing w:lineRule="auto" w:line="285" w:before="0" w:after="160"/>
              <w:ind w:left="0" w:right="0" w:hanging="0"/>
              <w:jc w:val="left"/>
              <w:rPr>
                <w:rFonts w:ascii="Arial;Helvetica;sans-serif" w:hAnsi="Arial;Helvetica;sans-serif"/>
                <w:b/>
                <w:color w:val="4B4F54"/>
                <w:sz w:val="18"/>
              </w:rPr>
            </w:pPr>
            <w:r>
              <w:rPr>
                <w:rFonts w:ascii="Arial;Helvetica;sans-serif" w:hAnsi="Arial;Helvetica;sans-serif"/>
                <w:b/>
                <w:color w:val="4B4F54"/>
                <w:sz w:val="18"/>
              </w:rPr>
              <w:t>OTHER CURRENT PUBLIC COMPANY BOARDS</w:t>
            </w:r>
          </w:p>
          <w:p>
            <w:pPr>
              <w:pStyle w:val="TableContents"/>
              <w:bidi w:val="0"/>
              <w:spacing w:lineRule="auto" w:line="285" w:before="0" w:after="160"/>
              <w:ind w:left="0" w:right="0" w:hanging="0"/>
              <w:jc w:val="left"/>
              <w:rPr>
                <w:rFonts w:ascii="Arial;Helvetica;sans-serif" w:hAnsi="Arial;Helvetica;sans-serif"/>
                <w:sz w:val="18"/>
              </w:rPr>
            </w:pPr>
            <w:r>
              <w:rPr>
                <w:rFonts w:ascii="Arial;Helvetica;sans-serif" w:hAnsi="Arial;Helvetica;sans-serif"/>
                <w:sz w:val="18"/>
              </w:rPr>
              <w:t>EMGS ASA (OSE: EMGS) (since 2021)</w:t>
            </w:r>
          </w:p>
        </w:tc>
        <w:tc>
          <w:tcPr>
            <w:tcW w:w="109" w:type="dxa"/>
            <w:tcBorders/>
            <w:vAlign w:val="center"/>
          </w:tcPr>
          <w:p>
            <w:pPr>
              <w:pStyle w:val="TableContents"/>
              <w:bidi w:val="0"/>
              <w:spacing w:lineRule="auto" w:line="285" w:before="0" w:after="0"/>
              <w:ind w:left="0" w:right="0" w:hanging="0"/>
              <w:jc w:val="both"/>
              <w:rPr/>
            </w:pPr>
            <w:r>
              <w:rPr/>
              <w:t>​</w:t>
            </w:r>
          </w:p>
        </w:tc>
        <w:tc>
          <w:tcPr>
            <w:tcW w:w="7844" w:type="dxa"/>
            <w:tcBorders/>
            <w:vAlign w:val="center"/>
          </w:tcPr>
          <w:p>
            <w:pPr>
              <w:pStyle w:val="TableContents"/>
              <w:bidi w:val="0"/>
              <w:spacing w:lineRule="auto" w:line="285" w:before="80" w:after="0"/>
              <w:ind w:left="0" w:right="0" w:hanging="0"/>
              <w:jc w:val="both"/>
              <w:rPr>
                <w:rFonts w:ascii="Arial;Helvetica;sans-serif" w:hAnsi="Arial;Helvetica;sans-serif"/>
                <w:sz w:val="20"/>
              </w:rPr>
            </w:pPr>
            <w:r>
              <w:rPr>
                <w:rFonts w:ascii="Arial;Helvetica;sans-serif" w:hAnsi="Arial;Helvetica;sans-serif"/>
                <w:b/>
                <w:color w:val="4B4F54"/>
                <w:sz w:val="28"/>
              </w:rPr>
              <w:t>FREDERIK W. MOHN</w:t>
            </w:r>
            <w:r>
              <w:rPr>
                <w:rFonts w:ascii="Arial;Helvetica;sans-serif" w:hAnsi="Arial;Helvetica;sans-serif"/>
                <w:color w:val="00556F"/>
                <w:sz w:val="20"/>
              </w:rPr>
              <w:t xml:space="preserve"> </w:t>
            </w:r>
            <w:r>
              <w:rPr>
                <w:rFonts w:ascii="Arial;Helvetica;sans-serif" w:hAnsi="Arial;Helvetica;sans-serif"/>
                <w:b/>
                <w:color w:val="4B4F54"/>
                <w:sz w:val="28"/>
              </w:rPr>
              <w:t>|</w:t>
            </w:r>
            <w:r>
              <w:rPr>
                <w:rFonts w:ascii="Arial;Helvetica;sans-serif" w:hAnsi="Arial;Helvetica;sans-serif"/>
                <w:color w:val="005670"/>
                <w:sz w:val="20"/>
              </w:rPr>
              <w:t xml:space="preserve"> </w:t>
            </w:r>
            <w:r>
              <w:rPr>
                <w:rFonts w:ascii="Arial;Helvetica;sans-serif" w:hAnsi="Arial;Helvetica;sans-serif"/>
                <w:b/>
                <w:color w:val="005670"/>
                <w:sz w:val="22"/>
              </w:rPr>
              <w:t>Director since 2018</w:t>
            </w:r>
          </w:p>
          <w:p>
            <w:pPr>
              <w:pStyle w:val="TableContents"/>
              <w:bidi w:val="0"/>
              <w:spacing w:lineRule="auto" w:line="285" w:before="0" w:after="0"/>
              <w:ind w:left="0" w:right="0" w:hanging="0"/>
              <w:jc w:val="both"/>
              <w:rPr>
                <w:color w:val="ECA44A"/>
              </w:rPr>
            </w:pPr>
            <w:r>
              <w:rPr>
                <w:color w:val="ECA44A"/>
              </w:rPr>
              <w:t>​</w:t>
            </w:r>
          </w:p>
          <w:p>
            <w:pPr>
              <w:pStyle w:val="TableContents"/>
              <w:bidi w:val="0"/>
              <w:spacing w:lineRule="auto" w:line="285" w:before="0" w:after="60"/>
              <w:ind w:left="0" w:right="0" w:hanging="0"/>
              <w:jc w:val="both"/>
              <w:rPr>
                <w:rFonts w:ascii="Arial;Helvetica;sans-serif" w:hAnsi="Arial;Helvetica;sans-serif"/>
                <w:b/>
                <w:color w:val="ECA44A"/>
                <w:sz w:val="18"/>
              </w:rPr>
            </w:pPr>
            <w:r>
              <w:rPr>
                <w:rFonts w:ascii="Arial;Helvetica;sans-serif" w:hAnsi="Arial;Helvetica;sans-serif"/>
                <w:b/>
                <w:color w:val="ECA44A"/>
                <w:sz w:val="18"/>
              </w:rPr>
              <w:t>CAREER HIGHLIGHTS</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Mr. Mohn has served as a director of the Company since 2018 when Transocean acquired Songa Offshore SE (“Songa”). Previously, Mr. Mohn served as a director of Songa from 2013 to 2014, and as Chair of the Songa board of directors from 2014 to 2018. Mr. Mohn is the sole owner and managing director of Perestroika AS, a Norwegian investment company with investments in oil and gas, shipping, infrastructure, real estate development and financial services. Mr. Mohn currently serves as the Chair of the Board of EMGS ASA (OSE: EMGS) (since 2021). He also currently serves on the board of directors of the following private companies: Viken Crude AS, Fornebu Sentrum Holding AS, and Fornebu Sentrum Utvikling AS. Mr. Mohn previously served as a director of Dof ASA, a Norwegian shipping company, from August 2017 to October 2019 and as a director of Fjord 1, a Norwegian transport company from August 2017 to December 2019. From 2011 to 2013, Mr. Mohn served as managing director of the worldwide family business Frank Mohn AS, a supplier of pumping systems to the oil and gas industry.</w:t>
            </w:r>
          </w:p>
          <w:p>
            <w:pPr>
              <w:pStyle w:val="TableContents"/>
              <w:bidi w:val="0"/>
              <w:spacing w:lineRule="auto" w:line="285" w:before="0" w:after="0"/>
              <w:ind w:left="0" w:right="0" w:hanging="0"/>
              <w:jc w:val="both"/>
              <w:rPr>
                <w:color w:val="ECA44A"/>
              </w:rPr>
            </w:pPr>
            <w:r>
              <w:rPr>
                <w:color w:val="ECA44A"/>
              </w:rPr>
              <w:t>​</w:t>
            </w:r>
          </w:p>
          <w:p>
            <w:pPr>
              <w:pStyle w:val="TableContents"/>
              <w:bidi w:val="0"/>
              <w:spacing w:lineRule="auto" w:line="285" w:before="0" w:after="60"/>
              <w:ind w:left="0" w:right="0" w:hanging="0"/>
              <w:jc w:val="both"/>
              <w:rPr>
                <w:rFonts w:ascii="Arial;Helvetica;sans-serif" w:hAnsi="Arial;Helvetica;sans-serif"/>
                <w:b/>
                <w:color w:val="ECA44A"/>
                <w:sz w:val="18"/>
              </w:rPr>
            </w:pPr>
            <w:r>
              <w:rPr>
                <w:rFonts w:ascii="Arial;Helvetica;sans-serif" w:hAnsi="Arial;Helvetica;sans-serif"/>
                <w:b/>
                <w:color w:val="ECA44A"/>
                <w:sz w:val="18"/>
              </w:rPr>
              <w:t>EDUCATION</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Bachelor of Science degree, Royal Holloway, University of London (2001)</w:t>
            </w:r>
          </w:p>
          <w:p>
            <w:pPr>
              <w:pStyle w:val="TableContents"/>
              <w:bidi w:val="0"/>
              <w:spacing w:lineRule="auto" w:line="285" w:before="0" w:after="0"/>
              <w:ind w:left="0" w:right="0" w:hanging="0"/>
              <w:jc w:val="both"/>
              <w:rPr>
                <w:color w:val="ECA44A"/>
              </w:rPr>
            </w:pPr>
            <w:r>
              <w:rPr>
                <w:color w:val="ECA44A"/>
              </w:rPr>
              <w:t>​</w:t>
            </w:r>
          </w:p>
          <w:p>
            <w:pPr>
              <w:pStyle w:val="TableContents"/>
              <w:bidi w:val="0"/>
              <w:spacing w:lineRule="auto" w:line="285" w:before="0" w:after="60"/>
              <w:ind w:left="0" w:right="0" w:hanging="0"/>
              <w:jc w:val="both"/>
              <w:rPr>
                <w:rFonts w:ascii="Arial;Helvetica;sans-serif" w:hAnsi="Arial;Helvetica;sans-serif"/>
                <w:b/>
                <w:color w:val="ECA44A"/>
                <w:sz w:val="18"/>
              </w:rPr>
            </w:pPr>
            <w:r>
              <w:rPr>
                <w:rFonts w:ascii="Arial;Helvetica;sans-serif" w:hAnsi="Arial;Helvetica;sans-serif"/>
                <w:b/>
                <w:color w:val="ECA44A"/>
                <w:sz w:val="18"/>
              </w:rPr>
              <w:t>KEY QUALIFICATIONS AND EXPERTISE</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Mr. Mohn served as the Chair of the Board of Songa prior to Transocean’s acquisition of that company in 2018. The Board of Directors recommends that Mr. Mohn continue to serve on the Board of Directors due to his experience and expertise in:</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Accounting &amp; Auditing</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Finance, Debt &amp; Capital Markets</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Mergers &amp; Acquisitions</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Multinational Company</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Oil &amp; Gas (Including Oilfield Services)</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Public Company Governance</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Safety &amp; Environment</w:t>
            </w:r>
          </w:p>
          <w:p>
            <w:pPr>
              <w:pStyle w:val="TableContents"/>
              <w:bidi w:val="0"/>
              <w:spacing w:lineRule="auto" w:line="285" w:before="0" w:after="60"/>
              <w:ind w:left="158" w:right="0" w:hanging="0"/>
              <w:jc w:val="both"/>
              <w:rPr>
                <w:rFonts w:ascii="Arial;Helvetica;sans-serif" w:hAnsi="Arial;Helvetica;sans-serif"/>
                <w:sz w:val="18"/>
              </w:rPr>
            </w:pPr>
            <w:r>
              <w:rPr>
                <w:rFonts w:ascii="Arial;Helvetica;sans-serif" w:hAnsi="Arial;Helvetica;sans-serif"/>
                <w:sz w:val="18"/>
              </w:rPr>
              <w:t>Strategy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P-41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both"/>
        <w:rPr/>
      </w:pPr>
      <w:r>
        <w:rPr/>
        <w:t>​</w:t>
      </w:r>
    </w:p>
    <w:tbl>
      <w:tblPr>
        <w:tblW w:w="1805" w:type="dxa"/>
        <w:jc w:val="left"/>
        <w:tblInd w:w="0" w:type="dxa"/>
        <w:tblLayout w:type="fixed"/>
        <w:tblCellMar>
          <w:top w:w="0" w:type="dxa"/>
          <w:left w:w="0" w:type="dxa"/>
          <w:bottom w:w="0" w:type="dxa"/>
          <w:right w:w="0" w:type="dxa"/>
        </w:tblCellMar>
      </w:tblPr>
      <w:tblGrid>
        <w:gridCol w:w="1651"/>
        <w:gridCol w:w="154"/>
      </w:tblGrid>
      <w:tr>
        <w:trPr/>
        <w:tc>
          <w:tcPr>
            <w:tcW w:w="1651"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65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AGENDA ITEM 5</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988"/>
        <w:gridCol w:w="109"/>
        <w:gridCol w:w="8108"/>
      </w:tblGrid>
      <w:tr>
        <w:trPr/>
        <w:tc>
          <w:tcPr>
            <w:tcW w:w="1988" w:type="dxa"/>
            <w:tcBorders/>
            <w:vAlign w:val="center"/>
          </w:tcPr>
          <w:p>
            <w:pPr>
              <w:pStyle w:val="TableContents"/>
              <w:bidi w:val="0"/>
              <w:spacing w:lineRule="auto" w:line="285" w:before="0" w:after="0"/>
              <w:ind w:left="0" w:right="0" w:hanging="0"/>
              <w:jc w:val="left"/>
              <w:rPr/>
            </w:pPr>
            <w:r>
              <w:rPr/>
              <w:drawing>
                <wp:inline distT="0" distB="0" distL="0" distR="0">
                  <wp:extent cx="1060450" cy="1405890"/>
                  <wp:effectExtent l="0" t="0" r="0" b="0"/>
                  <wp:docPr id="11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1" descr=""/>
                          <pic:cNvPicPr>
                            <a:picLocks noChangeAspect="1" noChangeArrowheads="1"/>
                          </pic:cNvPicPr>
                        </pic:nvPicPr>
                        <pic:blipFill>
                          <a:blip r:embed="rId82"/>
                          <a:stretch>
                            <a:fillRect/>
                          </a:stretch>
                        </pic:blipFill>
                        <pic:spPr bwMode="auto">
                          <a:xfrm>
                            <a:off x="0" y="0"/>
                            <a:ext cx="1060450" cy="1405890"/>
                          </a:xfrm>
                          <a:prstGeom prst="rect">
                            <a:avLst/>
                          </a:prstGeom>
                        </pic:spPr>
                      </pic:pic>
                    </a:graphicData>
                  </a:graphic>
                </wp:inline>
              </w:drawing>
            </w:r>
          </w:p>
          <w:p>
            <w:pPr>
              <w:pStyle w:val="TableContents"/>
              <w:bidi w:val="0"/>
              <w:spacing w:lineRule="auto" w:line="285" w:before="160" w:after="160"/>
              <w:ind w:left="0" w:right="0" w:hanging="0"/>
              <w:jc w:val="left"/>
              <w:rPr>
                <w:rFonts w:ascii="Arial;Helvetica;sans-serif" w:hAnsi="Arial;Helvetica;sans-serif"/>
                <w:sz w:val="18"/>
              </w:rPr>
            </w:pPr>
            <w:r>
              <w:rPr>
                <w:rFonts w:ascii="Arial;Helvetica;sans-serif" w:hAnsi="Arial;Helvetica;sans-serif"/>
                <w:b/>
                <w:color w:val="4B4F54"/>
                <w:sz w:val="18"/>
              </w:rPr>
              <w:t>EXECUTIVE CHAIR, TRANSOCEAN LTD</w:t>
            </w:r>
            <w:r>
              <w:rPr>
                <w:rFonts w:ascii="Arial;Helvetica;sans-serif" w:hAnsi="Arial;Helvetica;sans-serif"/>
                <w:b/>
                <w:color w:val="4B4F54"/>
                <w:spacing w:val="-1"/>
                <w:sz w:val="18"/>
              </w:rPr>
              <w:t>.</w:t>
            </w:r>
          </w:p>
          <w:p>
            <w:pPr>
              <w:pStyle w:val="TableContents"/>
              <w:bidi w:val="0"/>
              <w:spacing w:lineRule="auto" w:line="285" w:before="0" w:after="60"/>
              <w:ind w:left="0" w:right="0" w:hanging="0"/>
              <w:jc w:val="left"/>
              <w:rPr>
                <w:rFonts w:ascii="Arial;Helvetica;sans-serif" w:hAnsi="Arial;Helvetica;sans-serif"/>
                <w:b/>
                <w:color w:val="4B4F54"/>
                <w:sz w:val="18"/>
              </w:rPr>
            </w:pPr>
            <w:r>
              <w:rPr>
                <w:rFonts w:ascii="Arial;Helvetica;sans-serif" w:hAnsi="Arial;Helvetica;sans-serif"/>
                <w:b/>
                <w:color w:val="4B4F54"/>
                <w:sz w:val="18"/>
              </w:rPr>
              <w:t>U.S. CITIZEN</w:t>
            </w:r>
          </w:p>
          <w:p>
            <w:pPr>
              <w:pStyle w:val="TableContents"/>
              <w:bidi w:val="0"/>
              <w:spacing w:lineRule="auto" w:line="285" w:before="0" w:after="160"/>
              <w:ind w:left="0" w:right="0" w:hanging="0"/>
              <w:jc w:val="left"/>
              <w:rPr>
                <w:rFonts w:ascii="Arial;Helvetica;sans-serif" w:hAnsi="Arial;Helvetica;sans-serif"/>
                <w:sz w:val="18"/>
              </w:rPr>
            </w:pPr>
            <w:r>
              <w:rPr>
                <w:rFonts w:ascii="Arial;Helvetica;sans-serif" w:hAnsi="Arial;Helvetica;sans-serif"/>
                <w:sz w:val="18"/>
              </w:rPr>
              <w:t>Age 51</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8108" w:type="dxa"/>
            <w:tcBorders/>
            <w:vAlign w:val="center"/>
          </w:tcPr>
          <w:p>
            <w:pPr>
              <w:pStyle w:val="TableContents"/>
              <w:bidi w:val="0"/>
              <w:spacing w:lineRule="auto" w:line="285" w:before="80" w:after="0"/>
              <w:ind w:left="0" w:right="0" w:hanging="0"/>
              <w:jc w:val="both"/>
              <w:rPr>
                <w:rFonts w:ascii="Arial;Helvetica;sans-serif" w:hAnsi="Arial;Helvetica;sans-serif"/>
                <w:sz w:val="20"/>
              </w:rPr>
            </w:pPr>
            <w:r>
              <w:rPr>
                <w:rFonts w:ascii="Arial;Helvetica;sans-serif" w:hAnsi="Arial;Helvetica;sans-serif"/>
                <w:b/>
                <w:color w:val="4B4F54"/>
                <w:sz w:val="28"/>
              </w:rPr>
              <w:t>JEREMY D. THIGPEN</w:t>
            </w:r>
            <w:r>
              <w:rPr>
                <w:rFonts w:ascii="Arial;Helvetica;sans-serif" w:hAnsi="Arial;Helvetica;sans-serif"/>
                <w:color w:val="00556F"/>
                <w:sz w:val="20"/>
              </w:rPr>
              <w:t xml:space="preserve"> </w:t>
            </w:r>
            <w:r>
              <w:rPr>
                <w:rFonts w:ascii="Arial;Helvetica;sans-serif" w:hAnsi="Arial;Helvetica;sans-serif"/>
                <w:b/>
                <w:color w:val="4B4F54"/>
                <w:sz w:val="28"/>
              </w:rPr>
              <w:t>|</w:t>
            </w:r>
            <w:r>
              <w:rPr>
                <w:rFonts w:ascii="Arial;Helvetica;sans-serif" w:hAnsi="Arial;Helvetica;sans-serif"/>
                <w:color w:val="005670"/>
                <w:sz w:val="20"/>
              </w:rPr>
              <w:t xml:space="preserve"> </w:t>
            </w:r>
            <w:r>
              <w:rPr>
                <w:rFonts w:ascii="Arial;Helvetica;sans-serif" w:hAnsi="Arial;Helvetica;sans-serif"/>
                <w:b/>
                <w:color w:val="005670"/>
                <w:sz w:val="22"/>
              </w:rPr>
              <w:t>Director since 2015</w:t>
            </w:r>
          </w:p>
          <w:p>
            <w:pPr>
              <w:pStyle w:val="TableContents"/>
              <w:bidi w:val="0"/>
              <w:spacing w:lineRule="auto" w:line="285" w:before="0" w:after="0"/>
              <w:ind w:left="0" w:right="0" w:hanging="0"/>
              <w:jc w:val="both"/>
              <w:rPr>
                <w:color w:val="4B4F54"/>
              </w:rPr>
            </w:pPr>
            <w:r>
              <w:rPr>
                <w:color w:val="4B4F54"/>
              </w:rPr>
              <w:t>​</w:t>
            </w:r>
          </w:p>
          <w:p>
            <w:pPr>
              <w:pStyle w:val="TableContents"/>
              <w:bidi w:val="0"/>
              <w:spacing w:lineRule="auto" w:line="285" w:before="0" w:after="60"/>
              <w:ind w:left="0" w:right="0" w:hanging="0"/>
              <w:jc w:val="both"/>
              <w:rPr>
                <w:rFonts w:ascii="Arial;Helvetica;sans-serif" w:hAnsi="Arial;Helvetica;sans-serif"/>
                <w:b/>
                <w:color w:val="ECA44A"/>
                <w:sz w:val="18"/>
              </w:rPr>
            </w:pPr>
            <w:r>
              <w:rPr>
                <w:rFonts w:ascii="Arial;Helvetica;sans-serif" w:hAnsi="Arial;Helvetica;sans-serif"/>
                <w:b/>
                <w:color w:val="ECA44A"/>
                <w:sz w:val="18"/>
              </w:rPr>
              <w:t>CAREER HIGHLIGHTS</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 xml:space="preserve">Mr. Thigpen is the Executive Chair, former Chief Executive Officer, a director of the Company since 2015, and served as President until February 2022. Mr. Thigpen served as Senior Vice President and Chief Financial Officer at National Oilwell Varco, Inc. (“NOV”) from 2012 to 2015. During his tenure at NOV, Mr. Thigpen spent five years from 2007 to 2012 as the company’s President of Downhole and Pumping Solutions business, and four years from 2003 to 2007 as President of its Downhole Tools group. He also served in various management and business development capacities, including Director of Business Development and Special Assistant to NOV’s Chair of the Board. </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Mr. Thigpen serves as a member of the Board of Trustees at Rice University (since 2022). He previously served as a director of Sunnova International Inc. (NYSE: NOVA) from 2024 to 2025 and as Chair of the International Association of Drilling Contractors in 2022.</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Upon election as Chair of the Board of Directors, Mr. Thigpen will continue to serve as Chair of the Board of Directors.</w:t>
            </w:r>
          </w:p>
          <w:p>
            <w:pPr>
              <w:pStyle w:val="TableContents"/>
              <w:bidi w:val="0"/>
              <w:spacing w:lineRule="auto" w:line="285" w:before="0" w:after="0"/>
              <w:ind w:left="0" w:right="0" w:hanging="0"/>
              <w:jc w:val="both"/>
              <w:rPr>
                <w:color w:val="ECA44A"/>
              </w:rPr>
            </w:pPr>
            <w:r>
              <w:rPr>
                <w:color w:val="ECA44A"/>
              </w:rPr>
              <w:t>​</w:t>
            </w:r>
          </w:p>
          <w:p>
            <w:pPr>
              <w:pStyle w:val="TableContents"/>
              <w:bidi w:val="0"/>
              <w:spacing w:lineRule="auto" w:line="285" w:before="0" w:after="60"/>
              <w:ind w:left="0" w:right="0" w:hanging="0"/>
              <w:jc w:val="both"/>
              <w:rPr>
                <w:rFonts w:ascii="Arial;Helvetica;sans-serif" w:hAnsi="Arial;Helvetica;sans-serif"/>
                <w:b/>
                <w:color w:val="ECA44A"/>
                <w:sz w:val="18"/>
              </w:rPr>
            </w:pPr>
            <w:r>
              <w:rPr>
                <w:rFonts w:ascii="Arial;Helvetica;sans-serif" w:hAnsi="Arial;Helvetica;sans-serif"/>
                <w:b/>
                <w:color w:val="ECA44A"/>
                <w:sz w:val="18"/>
              </w:rPr>
              <w:t>EDUCATION</w:t>
            </w:r>
          </w:p>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Program for Management Development, Harvard Business School (2001)</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Bachelor of Arts degree, Economics and Managerial Studies, Rice University (1997)</w:t>
            </w:r>
          </w:p>
          <w:p>
            <w:pPr>
              <w:pStyle w:val="TableContents"/>
              <w:bidi w:val="0"/>
              <w:spacing w:lineRule="auto" w:line="285" w:before="0" w:after="0"/>
              <w:ind w:left="0" w:right="0" w:hanging="0"/>
              <w:jc w:val="both"/>
              <w:rPr>
                <w:color w:val="ECA44A"/>
              </w:rPr>
            </w:pPr>
            <w:r>
              <w:rPr>
                <w:color w:val="ECA44A"/>
              </w:rPr>
              <w:t>​</w:t>
            </w:r>
          </w:p>
          <w:p>
            <w:pPr>
              <w:pStyle w:val="TableContents"/>
              <w:bidi w:val="0"/>
              <w:spacing w:lineRule="auto" w:line="285" w:before="0" w:after="60"/>
              <w:ind w:left="0" w:right="0" w:hanging="0"/>
              <w:jc w:val="both"/>
              <w:rPr>
                <w:rFonts w:ascii="Arial;Helvetica;sans-serif" w:hAnsi="Arial;Helvetica;sans-serif"/>
                <w:b/>
                <w:color w:val="ECA44A"/>
                <w:sz w:val="18"/>
              </w:rPr>
            </w:pPr>
            <w:r>
              <w:rPr>
                <w:rFonts w:ascii="Arial;Helvetica;sans-serif" w:hAnsi="Arial;Helvetica;sans-serif"/>
                <w:b/>
                <w:color w:val="ECA44A"/>
                <w:sz w:val="18"/>
              </w:rPr>
              <w:t>KEY QUALIFICATIONS AND EXPERTISE</w:t>
            </w:r>
          </w:p>
          <w:p>
            <w:pPr>
              <w:pStyle w:val="TableContents"/>
              <w:bidi w:val="0"/>
              <w:spacing w:lineRule="auto" w:line="285" w:before="60" w:after="0"/>
              <w:ind w:left="0" w:right="0" w:hanging="0"/>
              <w:jc w:val="both"/>
              <w:rPr>
                <w:rFonts w:ascii="Arial;Helvetica;sans-serif" w:hAnsi="Arial;Helvetica;sans-serif"/>
                <w:sz w:val="18"/>
              </w:rPr>
            </w:pPr>
            <w:r>
              <w:rPr>
                <w:rFonts w:ascii="Arial;Helvetica;sans-serif" w:hAnsi="Arial;Helvetica;sans-serif"/>
                <w:sz w:val="18"/>
              </w:rPr>
              <w:t>The Board of Directors recommends that Mr. Thigpen continue to serve on the Board of Directors and continue to serve as Chair of the Board of Directors due to his experience and expertise in:</w:t>
            </w:r>
          </w:p>
          <w:p>
            <w:pPr>
              <w:pStyle w:val="TableContents"/>
              <w:bidi w:val="0"/>
              <w:spacing w:lineRule="auto" w:line="285" w:before="0" w:after="60"/>
              <w:ind w:left="160" w:right="0" w:hanging="0"/>
              <w:jc w:val="both"/>
              <w:rPr>
                <w:rFonts w:ascii="Arial;Helvetica;sans-serif" w:hAnsi="Arial;Helvetica;sans-serif"/>
                <w:sz w:val="18"/>
              </w:rPr>
            </w:pPr>
            <w:r>
              <w:rPr>
                <w:rFonts w:ascii="Arial;Helvetica;sans-serif" w:hAnsi="Arial;Helvetica;sans-serif"/>
                <w:sz w:val="18"/>
              </w:rPr>
              <w:t>Finance, Debt &amp; Capital Markets</w:t>
            </w:r>
          </w:p>
          <w:p>
            <w:pPr>
              <w:pStyle w:val="TableContents"/>
              <w:bidi w:val="0"/>
              <w:spacing w:lineRule="auto" w:line="285" w:before="0" w:after="60"/>
              <w:ind w:left="160" w:right="0" w:hanging="0"/>
              <w:jc w:val="both"/>
              <w:rPr>
                <w:rFonts w:ascii="Arial;Helvetica;sans-serif" w:hAnsi="Arial;Helvetica;sans-serif"/>
                <w:sz w:val="18"/>
              </w:rPr>
            </w:pPr>
            <w:r>
              <w:rPr>
                <w:rFonts w:ascii="Arial;Helvetica;sans-serif" w:hAnsi="Arial;Helvetica;sans-serif"/>
                <w:sz w:val="18"/>
              </w:rPr>
              <w:t>Human Capital Management</w:t>
            </w:r>
          </w:p>
          <w:p>
            <w:pPr>
              <w:pStyle w:val="TableContents"/>
              <w:bidi w:val="0"/>
              <w:spacing w:lineRule="auto" w:line="285" w:before="0" w:after="60"/>
              <w:ind w:left="160" w:right="0" w:hanging="0"/>
              <w:jc w:val="both"/>
              <w:rPr>
                <w:rFonts w:ascii="Arial;Helvetica;sans-serif" w:hAnsi="Arial;Helvetica;sans-serif"/>
                <w:sz w:val="18"/>
              </w:rPr>
            </w:pPr>
            <w:r>
              <w:rPr>
                <w:rFonts w:ascii="Arial;Helvetica;sans-serif" w:hAnsi="Arial;Helvetica;sans-serif"/>
                <w:sz w:val="18"/>
              </w:rPr>
              <w:t>Multinational Company</w:t>
            </w:r>
          </w:p>
          <w:p>
            <w:pPr>
              <w:pStyle w:val="TableContents"/>
              <w:bidi w:val="0"/>
              <w:spacing w:lineRule="auto" w:line="285" w:before="0" w:after="60"/>
              <w:ind w:left="160" w:right="0" w:hanging="0"/>
              <w:jc w:val="both"/>
              <w:rPr>
                <w:rFonts w:ascii="Arial;Helvetica;sans-serif" w:hAnsi="Arial;Helvetica;sans-serif"/>
                <w:sz w:val="18"/>
              </w:rPr>
            </w:pPr>
            <w:r>
              <w:rPr>
                <w:rFonts w:ascii="Arial;Helvetica;sans-serif" w:hAnsi="Arial;Helvetica;sans-serif"/>
                <w:sz w:val="18"/>
              </w:rPr>
              <w:t>Oil &amp; Gas (Including Oilfield Services)</w:t>
            </w:r>
          </w:p>
          <w:p>
            <w:pPr>
              <w:pStyle w:val="TableContents"/>
              <w:bidi w:val="0"/>
              <w:spacing w:lineRule="auto" w:line="285" w:before="0" w:after="60"/>
              <w:ind w:left="160" w:right="0" w:hanging="0"/>
              <w:jc w:val="both"/>
              <w:rPr>
                <w:rFonts w:ascii="Arial;Helvetica;sans-serif" w:hAnsi="Arial;Helvetica;sans-serif"/>
                <w:sz w:val="18"/>
              </w:rPr>
            </w:pPr>
            <w:r>
              <w:rPr>
                <w:rFonts w:ascii="Arial;Helvetica;sans-serif" w:hAnsi="Arial;Helvetica;sans-serif"/>
                <w:sz w:val="18"/>
              </w:rPr>
              <w:t>Operations &amp; Engineering</w:t>
            </w:r>
          </w:p>
          <w:p>
            <w:pPr>
              <w:pStyle w:val="TableContents"/>
              <w:bidi w:val="0"/>
              <w:spacing w:lineRule="auto" w:line="285" w:before="0" w:after="60"/>
              <w:ind w:left="160" w:right="0" w:hanging="0"/>
              <w:jc w:val="both"/>
              <w:rPr>
                <w:rFonts w:ascii="Arial;Helvetica;sans-serif" w:hAnsi="Arial;Helvetica;sans-serif"/>
                <w:sz w:val="18"/>
              </w:rPr>
            </w:pPr>
            <w:r>
              <w:rPr>
                <w:rFonts w:ascii="Arial;Helvetica;sans-serif" w:hAnsi="Arial;Helvetica;sans-serif"/>
                <w:sz w:val="18"/>
              </w:rPr>
              <w:t>Public Company CEO</w:t>
            </w:r>
          </w:p>
          <w:p>
            <w:pPr>
              <w:pStyle w:val="TableContents"/>
              <w:bidi w:val="0"/>
              <w:spacing w:lineRule="auto" w:line="285" w:before="0" w:after="60"/>
              <w:ind w:left="160" w:right="0" w:hanging="0"/>
              <w:jc w:val="both"/>
              <w:rPr>
                <w:rFonts w:ascii="Arial;Helvetica;sans-serif" w:hAnsi="Arial;Helvetica;sans-serif"/>
                <w:sz w:val="18"/>
              </w:rPr>
            </w:pPr>
            <w:r>
              <w:rPr>
                <w:rFonts w:ascii="Arial;Helvetica;sans-serif" w:hAnsi="Arial;Helvetica;sans-serif"/>
                <w:sz w:val="18"/>
              </w:rPr>
              <w:t>Safety &amp; Environment</w:t>
            </w:r>
          </w:p>
          <w:p>
            <w:pPr>
              <w:pStyle w:val="TableContents"/>
              <w:bidi w:val="0"/>
              <w:spacing w:lineRule="auto" w:line="285" w:before="0" w:after="60"/>
              <w:ind w:left="160" w:right="0" w:hanging="0"/>
              <w:jc w:val="both"/>
              <w:rPr>
                <w:rFonts w:ascii="Arial;Helvetica;sans-serif" w:hAnsi="Arial;Helvetica;sans-serif"/>
                <w:sz w:val="18"/>
              </w:rPr>
            </w:pPr>
            <w:r>
              <w:rPr>
                <w:rFonts w:ascii="Arial;Helvetica;sans-serif" w:hAnsi="Arial;Helvetica;sans-serif"/>
                <w:sz w:val="18"/>
              </w:rPr>
              <w:t>Technology, Research &amp; Development</w:t>
            </w:r>
          </w:p>
          <w:p>
            <w:pPr>
              <w:pStyle w:val="TableContents"/>
              <w:bidi w:val="0"/>
              <w:spacing w:lineRule="auto" w:line="285" w:before="0" w:after="0"/>
              <w:ind w:left="0" w:right="0" w:hanging="0"/>
              <w:jc w:val="both"/>
              <w:rPr/>
            </w:pPr>
            <w:r>
              <w:rPr/>
              <w:t>​</w:t>
            </w:r>
          </w:p>
          <w:p>
            <w:pPr>
              <w:pStyle w:val="TableContents"/>
              <w:bidi w:val="0"/>
              <w:spacing w:lineRule="auto" w:line="285" w:before="0" w:after="60"/>
              <w:ind w:left="0" w:right="0" w:hanging="0"/>
              <w:jc w:val="both"/>
              <w:rPr>
                <w:rFonts w:ascii="Arial;Helvetica;sans-serif" w:hAnsi="Arial;Helvetica;sans-serif"/>
                <w:sz w:val="18"/>
              </w:rPr>
            </w:pPr>
            <w:r>
              <w:rPr>
                <w:rFonts w:ascii="Arial;Helvetica;sans-serif" w:hAnsi="Arial;Helvetica;sans-serif"/>
                <w:sz w:val="18"/>
              </w:rPr>
              <w:t>This experience assists the other members of the Board of Directors in considering strategic decisions for the Company.</w:t>
            </w:r>
          </w:p>
        </w:tc>
      </w:tr>
    </w:tbl>
    <w:p>
      <w:pPr>
        <w:pStyle w:val="TextBody"/>
        <w:bidi w:val="0"/>
        <w:spacing w:lineRule="auto" w:line="285" w:before="0" w:after="0"/>
        <w:ind w:left="0" w:right="0" w:hanging="0"/>
        <w:jc w:val="both"/>
        <w:rPr/>
      </w:pPr>
      <w:r>
        <w:rPr/>
        <w:t>​</w:t>
      </w:r>
    </w:p>
    <w:tbl>
      <w:tblPr>
        <w:tblW w:w="8566" w:type="dxa"/>
        <w:jc w:val="left"/>
        <w:tblInd w:w="0" w:type="dxa"/>
        <w:tblLayout w:type="fixed"/>
        <w:tblCellMar>
          <w:top w:w="0" w:type="dxa"/>
          <w:left w:w="0" w:type="dxa"/>
          <w:bottom w:w="0" w:type="dxa"/>
          <w:right w:w="0" w:type="dxa"/>
        </w:tblCellMar>
      </w:tblPr>
      <w:tblGrid>
        <w:gridCol w:w="8566"/>
      </w:tblGrid>
      <w:tr>
        <w:trPr/>
        <w:tc>
          <w:tcPr>
            <w:tcW w:w="8566" w:type="dxa"/>
            <w:tcBorders/>
            <w:vAlign w:val="center"/>
          </w:tcPr>
          <w:p>
            <w:pPr>
              <w:pStyle w:val="TableContents"/>
              <w:bidi w:val="0"/>
              <w:spacing w:lineRule="auto" w:line="285" w:before="0" w:after="0"/>
              <w:ind w:left="0" w:right="0" w:hanging="0"/>
              <w:jc w:val="both"/>
              <w:rPr/>
            </w:pPr>
            <w:r>
              <w:rPr/>
              <w:t>​</w:t>
            </w:r>
          </w:p>
        </w:tc>
      </w:tr>
      <w:tr>
        <w:trPr/>
        <w:tc>
          <w:tcPr>
            <w:tcW w:w="8566" w:type="dxa"/>
            <w:tcBorders/>
            <w:shd w:fill="ECA44A" w:val="clear"/>
            <w:vAlign w:val="center"/>
          </w:tcPr>
          <w:p>
            <w:pPr>
              <w:pStyle w:val="TableContents"/>
              <w:bidi w:val="0"/>
              <w:spacing w:lineRule="auto" w:line="285" w:before="200" w:after="120"/>
              <w:ind w:left="0" w:right="0" w:hanging="0"/>
              <w:jc w:val="center"/>
              <w:rPr>
                <w:rFonts w:ascii="Arial;Helvetica;sans-serif" w:hAnsi="Arial;Helvetica;sans-serif"/>
                <w:b/>
                <w:color w:val="FFFFFF"/>
                <w:sz w:val="28"/>
              </w:rPr>
            </w:pPr>
            <w:r>
              <w:rPr>
                <w:rFonts w:ascii="Arial;Helvetica;sans-serif" w:hAnsi="Arial;Helvetica;sans-serif"/>
                <w:b/>
                <w:color w:val="FFFFFF"/>
                <w:sz w:val="28"/>
              </w:rPr>
              <w:t>RECOMMENDATION</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color w:val="F2F2F2"/>
                <w:sz w:val="20"/>
              </w:rPr>
              <w:t xml:space="preserve">The Board of Directors recommends you vote </w:t>
            </w:r>
            <w:r>
              <w:rPr>
                <w:rFonts w:ascii="Arial;Helvetica;sans-serif" w:hAnsi="Arial;Helvetica;sans-serif"/>
                <w:b/>
                <w:color w:val="F2F2F2"/>
                <w:sz w:val="20"/>
              </w:rPr>
              <w:t>FOR</w:t>
            </w:r>
            <w:r>
              <w:rPr>
                <w:rFonts w:ascii="Arial;Helvetica;sans-serif" w:hAnsi="Arial;Helvetica;sans-serif"/>
                <w:color w:val="F2F2F2"/>
                <w:sz w:val="20"/>
              </w:rPr>
              <w:t xml:space="preserve"> the election of these candidates as directors.</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pPr>
      <w:r>
        <w:rPr/>
        <w:t>​</w:t>
      </w:r>
    </w:p>
    <w:p>
      <w:pPr>
        <w:pStyle w:val="TextBody"/>
        <w:bidi w:val="0"/>
        <w:spacing w:lineRule="auto" w:line="285" w:before="0" w:after="20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P-42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Arial;Helvetica;sans-serif" w:hAnsi="Arial;Helvetica;sans-serif"/>
          <w:b/>
          <w:color w:val="ECA44A"/>
          <w:sz w:val="40"/>
        </w:rPr>
      </w:pPr>
      <w:bookmarkStart w:id="72" w:name="SKILLSMATRIX"/>
      <w:bookmarkStart w:id="73" w:name="_f64fc6f6_85bc_414a_991e_d3861279edc0"/>
      <w:bookmarkEnd w:id="72"/>
      <w:bookmarkEnd w:id="73"/>
      <w:r>
        <w:rPr>
          <w:rFonts w:ascii="Arial;Helvetica;sans-serif" w:hAnsi="Arial;Helvetica;sans-serif"/>
          <w:b/>
          <w:color w:val="ECA44A"/>
          <w:sz w:val="40"/>
        </w:rPr>
        <w:t>SKILLS AND EXPERIENCE MATRIX FOR DIRECTOR NOMINEES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 xml:space="preserve">Below is a summary of certain skills and experience of our director nominees that are relevant to our business. In addition to the skills and experience referenced below, each of our director nominees has relevant business or professional experience and skills in </w:t>
      </w:r>
      <w:r>
        <w:rPr>
          <w:rFonts w:ascii="Arial;Helvetica;sans-serif" w:hAnsi="Arial;Helvetica;sans-serif"/>
          <w:i/>
          <w:sz w:val="20"/>
        </w:rPr>
        <w:t>Mergers and Acquisitions, Public Company Governance</w:t>
      </w:r>
      <w:r>
        <w:rPr>
          <w:rFonts w:ascii="Arial;Helvetica;sans-serif" w:hAnsi="Arial;Helvetica;sans-serif"/>
          <w:sz w:val="20"/>
        </w:rPr>
        <w:t xml:space="preserve"> and </w:t>
      </w:r>
      <w:r>
        <w:rPr>
          <w:rFonts w:ascii="Arial;Helvetica;sans-serif" w:hAnsi="Arial;Helvetica;sans-serif"/>
          <w:i/>
          <w:sz w:val="20"/>
        </w:rPr>
        <w:t>Strategy.</w:t>
      </w:r>
    </w:p>
    <w:tbl>
      <w:tblPr>
        <w:tblW w:w="13015" w:type="dxa"/>
        <w:jc w:val="left"/>
        <w:tblInd w:w="0" w:type="dxa"/>
        <w:tblLayout w:type="fixed"/>
        <w:tblCellMar>
          <w:top w:w="0" w:type="dxa"/>
          <w:left w:w="0" w:type="dxa"/>
          <w:bottom w:w="0" w:type="dxa"/>
          <w:right w:w="0" w:type="dxa"/>
        </w:tblCellMar>
      </w:tblPr>
      <w:tblGrid>
        <w:gridCol w:w="576"/>
        <w:gridCol w:w="1201"/>
        <w:gridCol w:w="406"/>
        <w:gridCol w:w="109"/>
        <w:gridCol w:w="226"/>
        <w:gridCol w:w="646"/>
        <w:gridCol w:w="226"/>
        <w:gridCol w:w="466"/>
        <w:gridCol w:w="346"/>
        <w:gridCol w:w="556"/>
        <w:gridCol w:w="346"/>
        <w:gridCol w:w="631"/>
        <w:gridCol w:w="346"/>
        <w:gridCol w:w="646"/>
        <w:gridCol w:w="346"/>
        <w:gridCol w:w="601"/>
        <w:gridCol w:w="346"/>
        <w:gridCol w:w="526"/>
        <w:gridCol w:w="346"/>
        <w:gridCol w:w="511"/>
        <w:gridCol w:w="346"/>
        <w:gridCol w:w="706"/>
        <w:gridCol w:w="346"/>
        <w:gridCol w:w="556"/>
        <w:gridCol w:w="346"/>
        <w:gridCol w:w="135"/>
        <w:gridCol w:w="135"/>
        <w:gridCol w:w="135"/>
        <w:gridCol w:w="135"/>
        <w:gridCol w:w="31"/>
        <w:gridCol w:w="226"/>
        <w:gridCol w:w="53"/>
        <w:gridCol w:w="253"/>
        <w:gridCol w:w="55"/>
        <w:gridCol w:w="154"/>
      </w:tblGrid>
      <w:tr>
        <w:trPr/>
        <w:tc>
          <w:tcPr>
            <w:tcW w:w="576" w:type="dxa"/>
            <w:tcBorders/>
            <w:vAlign w:val="center"/>
          </w:tcPr>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tc>
        <w:tc>
          <w:tcPr>
            <w:tcW w:w="120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4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43510" cy="175260"/>
                      <wp:effectExtent l="0" t="0" r="0" b="0"/>
                      <wp:wrapNone/>
                      <wp:docPr id="115" name="Frame3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both"/>
              <w:rPr/>
            </w:pPr>
            <w:r>
              <w:rPr/>
              <w:t>​</w:t>
            </w:r>
          </w:p>
        </w:tc>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both"/>
              <w:rPr/>
            </w:pPr>
            <w:r>
              <w:rPr/>
              <w:t>​</w:t>
            </w:r>
          </w:p>
        </w:tc>
        <w:tc>
          <w:tcPr>
            <w:tcW w:w="64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60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both"/>
              <w:rPr/>
            </w:pPr>
            <w:r>
              <w:rPr/>
              <w:t>​</w:t>
            </w:r>
          </w:p>
        </w:tc>
        <w:tc>
          <w:tcPr>
            <w:tcW w:w="52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both"/>
              <w:rPr/>
            </w:pPr>
            <w:r>
              <w:rPr/>
              <w:t>​</w:t>
            </w:r>
          </w:p>
        </w:tc>
        <w:tc>
          <w:tcPr>
            <w:tcW w:w="511"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both"/>
              <w:rPr/>
            </w:pPr>
            <w:r>
              <w:rPr/>
              <w:t>​</w:t>
            </w:r>
          </w:p>
        </w:tc>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both"/>
              <w:rPr/>
            </w:pPr>
            <w:r>
              <w:rPr/>
              <w:t>​</w:t>
            </w:r>
          </w:p>
        </w:tc>
        <w:tc>
          <w:tcPr>
            <w:tcW w:w="135" w:type="dxa"/>
            <w:tcBorders/>
            <w:vAlign w:val="center"/>
          </w:tcPr>
          <w:p>
            <w:pPr>
              <w:pStyle w:val="TableContents"/>
              <w:bidi w:val="0"/>
              <w:spacing w:lineRule="auto" w:line="285" w:before="0" w:after="0"/>
              <w:ind w:left="0" w:right="0" w:hanging="0"/>
              <w:jc w:val="both"/>
              <w:rPr/>
            </w:pPr>
            <w:r>
              <w:rPr/>
              <w:t>​</w:t>
            </w:r>
          </w:p>
        </w:tc>
        <w:tc>
          <w:tcPr>
            <w:tcW w:w="135" w:type="dxa"/>
            <w:tcBorders/>
            <w:vAlign w:val="center"/>
          </w:tcPr>
          <w:p>
            <w:pPr>
              <w:pStyle w:val="TableContents"/>
              <w:bidi w:val="0"/>
              <w:spacing w:lineRule="auto" w:line="285" w:before="0" w:after="0"/>
              <w:ind w:left="0" w:right="0" w:hanging="0"/>
              <w:jc w:val="both"/>
              <w:rPr/>
            </w:pPr>
            <w:r>
              <w:rPr/>
              <w:t>​</w:t>
            </w:r>
          </w:p>
        </w:tc>
        <w:tc>
          <w:tcPr>
            <w:tcW w:w="135" w:type="dxa"/>
            <w:tcBorders/>
            <w:vAlign w:val="center"/>
          </w:tcPr>
          <w:p>
            <w:pPr>
              <w:pStyle w:val="TableContents"/>
              <w:bidi w:val="0"/>
              <w:spacing w:lineRule="auto" w:line="285" w:before="0" w:after="0"/>
              <w:ind w:left="0" w:right="0" w:hanging="0"/>
              <w:jc w:val="both"/>
              <w:rPr/>
            </w:pPr>
            <w:r>
              <w:rPr/>
              <w:t>​</w:t>
            </w:r>
          </w:p>
        </w:tc>
        <w:tc>
          <w:tcPr>
            <w:tcW w:w="135" w:type="dxa"/>
            <w:tcBorders/>
            <w:vAlign w:val="center"/>
          </w:tcPr>
          <w:p>
            <w:pPr>
              <w:pStyle w:val="TableContents"/>
              <w:bidi w:val="0"/>
              <w:spacing w:lineRule="auto" w:line="285" w:before="0" w:after="0"/>
              <w:ind w:left="0" w:right="0" w:hanging="0"/>
              <w:jc w:val="both"/>
              <w:rPr/>
            </w:pPr>
            <w:r>
              <w:rPr/>
              <w:t>​</w:t>
            </w:r>
          </w:p>
        </w:tc>
        <w:tc>
          <w:tcPr>
            <w:tcW w:w="310" w:type="dxa"/>
            <w:gridSpan w:val="3"/>
            <w:tcBorders/>
            <w:vAlign w:val="center"/>
          </w:tcPr>
          <w:p>
            <w:pPr>
              <w:pStyle w:val="TableContents"/>
              <w:bidi w:val="0"/>
              <w:spacing w:lineRule="auto" w:line="285" w:before="0" w:after="0"/>
              <w:ind w:left="0" w:right="0" w:hanging="0"/>
              <w:jc w:val="both"/>
              <w:rPr/>
            </w:pPr>
            <w:r>
              <w:rPr/>
              <w:t>​</w:t>
            </w:r>
          </w:p>
        </w:tc>
        <w:tc>
          <w:tcPr>
            <w:tcW w:w="253" w:type="dxa"/>
            <w:tcBorders/>
            <w:vAlign w:val="center"/>
          </w:tcPr>
          <w:p>
            <w:pPr>
              <w:pStyle w:val="TableContents"/>
              <w:bidi w:val="0"/>
              <w:spacing w:before="0" w:after="283"/>
              <w:ind w:left="0" w:right="0" w:hanging="0"/>
              <w:jc w:val="left"/>
              <w:rPr>
                <w:sz w:val="4"/>
                <w:szCs w:val="4"/>
              </w:rPr>
            </w:pPr>
            <w:r>
              <w:rPr>
                <w:sz w:val="4"/>
                <w:szCs w:val="4"/>
              </w:rPr>
            </w:r>
          </w:p>
        </w:tc>
        <w:tc>
          <w:tcPr>
            <w:tcW w:w="209"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777" w:type="dxa"/>
            <w:gridSpan w:val="2"/>
            <w:tcBorders>
              <w:bottom w:val="single" w:sz="12" w:space="0" w:color="ECA44A"/>
            </w:tcBorders>
            <w:tcMar>
              <w:bottom w:w="28" w:type="dxa"/>
            </w:tcMar>
            <w:vAlign w:val="center"/>
          </w:tcPr>
          <w:p>
            <w:pPr>
              <w:pStyle w:val="TableContents"/>
              <w:bidi w:val="0"/>
              <w:spacing w:lineRule="auto" w:line="285" w:before="0" w:after="40"/>
              <w:ind w:left="0" w:right="0" w:hanging="0"/>
              <w:jc w:val="both"/>
              <w:rPr>
                <w:rFonts w:ascii="Arial;Helvetica;sans-serif" w:hAnsi="Arial;Helvetica;sans-serif"/>
                <w:b/>
                <w:color w:val="4B4F54"/>
                <w:sz w:val="12"/>
              </w:rPr>
            </w:pPr>
            <w:r>
              <w:rPr>
                <w:rFonts w:ascii="Arial;Helvetica;sans-serif" w:hAnsi="Arial;Helvetica;sans-serif"/>
                <w:b/>
                <w:color w:val="4B4F54"/>
                <w:sz w:val="12"/>
              </w:rPr>
              <w:t>BUSINESS OR</w:t>
              <w:br/>
              <w:t>PROFESSIONAL</w:t>
              <w:br/>
              <w:t xml:space="preserve">EXPERIENCE AND SKILLS </w:t>
            </w:r>
          </w:p>
        </w:tc>
        <w:tc>
          <w:tcPr>
            <w:tcW w:w="406" w:type="dxa"/>
            <w:tcBorders>
              <w:bottom w:val="single" w:sz="12" w:space="0" w:color="000000"/>
            </w:tcBorders>
            <w:tcMar>
              <w:bottom w:w="28" w:type="dxa"/>
            </w:tcMar>
            <w:vAlign w:val="center"/>
          </w:tcPr>
          <w:p>
            <w:pPr>
              <w:pStyle w:val="TableContents"/>
              <w:bidi w:val="0"/>
              <w:spacing w:lineRule="auto" w:line="285" w:before="0" w:after="40"/>
              <w:ind w:left="0" w:right="0" w:hanging="0"/>
              <w:jc w:val="both"/>
              <w:rPr>
                <w:color w:val="4B4F54"/>
              </w:rPr>
            </w:pPr>
            <w:r>
              <w:rPr>
                <w:color w:val="4B4F54"/>
              </w:rPr>
              <w:t>  ​ ​ ​ ​</w:t>
            </w:r>
          </w:p>
        </w:tc>
        <w:tc>
          <w:tcPr>
            <w:tcW w:w="109" w:type="dxa"/>
            <w:tcBorders>
              <w:bottom w:val="single" w:sz="12" w:space="0" w:color="000000"/>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bottom w:val="single" w:sz="12" w:space="0" w:color="000000"/>
            </w:tcBorders>
            <w:tcMar>
              <w:bottom w:w="28" w:type="dxa"/>
            </w:tcMar>
            <w:vAlign w:val="center"/>
          </w:tcPr>
          <w:p>
            <w:pPr>
              <w:pStyle w:val="TableContents"/>
              <w:bidi w:val="0"/>
              <w:spacing w:lineRule="auto" w:line="285" w:before="0" w:after="40"/>
              <w:ind w:left="0" w:right="0" w:hanging="0"/>
              <w:jc w:val="center"/>
              <w:rPr>
                <w:color w:val="4B4F54"/>
              </w:rPr>
            </w:pPr>
            <w:r>
              <w:rPr>
                <w:color w:val="4B4F54"/>
              </w:rPr>
              <w:t>  ​</w:t>
            </w:r>
          </w:p>
        </w:tc>
        <w:tc>
          <w:tcPr>
            <w:tcW w:w="646" w:type="dxa"/>
            <w:tcBorders>
              <w:bottom w:val="single" w:sz="12" w:space="0" w:color="ECA44A"/>
            </w:tcBorders>
            <w:tcMar>
              <w:bottom w:w="28" w:type="dxa"/>
            </w:tcMar>
            <w:vAlign w:val="center"/>
          </w:tcPr>
          <w:p>
            <w:pPr>
              <w:pStyle w:val="TableContents"/>
              <w:bidi w:val="0"/>
              <w:spacing w:lineRule="auto" w:line="285" w:before="0" w:after="40"/>
              <w:ind w:left="0" w:right="0" w:hanging="0"/>
              <w:jc w:val="center"/>
              <w:rPr>
                <w:rFonts w:ascii="Arial;Helvetica;sans-serif" w:hAnsi="Arial;Helvetica;sans-serif"/>
                <w:b/>
                <w:color w:val="4B4F54"/>
                <w:sz w:val="12"/>
              </w:rPr>
            </w:pPr>
            <w:r>
              <w:rPr>
                <w:rFonts w:ascii="Arial;Helvetica;sans-serif" w:hAnsi="Arial;Helvetica;sans-serif"/>
                <w:b/>
                <w:color w:val="4B4F54"/>
                <w:sz w:val="12"/>
              </w:rPr>
              <w:t>Keelan I. Adamson</w:t>
            </w:r>
          </w:p>
        </w:tc>
        <w:tc>
          <w:tcPr>
            <w:tcW w:w="226" w:type="dxa"/>
            <w:tcBorders>
              <w:bottom w:val="single" w:sz="12" w:space="0" w:color="000000"/>
            </w:tcBorders>
            <w:tcMar>
              <w:bottom w:w="28" w:type="dxa"/>
            </w:tcMar>
            <w:vAlign w:val="center"/>
          </w:tcPr>
          <w:p>
            <w:pPr>
              <w:pStyle w:val="TableContents"/>
              <w:bidi w:val="0"/>
              <w:spacing w:lineRule="auto" w:line="285" w:before="0" w:after="40"/>
              <w:ind w:left="0" w:right="0" w:hanging="0"/>
              <w:jc w:val="center"/>
              <w:rPr>
                <w:color w:val="4B4F54"/>
              </w:rPr>
            </w:pPr>
            <w:r>
              <w:rPr>
                <w:color w:val="4B4F54"/>
              </w:rPr>
              <w:t>  ​</w:t>
            </w:r>
          </w:p>
        </w:tc>
        <w:tc>
          <w:tcPr>
            <w:tcW w:w="466" w:type="dxa"/>
            <w:tcBorders>
              <w:bottom w:val="single" w:sz="12" w:space="0" w:color="ECA44A"/>
            </w:tcBorders>
            <w:tcMar>
              <w:bottom w:w="28" w:type="dxa"/>
            </w:tcMar>
            <w:vAlign w:val="center"/>
          </w:tcPr>
          <w:p>
            <w:pPr>
              <w:pStyle w:val="TableContents"/>
              <w:bidi w:val="0"/>
              <w:spacing w:lineRule="auto" w:line="285" w:before="0" w:after="40"/>
              <w:ind w:left="0" w:right="0" w:hanging="0"/>
              <w:jc w:val="center"/>
              <w:rPr>
                <w:rFonts w:ascii="Arial;Helvetica;sans-serif" w:hAnsi="Arial;Helvetica;sans-serif"/>
                <w:b/>
                <w:color w:val="4B4F54"/>
                <w:sz w:val="12"/>
              </w:rPr>
            </w:pPr>
            <w:r>
              <w:rPr>
                <w:rFonts w:ascii="Arial;Helvetica;sans-serif" w:hAnsi="Arial;Helvetica;sans-serif"/>
                <w:b/>
                <w:color w:val="4B4F54"/>
                <w:sz w:val="12"/>
              </w:rPr>
              <w:t>Glyn A. Barker</w:t>
            </w:r>
          </w:p>
        </w:tc>
        <w:tc>
          <w:tcPr>
            <w:tcW w:w="346" w:type="dxa"/>
            <w:tcBorders>
              <w:bottom w:val="single" w:sz="12" w:space="0" w:color="000000"/>
            </w:tcBorders>
            <w:tcMar>
              <w:bottom w:w="28" w:type="dxa"/>
            </w:tcMar>
            <w:vAlign w:val="center"/>
          </w:tcPr>
          <w:p>
            <w:pPr>
              <w:pStyle w:val="TableContents"/>
              <w:bidi w:val="0"/>
              <w:spacing w:lineRule="auto" w:line="285" w:before="0" w:after="40"/>
              <w:ind w:left="0" w:right="0" w:hanging="0"/>
              <w:jc w:val="both"/>
              <w:rPr>
                <w:color w:val="4B4F54"/>
              </w:rPr>
            </w:pPr>
            <w:r>
              <w:rPr>
                <w:color w:val="4B4F54"/>
              </w:rPr>
              <w:t>  ​ ​ ​</w:t>
            </w:r>
          </w:p>
        </w:tc>
        <w:tc>
          <w:tcPr>
            <w:tcW w:w="556" w:type="dxa"/>
            <w:tcBorders>
              <w:bottom w:val="single" w:sz="12" w:space="0" w:color="ECA44A"/>
            </w:tcBorders>
            <w:tcMar>
              <w:bottom w:w="28" w:type="dxa"/>
            </w:tcMar>
            <w:vAlign w:val="center"/>
          </w:tcPr>
          <w:p>
            <w:pPr>
              <w:pStyle w:val="TableContents"/>
              <w:bidi w:val="0"/>
              <w:spacing w:lineRule="auto" w:line="285" w:before="0" w:after="40"/>
              <w:ind w:left="0" w:right="0" w:hanging="0"/>
              <w:jc w:val="center"/>
              <w:rPr>
                <w:rFonts w:ascii="Arial;Helvetica;sans-serif" w:hAnsi="Arial;Helvetica;sans-serif"/>
                <w:b/>
                <w:color w:val="4B4F54"/>
                <w:sz w:val="12"/>
              </w:rPr>
            </w:pPr>
            <w:r>
              <w:rPr>
                <w:rFonts w:ascii="Arial;Helvetica;sans-serif" w:hAnsi="Arial;Helvetica;sans-serif"/>
                <w:b/>
                <w:color w:val="4B4F54"/>
                <w:sz w:val="12"/>
              </w:rPr>
              <w:t>Vanessa</w:t>
              <w:br/>
              <w:t>C.L.</w:t>
              <w:br/>
              <w:t>Chang</w:t>
            </w:r>
          </w:p>
        </w:tc>
        <w:tc>
          <w:tcPr>
            <w:tcW w:w="346" w:type="dxa"/>
            <w:tcBorders>
              <w:bottom w:val="single" w:sz="12" w:space="0" w:color="000000"/>
            </w:tcBorders>
            <w:tcMar>
              <w:bottom w:w="28" w:type="dxa"/>
            </w:tcMar>
            <w:vAlign w:val="center"/>
          </w:tcPr>
          <w:p>
            <w:pPr>
              <w:pStyle w:val="TableContents"/>
              <w:bidi w:val="0"/>
              <w:spacing w:lineRule="auto" w:line="285" w:before="0" w:after="40"/>
              <w:ind w:left="0" w:right="0" w:hanging="0"/>
              <w:jc w:val="both"/>
              <w:rPr>
                <w:color w:val="4B4F54"/>
              </w:rPr>
            </w:pPr>
            <w:r>
              <w:rPr>
                <w:color w:val="4B4F54"/>
              </w:rPr>
              <w:t>  ​ ​ ​</w:t>
            </w:r>
          </w:p>
        </w:tc>
        <w:tc>
          <w:tcPr>
            <w:tcW w:w="631" w:type="dxa"/>
            <w:tcBorders>
              <w:bottom w:val="single" w:sz="12" w:space="0" w:color="ECA44A"/>
            </w:tcBorders>
            <w:tcMar>
              <w:bottom w:w="28" w:type="dxa"/>
            </w:tcMar>
            <w:vAlign w:val="center"/>
          </w:tcPr>
          <w:p>
            <w:pPr>
              <w:pStyle w:val="TableContents"/>
              <w:bidi w:val="0"/>
              <w:spacing w:lineRule="auto" w:line="285" w:before="0" w:after="40"/>
              <w:ind w:left="0" w:right="0" w:hanging="0"/>
              <w:jc w:val="center"/>
              <w:rPr>
                <w:rFonts w:ascii="Arial;Helvetica;sans-serif" w:hAnsi="Arial;Helvetica;sans-serif"/>
                <w:b/>
                <w:color w:val="4B4F54"/>
                <w:sz w:val="12"/>
              </w:rPr>
            </w:pPr>
            <w:r>
              <w:rPr>
                <w:rFonts w:ascii="Arial;Helvetica;sans-serif" w:hAnsi="Arial;Helvetica;sans-serif"/>
                <w:b/>
                <w:color w:val="4B4F54"/>
                <w:sz w:val="12"/>
              </w:rPr>
              <w:t>Frederico</w:t>
              <w:br/>
              <w:t>F. Curado</w:t>
            </w:r>
          </w:p>
        </w:tc>
        <w:tc>
          <w:tcPr>
            <w:tcW w:w="346" w:type="dxa"/>
            <w:tcBorders>
              <w:bottom w:val="single" w:sz="12" w:space="0" w:color="000000"/>
            </w:tcBorders>
            <w:tcMar>
              <w:bottom w:w="28" w:type="dxa"/>
            </w:tcMar>
            <w:vAlign w:val="center"/>
          </w:tcPr>
          <w:p>
            <w:pPr>
              <w:pStyle w:val="TableContents"/>
              <w:bidi w:val="0"/>
              <w:spacing w:lineRule="auto" w:line="285" w:before="0" w:after="40"/>
              <w:ind w:left="0" w:right="0" w:hanging="0"/>
              <w:jc w:val="both"/>
              <w:rPr>
                <w:color w:val="4B4F54"/>
              </w:rPr>
            </w:pPr>
            <w:r>
              <w:rPr>
                <w:color w:val="4B4F54"/>
              </w:rPr>
              <w:t>  ​ ​ ​</w:t>
            </w:r>
          </w:p>
        </w:tc>
        <w:tc>
          <w:tcPr>
            <w:tcW w:w="646" w:type="dxa"/>
            <w:tcBorders>
              <w:bottom w:val="single" w:sz="12" w:space="0" w:color="ECA44A"/>
            </w:tcBorders>
            <w:tcMar>
              <w:bottom w:w="28" w:type="dxa"/>
            </w:tcMar>
            <w:vAlign w:val="center"/>
          </w:tcPr>
          <w:p>
            <w:pPr>
              <w:pStyle w:val="TableContents"/>
              <w:bidi w:val="0"/>
              <w:spacing w:lineRule="auto" w:line="285" w:before="0" w:after="40"/>
              <w:ind w:left="0" w:right="0" w:hanging="0"/>
              <w:jc w:val="center"/>
              <w:rPr>
                <w:rFonts w:ascii="Arial;Helvetica;sans-serif" w:hAnsi="Arial;Helvetica;sans-serif"/>
                <w:b/>
                <w:color w:val="4B4F54"/>
                <w:sz w:val="12"/>
              </w:rPr>
            </w:pPr>
            <w:r>
              <w:rPr>
                <w:rFonts w:ascii="Arial;Helvetica;sans-serif" w:hAnsi="Arial;Helvetica;sans-serif"/>
                <w:b/>
                <w:color w:val="4B4F54"/>
                <w:sz w:val="12"/>
              </w:rPr>
              <w:t>Chadwick</w:t>
              <w:br/>
              <w:t>C. Deaton</w:t>
            </w:r>
          </w:p>
        </w:tc>
        <w:tc>
          <w:tcPr>
            <w:tcW w:w="346" w:type="dxa"/>
            <w:tcBorders>
              <w:bottom w:val="single" w:sz="12" w:space="0" w:color="000000"/>
            </w:tcBorders>
            <w:tcMar>
              <w:bottom w:w="28" w:type="dxa"/>
            </w:tcMar>
            <w:vAlign w:val="center"/>
          </w:tcPr>
          <w:p>
            <w:pPr>
              <w:pStyle w:val="TableContents"/>
              <w:bidi w:val="0"/>
              <w:spacing w:lineRule="auto" w:line="285" w:before="0" w:after="40"/>
              <w:ind w:left="0" w:right="0" w:hanging="0"/>
              <w:jc w:val="both"/>
              <w:rPr>
                <w:color w:val="4B4F54"/>
              </w:rPr>
            </w:pPr>
            <w:r>
              <w:rPr>
                <w:color w:val="4B4F54"/>
              </w:rPr>
              <w:t>  ​ ​ ​</w:t>
            </w:r>
          </w:p>
        </w:tc>
        <w:tc>
          <w:tcPr>
            <w:tcW w:w="601" w:type="dxa"/>
            <w:tcBorders>
              <w:bottom w:val="single" w:sz="12" w:space="0" w:color="ECA44A"/>
            </w:tcBorders>
            <w:tcMar>
              <w:bottom w:w="28" w:type="dxa"/>
            </w:tcMar>
            <w:vAlign w:val="center"/>
          </w:tcPr>
          <w:p>
            <w:pPr>
              <w:pStyle w:val="TableContents"/>
              <w:bidi w:val="0"/>
              <w:spacing w:lineRule="auto" w:line="285" w:before="0" w:after="40"/>
              <w:ind w:left="0" w:right="0" w:hanging="0"/>
              <w:jc w:val="center"/>
              <w:rPr>
                <w:rFonts w:ascii="Arial;Helvetica;sans-serif" w:hAnsi="Arial;Helvetica;sans-serif"/>
                <w:b/>
                <w:color w:val="4B4F54"/>
                <w:sz w:val="12"/>
              </w:rPr>
            </w:pPr>
            <w:r>
              <w:rPr>
                <w:rFonts w:ascii="Arial;Helvetica;sans-serif" w:hAnsi="Arial;Helvetica;sans-serif"/>
                <w:b/>
                <w:color w:val="4B4F54"/>
                <w:sz w:val="12"/>
              </w:rPr>
              <w:t>Domenic J. “Nick” Dell’Osso, Jr.</w:t>
            </w:r>
          </w:p>
        </w:tc>
        <w:tc>
          <w:tcPr>
            <w:tcW w:w="346" w:type="dxa"/>
            <w:tcBorders>
              <w:bottom w:val="single" w:sz="12" w:space="0" w:color="000000"/>
            </w:tcBorders>
            <w:tcMar>
              <w:bottom w:w="28" w:type="dxa"/>
            </w:tcMar>
            <w:vAlign w:val="center"/>
          </w:tcPr>
          <w:p>
            <w:pPr>
              <w:pStyle w:val="TableContents"/>
              <w:bidi w:val="0"/>
              <w:spacing w:lineRule="auto" w:line="285" w:before="0" w:after="40"/>
              <w:ind w:left="0" w:right="0" w:hanging="0"/>
              <w:jc w:val="both"/>
              <w:rPr>
                <w:color w:val="4B4F54"/>
              </w:rPr>
            </w:pPr>
            <w:r>
              <w:rPr>
                <w:color w:val="4B4F54"/>
              </w:rPr>
              <w:t>  ​ ​ ​</w:t>
            </w:r>
          </w:p>
        </w:tc>
        <w:tc>
          <w:tcPr>
            <w:tcW w:w="526" w:type="dxa"/>
            <w:tcBorders>
              <w:bottom w:val="single" w:sz="12" w:space="0" w:color="ECA44A"/>
            </w:tcBorders>
            <w:tcMar>
              <w:bottom w:w="28" w:type="dxa"/>
            </w:tcMar>
            <w:vAlign w:val="center"/>
          </w:tcPr>
          <w:p>
            <w:pPr>
              <w:pStyle w:val="TableContents"/>
              <w:bidi w:val="0"/>
              <w:spacing w:lineRule="auto" w:line="285" w:before="0" w:after="40"/>
              <w:ind w:left="0" w:right="0" w:hanging="0"/>
              <w:jc w:val="center"/>
              <w:rPr>
                <w:rFonts w:ascii="Arial;Helvetica;sans-serif" w:hAnsi="Arial;Helvetica;sans-serif"/>
                <w:b/>
                <w:color w:val="4B4F54"/>
                <w:sz w:val="12"/>
              </w:rPr>
            </w:pPr>
            <w:r>
              <w:rPr>
                <w:rFonts w:ascii="Arial;Helvetica;sans-serif" w:hAnsi="Arial;Helvetica;sans-serif"/>
                <w:b/>
                <w:color w:val="4B4F54"/>
                <w:sz w:val="12"/>
              </w:rPr>
              <w:t>Vincent</w:t>
              <w:br/>
              <w:t>J. Intrieri</w:t>
            </w:r>
          </w:p>
        </w:tc>
        <w:tc>
          <w:tcPr>
            <w:tcW w:w="346" w:type="dxa"/>
            <w:tcBorders>
              <w:bottom w:val="single" w:sz="12" w:space="0" w:color="000000"/>
            </w:tcBorders>
            <w:tcMar>
              <w:bottom w:w="28" w:type="dxa"/>
            </w:tcMar>
            <w:vAlign w:val="center"/>
          </w:tcPr>
          <w:p>
            <w:pPr>
              <w:pStyle w:val="TableContents"/>
              <w:bidi w:val="0"/>
              <w:spacing w:lineRule="auto" w:line="285" w:before="0" w:after="40"/>
              <w:ind w:left="0" w:right="0" w:hanging="0"/>
              <w:jc w:val="both"/>
              <w:rPr>
                <w:color w:val="4B4F54"/>
              </w:rPr>
            </w:pPr>
            <w:r>
              <w:rPr>
                <w:color w:val="4B4F54"/>
              </w:rPr>
              <w:t>  ​ ​ ​</w:t>
            </w:r>
          </w:p>
        </w:tc>
        <w:tc>
          <w:tcPr>
            <w:tcW w:w="511" w:type="dxa"/>
            <w:tcBorders>
              <w:bottom w:val="single" w:sz="12" w:space="0" w:color="ECA44A"/>
            </w:tcBorders>
            <w:tcMar>
              <w:bottom w:w="28" w:type="dxa"/>
            </w:tcMar>
            <w:vAlign w:val="center"/>
          </w:tcPr>
          <w:p>
            <w:pPr>
              <w:pStyle w:val="TableContents"/>
              <w:bidi w:val="0"/>
              <w:spacing w:lineRule="auto" w:line="285" w:before="0" w:after="40"/>
              <w:ind w:left="0" w:right="0" w:hanging="0"/>
              <w:jc w:val="center"/>
              <w:rPr>
                <w:rFonts w:ascii="Arial;Helvetica;sans-serif" w:hAnsi="Arial;Helvetica;sans-serif"/>
                <w:b/>
                <w:color w:val="4B4F54"/>
                <w:sz w:val="12"/>
              </w:rPr>
            </w:pPr>
            <w:r>
              <w:rPr>
                <w:rFonts w:ascii="Arial;Helvetica;sans-serif" w:hAnsi="Arial;Helvetica;sans-serif"/>
                <w:b/>
                <w:color w:val="4B4F54"/>
                <w:sz w:val="12"/>
              </w:rPr>
              <w:t>William F. “Bill” Lacey</w:t>
            </w:r>
          </w:p>
        </w:tc>
        <w:tc>
          <w:tcPr>
            <w:tcW w:w="346" w:type="dxa"/>
            <w:tcBorders>
              <w:bottom w:val="single" w:sz="12" w:space="0" w:color="000000"/>
            </w:tcBorders>
            <w:tcMar>
              <w:bottom w:w="28" w:type="dxa"/>
            </w:tcMar>
            <w:vAlign w:val="center"/>
          </w:tcPr>
          <w:p>
            <w:pPr>
              <w:pStyle w:val="TableContents"/>
              <w:bidi w:val="0"/>
              <w:spacing w:lineRule="auto" w:line="285" w:before="0" w:after="40"/>
              <w:ind w:left="0" w:right="0" w:hanging="0"/>
              <w:jc w:val="both"/>
              <w:rPr>
                <w:color w:val="4B4F54"/>
              </w:rPr>
            </w:pPr>
            <w:r>
              <w:rPr>
                <w:color w:val="4B4F54"/>
              </w:rPr>
              <w:t>  ​ ​ ​</w:t>
            </w:r>
          </w:p>
        </w:tc>
        <w:tc>
          <w:tcPr>
            <w:tcW w:w="706" w:type="dxa"/>
            <w:tcBorders>
              <w:bottom w:val="single" w:sz="12" w:space="0" w:color="ECA44A"/>
            </w:tcBorders>
            <w:tcMar>
              <w:bottom w:w="28" w:type="dxa"/>
            </w:tcMar>
            <w:vAlign w:val="center"/>
          </w:tcPr>
          <w:p>
            <w:pPr>
              <w:pStyle w:val="TableContents"/>
              <w:bidi w:val="0"/>
              <w:spacing w:lineRule="auto" w:line="285" w:before="0" w:after="40"/>
              <w:ind w:left="0" w:right="0" w:hanging="0"/>
              <w:jc w:val="center"/>
              <w:rPr>
                <w:rFonts w:ascii="Arial;Helvetica;sans-serif" w:hAnsi="Arial;Helvetica;sans-serif"/>
                <w:b/>
                <w:color w:val="4B4F54"/>
                <w:sz w:val="12"/>
              </w:rPr>
            </w:pPr>
            <w:r>
              <w:rPr>
                <w:rFonts w:ascii="Arial;Helvetica;sans-serif" w:hAnsi="Arial;Helvetica;sans-serif"/>
                <w:b/>
                <w:color w:val="4B4F54"/>
                <w:sz w:val="12"/>
              </w:rPr>
              <w:t>Samuel J.</w:t>
              <w:br/>
              <w:t>Merksamer</w:t>
            </w:r>
          </w:p>
        </w:tc>
        <w:tc>
          <w:tcPr>
            <w:tcW w:w="346" w:type="dxa"/>
            <w:tcBorders>
              <w:bottom w:val="single" w:sz="12" w:space="0" w:color="000000"/>
            </w:tcBorders>
            <w:tcMar>
              <w:bottom w:w="28" w:type="dxa"/>
            </w:tcMar>
            <w:vAlign w:val="center"/>
          </w:tcPr>
          <w:p>
            <w:pPr>
              <w:pStyle w:val="TableContents"/>
              <w:bidi w:val="0"/>
              <w:spacing w:lineRule="auto" w:line="285" w:before="0" w:after="40"/>
              <w:ind w:left="0" w:right="0" w:hanging="0"/>
              <w:jc w:val="both"/>
              <w:rPr>
                <w:color w:val="4B4F54"/>
              </w:rPr>
            </w:pPr>
            <w:r>
              <w:rPr>
                <w:color w:val="4B4F54"/>
              </w:rPr>
              <w:t>  ​ ​ ​</w:t>
            </w:r>
          </w:p>
        </w:tc>
        <w:tc>
          <w:tcPr>
            <w:tcW w:w="556" w:type="dxa"/>
            <w:tcBorders>
              <w:bottom w:val="single" w:sz="12" w:space="0" w:color="ECA44A"/>
            </w:tcBorders>
            <w:tcMar>
              <w:bottom w:w="28" w:type="dxa"/>
            </w:tcMar>
            <w:vAlign w:val="center"/>
          </w:tcPr>
          <w:p>
            <w:pPr>
              <w:pStyle w:val="TableContents"/>
              <w:bidi w:val="0"/>
              <w:spacing w:lineRule="auto" w:line="285" w:before="0" w:after="40"/>
              <w:ind w:left="0" w:right="0" w:hanging="0"/>
              <w:jc w:val="center"/>
              <w:rPr>
                <w:rFonts w:ascii="Arial;Helvetica;sans-serif" w:hAnsi="Arial;Helvetica;sans-serif"/>
                <w:b/>
                <w:color w:val="4B4F54"/>
                <w:sz w:val="12"/>
              </w:rPr>
            </w:pPr>
            <w:r>
              <w:rPr>
                <w:rFonts w:ascii="Arial;Helvetica;sans-serif" w:hAnsi="Arial;Helvetica;sans-serif"/>
                <w:b/>
                <w:color w:val="4B4F54"/>
                <w:sz w:val="12"/>
              </w:rPr>
              <w:t>Frederik</w:t>
              <w:br/>
              <w:t>W. Mohn</w:t>
            </w:r>
          </w:p>
        </w:tc>
        <w:tc>
          <w:tcPr>
            <w:tcW w:w="346" w:type="dxa"/>
            <w:tcBorders>
              <w:bottom w:val="single" w:sz="12" w:space="0" w:color="000000"/>
            </w:tcBorders>
            <w:tcMar>
              <w:bottom w:w="28" w:type="dxa"/>
            </w:tcMar>
            <w:vAlign w:val="center"/>
          </w:tcPr>
          <w:p>
            <w:pPr>
              <w:pStyle w:val="TableContents"/>
              <w:bidi w:val="0"/>
              <w:spacing w:lineRule="auto" w:line="285" w:before="0" w:after="40"/>
              <w:ind w:left="0" w:right="0" w:hanging="0"/>
              <w:jc w:val="both"/>
              <w:rPr>
                <w:color w:val="4B4F54"/>
              </w:rPr>
            </w:pPr>
            <w:r>
              <w:rPr>
                <w:color w:val="4B4F54"/>
              </w:rPr>
              <w:t>  ​ ​ ​</w:t>
            </w:r>
          </w:p>
        </w:tc>
        <w:tc>
          <w:tcPr>
            <w:tcW w:w="571" w:type="dxa"/>
            <w:gridSpan w:val="5"/>
            <w:tcBorders>
              <w:bottom w:val="single" w:sz="12" w:space="0" w:color="ECA44A"/>
            </w:tcBorders>
            <w:tcMar>
              <w:bottom w:w="28" w:type="dxa"/>
            </w:tcMar>
            <w:vAlign w:val="center"/>
          </w:tcPr>
          <w:p>
            <w:pPr>
              <w:pStyle w:val="TableContents"/>
              <w:bidi w:val="0"/>
              <w:spacing w:lineRule="auto" w:line="285" w:before="0" w:after="40"/>
              <w:ind w:left="0" w:right="0" w:hanging="0"/>
              <w:jc w:val="center"/>
              <w:rPr>
                <w:rFonts w:ascii="Arial;Helvetica;sans-serif" w:hAnsi="Arial;Helvetica;sans-serif"/>
                <w:b/>
                <w:color w:val="4B4F54"/>
                <w:sz w:val="12"/>
              </w:rPr>
            </w:pPr>
            <w:r>
              <w:rPr>
                <w:rFonts w:ascii="Arial;Helvetica;sans-serif" w:hAnsi="Arial;Helvetica;sans-serif"/>
                <w:b/>
                <w:color w:val="4B4F54"/>
                <w:sz w:val="12"/>
              </w:rPr>
              <w:t>Jeremy D. Thigpen</w:t>
            </w:r>
          </w:p>
        </w:tc>
        <w:tc>
          <w:tcPr>
            <w:tcW w:w="226" w:type="dxa"/>
            <w:tcBorders>
              <w:bottom w:val="single" w:sz="12" w:space="0" w:color="000000"/>
            </w:tcBorders>
            <w:tcMar>
              <w:bottom w:w="28" w:type="dxa"/>
            </w:tcMar>
            <w:vAlign w:val="center"/>
          </w:tcPr>
          <w:p>
            <w:pPr>
              <w:pStyle w:val="TableContents"/>
              <w:bidi w:val="0"/>
              <w:spacing w:lineRule="auto" w:line="285" w:before="0" w:after="40"/>
              <w:ind w:left="0" w:right="0" w:hanging="0"/>
              <w:jc w:val="center"/>
              <w:rPr>
                <w:color w:val="4B4F54"/>
              </w:rPr>
            </w:pPr>
            <w:r>
              <w:rPr>
                <w:color w:val="4B4F54"/>
              </w:rPr>
              <w:t>  ​</w:t>
            </w:r>
          </w:p>
        </w:tc>
        <w:tc>
          <w:tcPr>
            <w:tcW w:w="361" w:type="dxa"/>
            <w:gridSpan w:val="3"/>
            <w:tcBorders>
              <w:bottom w:val="single" w:sz="12" w:space="0" w:color="ECA44A"/>
            </w:tcBorders>
            <w:tcMar>
              <w:bottom w:w="28" w:type="dxa"/>
            </w:tcMar>
            <w:vAlign w:val="center"/>
          </w:tcPr>
          <w:p>
            <w:pPr>
              <w:pStyle w:val="TableContents"/>
              <w:bidi w:val="0"/>
              <w:spacing w:lineRule="auto" w:line="285" w:before="0" w:after="40"/>
              <w:ind w:left="0" w:right="0" w:hanging="0"/>
              <w:jc w:val="center"/>
              <w:rPr>
                <w:rFonts w:ascii="Arial;Helvetica;sans-serif" w:hAnsi="Arial;Helvetica;sans-serif"/>
                <w:b/>
                <w:color w:val="4B4F54"/>
                <w:sz w:val="12"/>
              </w:rPr>
            </w:pPr>
            <w:r>
              <w:rPr>
                <w:rFonts w:ascii="Arial;Helvetica;sans-serif" w:hAnsi="Arial;Helvetica;sans-serif"/>
                <w:b/>
                <w:color w:val="4B4F54"/>
                <w:sz w:val="12"/>
              </w:rPr>
              <w:t>OUT</w:t>
              <w:br/>
              <w:t>OF 11</w:t>
            </w:r>
          </w:p>
        </w:tc>
        <w:tc>
          <w:tcPr>
            <w:tcW w:w="154" w:type="dxa"/>
            <w:tcBorders/>
            <w:vAlign w:val="center"/>
          </w:tcPr>
          <w:p>
            <w:pPr>
              <w:pStyle w:val="TableContents"/>
              <w:bidi w:val="0"/>
              <w:spacing w:lineRule="auto" w:line="285" w:before="0" w:after="0"/>
              <w:ind w:left="0" w:right="0" w:hanging="0"/>
              <w:jc w:val="center"/>
              <w:rPr>
                <w:color w:val="4B4F54"/>
              </w:rPr>
            </w:pPr>
            <w:r>
              <w:rPr>
                <w:color w:val="4B4F54"/>
              </w:rPr>
              <w:t>​</w:t>
            </w:r>
          </w:p>
        </w:tc>
      </w:tr>
      <w:tr>
        <w:trPr/>
        <w:tc>
          <w:tcPr>
            <w:tcW w:w="576" w:type="dxa"/>
            <w:tcBorders>
              <w:bottom w:val="single" w:sz="2" w:space="0" w:color="D9D9D9"/>
            </w:tcBorders>
            <w:tcMar>
              <w:bottom w:w="28" w:type="dxa"/>
            </w:tcMar>
            <w:vAlign w:val="center"/>
          </w:tcPr>
          <w:p>
            <w:pPr>
              <w:pStyle w:val="TableContents"/>
              <w:bidi w:val="0"/>
              <w:spacing w:lineRule="auto" w:line="285" w:before="40" w:after="40"/>
              <w:ind w:left="0" w:right="0" w:hanging="0"/>
              <w:jc w:val="center"/>
              <w:rPr/>
            </w:pPr>
            <w:r>
              <w:rPr/>
              <w:drawing>
                <wp:inline distT="0" distB="0" distL="0" distR="0">
                  <wp:extent cx="247015" cy="247015"/>
                  <wp:effectExtent l="0" t="0" r="0" b="0"/>
                  <wp:docPr id="11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2" descr=""/>
                          <pic:cNvPicPr>
                            <a:picLocks noChangeAspect="1" noChangeArrowheads="1"/>
                          </pic:cNvPicPr>
                        </pic:nvPicPr>
                        <pic:blipFill>
                          <a:blip r:embed="rId83"/>
                          <a:stretch>
                            <a:fillRect/>
                          </a:stretch>
                        </pic:blipFill>
                        <pic:spPr bwMode="auto">
                          <a:xfrm>
                            <a:off x="0" y="0"/>
                            <a:ext cx="247015" cy="247015"/>
                          </a:xfrm>
                          <a:prstGeom prst="rect">
                            <a:avLst/>
                          </a:prstGeom>
                        </pic:spPr>
                      </pic:pic>
                    </a:graphicData>
                  </a:graphic>
                </wp:inline>
              </w:drawing>
            </w:r>
          </w:p>
        </w:tc>
        <w:tc>
          <w:tcPr>
            <w:tcW w:w="1201" w:type="dxa"/>
            <w:tcBorders>
              <w:bottom w:val="single" w:sz="2" w:space="0" w:color="D9D9D9"/>
            </w:tcBorders>
            <w:tcMar>
              <w:bottom w:w="28" w:type="dxa"/>
            </w:tcMar>
            <w:vAlign w:val="center"/>
          </w:tcPr>
          <w:p>
            <w:pPr>
              <w:pStyle w:val="TableContents"/>
              <w:bidi w:val="0"/>
              <w:spacing w:lineRule="auto" w:line="285" w:before="40" w:after="40"/>
              <w:ind w:left="0" w:right="0" w:hanging="0"/>
              <w:jc w:val="left"/>
              <w:rPr>
                <w:rFonts w:ascii="Arial;Helvetica;sans-serif" w:hAnsi="Arial;Helvetica;sans-serif"/>
                <w:b/>
                <w:color w:val="4B4F54"/>
                <w:sz w:val="14"/>
              </w:rPr>
            </w:pPr>
            <w:r>
              <w:rPr>
                <w:rFonts w:ascii="Arial;Helvetica;sans-serif" w:hAnsi="Arial;Helvetica;sans-serif"/>
                <w:b/>
                <w:color w:val="4B4F54"/>
                <w:sz w:val="14"/>
              </w:rPr>
              <w:t>Finance,</w:t>
              <w:br/>
              <w:t>Debt &amp; Capital</w:t>
              <w:br/>
              <w:t>Markets</w:t>
            </w:r>
          </w:p>
        </w:tc>
        <w:tc>
          <w:tcPr>
            <w:tcW w:w="40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center"/>
              <w:rPr>
                <w:color w:val="005670"/>
              </w:rPr>
            </w:pPr>
            <w:r>
              <w:rPr>
                <w:color w:val="005670"/>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6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466" w:type="dxa"/>
            <w:tcBorders>
              <w:bottom w:val="single" w:sz="2" w:space="0" w:color="D9D9D9"/>
            </w:tcBorders>
            <w:tcMar>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556" w:type="dxa"/>
            <w:tcBorders>
              <w:bottom w:val="single" w:sz="2" w:space="0" w:color="D9D9D9"/>
            </w:tcBorders>
            <w:tcMar>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31" w:type="dxa"/>
            <w:tcBorders>
              <w:bottom w:val="single" w:sz="2" w:space="0" w:color="D9D9D9"/>
            </w:tcBorders>
            <w:tcMar>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46" w:type="dxa"/>
            <w:tcBorders>
              <w:bottom w:val="single" w:sz="2" w:space="0" w:color="D9D9D9"/>
            </w:tcBorders>
            <w:tcMar>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601" w:type="dxa"/>
            <w:tcBorders>
              <w:bottom w:val="single" w:sz="2" w:space="0" w:color="D9D9D9"/>
            </w:tcBorders>
            <w:tcMar>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526" w:type="dxa"/>
            <w:tcBorders>
              <w:bottom w:val="single" w:sz="2" w:space="0" w:color="D9D9D9"/>
            </w:tcBorders>
            <w:tcMar>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511" w:type="dxa"/>
            <w:tcBorders>
              <w:bottom w:val="single" w:sz="2" w:space="0" w:color="D9D9D9"/>
            </w:tcBorders>
            <w:tcMar>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06" w:type="dxa"/>
            <w:tcBorders>
              <w:bottom w:val="single" w:sz="2" w:space="0" w:color="D9D9D9"/>
            </w:tcBorders>
            <w:tcMar>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556" w:type="dxa"/>
            <w:tcBorders>
              <w:bottom w:val="single" w:sz="2" w:space="0" w:color="D9D9D9"/>
            </w:tcBorders>
            <w:tcMar>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571" w:type="dxa"/>
            <w:gridSpan w:val="5"/>
            <w:tcBorders>
              <w:bottom w:val="single" w:sz="2" w:space="0" w:color="D9D9D9"/>
            </w:tcBorders>
            <w:tcMar>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361" w:type="dxa"/>
            <w:gridSpan w:val="3"/>
            <w:tcBorders>
              <w:bottom w:val="single" w:sz="2" w:space="0" w:color="D9D9D9"/>
            </w:tcBorders>
            <w:tcMar>
              <w:bottom w:w="28" w:type="dxa"/>
            </w:tcMar>
            <w:vAlign w:val="center"/>
          </w:tcPr>
          <w:p>
            <w:pPr>
              <w:pStyle w:val="TableContents"/>
              <w:bidi w:val="0"/>
              <w:spacing w:lineRule="auto" w:line="285" w:before="40" w:after="40"/>
              <w:ind w:left="0" w:right="0" w:hanging="0"/>
              <w:jc w:val="center"/>
              <w:rPr>
                <w:rFonts w:ascii="Arial;Helvetica;sans-serif" w:hAnsi="Arial;Helvetica;sans-serif"/>
                <w:sz w:val="23"/>
              </w:rPr>
            </w:pPr>
            <w:r>
              <w:rPr>
                <w:rFonts w:ascii="Arial;Helvetica;sans-serif" w:hAnsi="Arial;Helvetica;sans-serif"/>
                <w:sz w:val="23"/>
              </w:rPr>
              <w:t>10</w:t>
            </w:r>
          </w:p>
        </w:tc>
        <w:tc>
          <w:tcPr>
            <w:tcW w:w="154" w:type="dxa"/>
            <w:tcBorders>
              <w:bottom w:val="single" w:sz="2" w:space="0" w:color="D9D9D9"/>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57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pPr>
            <w:r>
              <w:rPr/>
              <w:drawing>
                <wp:inline distT="0" distB="0" distL="0" distR="0">
                  <wp:extent cx="234315" cy="234315"/>
                  <wp:effectExtent l="0" t="0" r="0" b="0"/>
                  <wp:docPr id="11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3" descr=""/>
                          <pic:cNvPicPr>
                            <a:picLocks noChangeAspect="1" noChangeArrowheads="1"/>
                          </pic:cNvPicPr>
                        </pic:nvPicPr>
                        <pic:blipFill>
                          <a:blip r:embed="rId84"/>
                          <a:stretch>
                            <a:fillRect/>
                          </a:stretch>
                        </pic:blipFill>
                        <pic:spPr bwMode="auto">
                          <a:xfrm>
                            <a:off x="0" y="0"/>
                            <a:ext cx="234315" cy="234315"/>
                          </a:xfrm>
                          <a:prstGeom prst="rect">
                            <a:avLst/>
                          </a:prstGeom>
                        </pic:spPr>
                      </pic:pic>
                    </a:graphicData>
                  </a:graphic>
                </wp:inline>
              </w:drawing>
            </w:r>
          </w:p>
        </w:tc>
        <w:tc>
          <w:tcPr>
            <w:tcW w:w="12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left"/>
              <w:rPr>
                <w:rFonts w:ascii="Arial;Helvetica;sans-serif" w:hAnsi="Arial;Helvetica;sans-serif"/>
                <w:b/>
                <w:color w:val="4B4F54"/>
                <w:sz w:val="14"/>
              </w:rPr>
            </w:pPr>
            <w:r>
              <w:rPr>
                <w:rFonts w:ascii="Arial;Helvetica;sans-serif" w:hAnsi="Arial;Helvetica;sans-serif"/>
                <w:b/>
                <w:color w:val="4B4F54"/>
                <w:sz w:val="14"/>
              </w:rPr>
              <w:t>Multinational Company</w:t>
            </w:r>
          </w:p>
        </w:tc>
        <w:tc>
          <w:tcPr>
            <w:tcW w:w="4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46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3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1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7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71" w:type="dxa"/>
            <w:gridSpan w:val="5"/>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61"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rFonts w:ascii="Arial;Helvetica;sans-serif" w:hAnsi="Arial;Helvetica;sans-serif"/>
                <w:sz w:val="23"/>
              </w:rPr>
            </w:pPr>
            <w:r>
              <w:rPr>
                <w:rFonts w:ascii="Arial;Helvetica;sans-serif" w:hAnsi="Arial;Helvetica;sans-serif"/>
                <w:sz w:val="23"/>
              </w:rPr>
              <w:t>10</w:t>
            </w:r>
          </w:p>
        </w:tc>
        <w:tc>
          <w:tcPr>
            <w:tcW w:w="154" w:type="dxa"/>
            <w:tcBorders>
              <w:top w:val="single" w:sz="2" w:space="0" w:color="D9D9D9"/>
              <w:bottom w:val="single" w:sz="2" w:space="0" w:color="D9D9D9"/>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57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pPr>
            <w:r>
              <w:rPr/>
              <w:drawing>
                <wp:inline distT="0" distB="0" distL="0" distR="0">
                  <wp:extent cx="234315" cy="234315"/>
                  <wp:effectExtent l="0" t="0" r="0" b="0"/>
                  <wp:docPr id="11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4" descr=""/>
                          <pic:cNvPicPr>
                            <a:picLocks noChangeAspect="1" noChangeArrowheads="1"/>
                          </pic:cNvPicPr>
                        </pic:nvPicPr>
                        <pic:blipFill>
                          <a:blip r:embed="rId85"/>
                          <a:stretch>
                            <a:fillRect/>
                          </a:stretch>
                        </pic:blipFill>
                        <pic:spPr bwMode="auto">
                          <a:xfrm>
                            <a:off x="0" y="0"/>
                            <a:ext cx="234315" cy="234315"/>
                          </a:xfrm>
                          <a:prstGeom prst="rect">
                            <a:avLst/>
                          </a:prstGeom>
                        </pic:spPr>
                      </pic:pic>
                    </a:graphicData>
                  </a:graphic>
                </wp:inline>
              </w:drawing>
            </w:r>
          </w:p>
        </w:tc>
        <w:tc>
          <w:tcPr>
            <w:tcW w:w="12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left"/>
              <w:rPr>
                <w:rFonts w:ascii="Arial;Helvetica;sans-serif" w:hAnsi="Arial;Helvetica;sans-serif"/>
                <w:b/>
                <w:color w:val="4B4F54"/>
                <w:sz w:val="14"/>
              </w:rPr>
            </w:pPr>
            <w:r>
              <w:rPr>
                <w:rFonts w:ascii="Arial;Helvetica;sans-serif" w:hAnsi="Arial;Helvetica;sans-serif"/>
                <w:b/>
                <w:color w:val="4B4F54"/>
                <w:sz w:val="14"/>
              </w:rPr>
              <w:t>Accounting</w:t>
              <w:br/>
              <w:t>&amp; Auditing</w:t>
            </w:r>
          </w:p>
        </w:tc>
        <w:tc>
          <w:tcPr>
            <w:tcW w:w="4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10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46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3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1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7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71" w:type="dxa"/>
            <w:gridSpan w:val="5"/>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61"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rFonts w:ascii="Arial;Helvetica;sans-serif" w:hAnsi="Arial;Helvetica;sans-serif"/>
                <w:sz w:val="23"/>
              </w:rPr>
            </w:pPr>
            <w:r>
              <w:rPr>
                <w:rFonts w:ascii="Arial;Helvetica;sans-serif" w:hAnsi="Arial;Helvetica;sans-serif"/>
                <w:sz w:val="23"/>
              </w:rPr>
              <w:t>8</w:t>
            </w:r>
          </w:p>
        </w:tc>
        <w:tc>
          <w:tcPr>
            <w:tcW w:w="154" w:type="dxa"/>
            <w:tcBorders>
              <w:top w:val="single" w:sz="2" w:space="0" w:color="D9D9D9"/>
              <w:bottom w:val="single" w:sz="2" w:space="0" w:color="D9D9D9"/>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57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pPr>
            <w:r>
              <w:rPr/>
              <w:drawing>
                <wp:inline distT="0" distB="0" distL="0" distR="0">
                  <wp:extent cx="301625" cy="301625"/>
                  <wp:effectExtent l="0" t="0" r="0" b="0"/>
                  <wp:docPr id="11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85" descr=""/>
                          <pic:cNvPicPr>
                            <a:picLocks noChangeAspect="1" noChangeArrowheads="1"/>
                          </pic:cNvPicPr>
                        </pic:nvPicPr>
                        <pic:blipFill>
                          <a:blip r:embed="rId86"/>
                          <a:stretch>
                            <a:fillRect/>
                          </a:stretch>
                        </pic:blipFill>
                        <pic:spPr bwMode="auto">
                          <a:xfrm>
                            <a:off x="0" y="0"/>
                            <a:ext cx="301625" cy="301625"/>
                          </a:xfrm>
                          <a:prstGeom prst="rect">
                            <a:avLst/>
                          </a:prstGeom>
                        </pic:spPr>
                      </pic:pic>
                    </a:graphicData>
                  </a:graphic>
                </wp:inline>
              </w:drawing>
            </w:r>
          </w:p>
        </w:tc>
        <w:tc>
          <w:tcPr>
            <w:tcW w:w="12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left"/>
              <w:rPr>
                <w:rFonts w:ascii="Arial;Helvetica;sans-serif" w:hAnsi="Arial;Helvetica;sans-serif"/>
                <w:b/>
                <w:color w:val="4B4F54"/>
                <w:sz w:val="14"/>
              </w:rPr>
            </w:pPr>
            <w:r>
              <w:rPr>
                <w:rFonts w:ascii="Arial;Helvetica;sans-serif" w:hAnsi="Arial;Helvetica;sans-serif"/>
                <w:b/>
                <w:color w:val="4B4F54"/>
                <w:sz w:val="14"/>
              </w:rPr>
              <w:t>Safety &amp;</w:t>
              <w:br/>
              <w:t>Environment</w:t>
            </w:r>
          </w:p>
        </w:tc>
        <w:tc>
          <w:tcPr>
            <w:tcW w:w="4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10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46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3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1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7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71" w:type="dxa"/>
            <w:gridSpan w:val="5"/>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61"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rFonts w:ascii="Arial;Helvetica;sans-serif" w:hAnsi="Arial;Helvetica;sans-serif"/>
                <w:sz w:val="23"/>
              </w:rPr>
            </w:pPr>
            <w:r>
              <w:rPr>
                <w:rFonts w:ascii="Arial;Helvetica;sans-serif" w:hAnsi="Arial;Helvetica;sans-serif"/>
                <w:sz w:val="23"/>
              </w:rPr>
              <w:t>7</w:t>
            </w:r>
          </w:p>
        </w:tc>
        <w:tc>
          <w:tcPr>
            <w:tcW w:w="154" w:type="dxa"/>
            <w:tcBorders>
              <w:top w:val="single" w:sz="2" w:space="0" w:color="D9D9D9"/>
              <w:bottom w:val="single" w:sz="2" w:space="0" w:color="D9D9D9"/>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57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pPr>
            <w:r>
              <w:rPr/>
              <w:drawing>
                <wp:inline distT="0" distB="0" distL="0" distR="0">
                  <wp:extent cx="301625" cy="219710"/>
                  <wp:effectExtent l="0" t="0" r="0" b="0"/>
                  <wp:docPr id="12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6" descr=""/>
                          <pic:cNvPicPr>
                            <a:picLocks noChangeAspect="1" noChangeArrowheads="1"/>
                          </pic:cNvPicPr>
                        </pic:nvPicPr>
                        <pic:blipFill>
                          <a:blip r:embed="rId87"/>
                          <a:stretch>
                            <a:fillRect/>
                          </a:stretch>
                        </pic:blipFill>
                        <pic:spPr bwMode="auto">
                          <a:xfrm>
                            <a:off x="0" y="0"/>
                            <a:ext cx="301625" cy="219710"/>
                          </a:xfrm>
                          <a:prstGeom prst="rect">
                            <a:avLst/>
                          </a:prstGeom>
                        </pic:spPr>
                      </pic:pic>
                    </a:graphicData>
                  </a:graphic>
                </wp:inline>
              </w:drawing>
            </w:r>
          </w:p>
        </w:tc>
        <w:tc>
          <w:tcPr>
            <w:tcW w:w="12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left"/>
              <w:rPr>
                <w:rFonts w:ascii="Arial;Helvetica;sans-serif" w:hAnsi="Arial;Helvetica;sans-serif"/>
                <w:b/>
                <w:color w:val="4B4F54"/>
                <w:sz w:val="14"/>
              </w:rPr>
            </w:pPr>
            <w:r>
              <w:rPr>
                <w:rFonts w:ascii="Arial;Helvetica;sans-serif" w:hAnsi="Arial;Helvetica;sans-serif"/>
                <w:b/>
                <w:color w:val="4B4F54"/>
                <w:sz w:val="14"/>
              </w:rPr>
              <w:t>Human Capital</w:t>
              <w:br/>
              <w:t>Management</w:t>
            </w:r>
          </w:p>
        </w:tc>
        <w:tc>
          <w:tcPr>
            <w:tcW w:w="4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10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46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3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1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7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71" w:type="dxa"/>
            <w:gridSpan w:val="5"/>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61"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rFonts w:ascii="Arial;Helvetica;sans-serif" w:hAnsi="Arial;Helvetica;sans-serif"/>
                <w:sz w:val="23"/>
              </w:rPr>
            </w:pPr>
            <w:r>
              <w:rPr>
                <w:rFonts w:ascii="Arial;Helvetica;sans-serif" w:hAnsi="Arial;Helvetica;sans-serif"/>
                <w:sz w:val="23"/>
              </w:rPr>
              <w:t>8</w:t>
            </w:r>
          </w:p>
        </w:tc>
        <w:tc>
          <w:tcPr>
            <w:tcW w:w="154" w:type="dxa"/>
            <w:tcBorders>
              <w:top w:val="single" w:sz="2" w:space="0" w:color="D9D9D9"/>
              <w:bottom w:val="single" w:sz="2" w:space="0" w:color="D9D9D9"/>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57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pPr>
            <w:r>
              <w:rPr/>
              <w:drawing>
                <wp:inline distT="0" distB="0" distL="0" distR="0">
                  <wp:extent cx="301625" cy="301625"/>
                  <wp:effectExtent l="0" t="0" r="0" b="0"/>
                  <wp:docPr id="12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7" descr=""/>
                          <pic:cNvPicPr>
                            <a:picLocks noChangeAspect="1" noChangeArrowheads="1"/>
                          </pic:cNvPicPr>
                        </pic:nvPicPr>
                        <pic:blipFill>
                          <a:blip r:embed="rId88"/>
                          <a:stretch>
                            <a:fillRect/>
                          </a:stretch>
                        </pic:blipFill>
                        <pic:spPr bwMode="auto">
                          <a:xfrm>
                            <a:off x="0" y="0"/>
                            <a:ext cx="301625" cy="301625"/>
                          </a:xfrm>
                          <a:prstGeom prst="rect">
                            <a:avLst/>
                          </a:prstGeom>
                        </pic:spPr>
                      </pic:pic>
                    </a:graphicData>
                  </a:graphic>
                </wp:inline>
              </w:drawing>
            </w:r>
          </w:p>
        </w:tc>
        <w:tc>
          <w:tcPr>
            <w:tcW w:w="12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left"/>
              <w:rPr>
                <w:rFonts w:ascii="Arial;Helvetica;sans-serif" w:hAnsi="Arial;Helvetica;sans-serif"/>
                <w:sz w:val="14"/>
              </w:rPr>
            </w:pPr>
            <w:r>
              <w:rPr>
                <w:rFonts w:ascii="Arial;Helvetica;sans-serif" w:hAnsi="Arial;Helvetica;sans-serif"/>
                <w:b/>
                <w:color w:val="4B4F54"/>
                <w:sz w:val="14"/>
              </w:rPr>
              <w:t>Oil &amp; Gas</w:t>
              <w:br/>
              <w:t>(Including</w:t>
              <w:br/>
              <w:t>Oilfield</w:t>
            </w:r>
            <w:r>
              <w:rPr>
                <w:rFonts w:ascii="Arial;Helvetica;sans-serif" w:hAnsi="Arial;Helvetica;sans-serif"/>
                <w:color w:val="4B4F54"/>
                <w:sz w:val="14"/>
              </w:rPr>
              <w:t> </w:t>
            </w:r>
            <w:r>
              <w:rPr>
                <w:rFonts w:ascii="Arial;Helvetica;sans-serif" w:hAnsi="Arial;Helvetica;sans-serif"/>
                <w:b/>
                <w:color w:val="4B4F54"/>
                <w:sz w:val="14"/>
              </w:rPr>
              <w:t>Services)</w:t>
            </w:r>
          </w:p>
        </w:tc>
        <w:tc>
          <w:tcPr>
            <w:tcW w:w="4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10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46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3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1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7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71" w:type="dxa"/>
            <w:gridSpan w:val="5"/>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61"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rFonts w:ascii="Arial;Helvetica;sans-serif" w:hAnsi="Arial;Helvetica;sans-serif"/>
                <w:sz w:val="23"/>
              </w:rPr>
            </w:pPr>
            <w:r>
              <w:rPr>
                <w:rFonts w:ascii="Arial;Helvetica;sans-serif" w:hAnsi="Arial;Helvetica;sans-serif"/>
                <w:sz w:val="23"/>
              </w:rPr>
              <w:t>7</w:t>
            </w:r>
          </w:p>
        </w:tc>
        <w:tc>
          <w:tcPr>
            <w:tcW w:w="154"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r>
      <w:tr>
        <w:trPr/>
        <w:tc>
          <w:tcPr>
            <w:tcW w:w="57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pPr>
            <w:r>
              <w:rPr/>
              <w:drawing>
                <wp:inline distT="0" distB="0" distL="0" distR="0">
                  <wp:extent cx="301625" cy="301625"/>
                  <wp:effectExtent l="0" t="0" r="0" b="0"/>
                  <wp:docPr id="12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8" descr=""/>
                          <pic:cNvPicPr>
                            <a:picLocks noChangeAspect="1" noChangeArrowheads="1"/>
                          </pic:cNvPicPr>
                        </pic:nvPicPr>
                        <pic:blipFill>
                          <a:blip r:embed="rId89"/>
                          <a:stretch>
                            <a:fillRect/>
                          </a:stretch>
                        </pic:blipFill>
                        <pic:spPr bwMode="auto">
                          <a:xfrm>
                            <a:off x="0" y="0"/>
                            <a:ext cx="301625" cy="301625"/>
                          </a:xfrm>
                          <a:prstGeom prst="rect">
                            <a:avLst/>
                          </a:prstGeom>
                        </pic:spPr>
                      </pic:pic>
                    </a:graphicData>
                  </a:graphic>
                </wp:inline>
              </w:drawing>
            </w:r>
          </w:p>
        </w:tc>
        <w:tc>
          <w:tcPr>
            <w:tcW w:w="12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left"/>
              <w:rPr>
                <w:rFonts w:ascii="Arial;Helvetica;sans-serif" w:hAnsi="Arial;Helvetica;sans-serif"/>
                <w:b/>
                <w:color w:val="4B4F54"/>
                <w:sz w:val="14"/>
              </w:rPr>
            </w:pPr>
            <w:r>
              <w:rPr>
                <w:rFonts w:ascii="Arial;Helvetica;sans-serif" w:hAnsi="Arial;Helvetica;sans-serif"/>
                <w:b/>
                <w:color w:val="4B4F54"/>
                <w:sz w:val="14"/>
              </w:rPr>
              <w:t>Technology,</w:t>
              <w:br/>
              <w:t>Research &amp;</w:t>
              <w:br/>
              <w:t>Development</w:t>
            </w:r>
          </w:p>
        </w:tc>
        <w:tc>
          <w:tcPr>
            <w:tcW w:w="4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10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46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3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01" w:type="dxa"/>
            <w:tcBorders>
              <w:top w:val="single" w:sz="2" w:space="0" w:color="D9D9D9"/>
              <w:bottom w:val="single" w:sz="2" w:space="0" w:color="D9D9D9"/>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1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7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71" w:type="dxa"/>
            <w:gridSpan w:val="5"/>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61"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rFonts w:ascii="Arial;Helvetica;sans-serif" w:hAnsi="Arial;Helvetica;sans-serif"/>
                <w:sz w:val="23"/>
              </w:rPr>
            </w:pPr>
            <w:r>
              <w:rPr>
                <w:rFonts w:ascii="Arial;Helvetica;sans-serif" w:hAnsi="Arial;Helvetica;sans-serif"/>
                <w:sz w:val="23"/>
              </w:rPr>
              <w:t>6</w:t>
            </w:r>
          </w:p>
        </w:tc>
        <w:tc>
          <w:tcPr>
            <w:tcW w:w="154" w:type="dxa"/>
            <w:tcBorders>
              <w:top w:val="single" w:sz="2" w:space="0" w:color="D9D9D9"/>
              <w:bottom w:val="single" w:sz="2" w:space="0" w:color="D9D9D9"/>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57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pPr>
            <w:r>
              <w:rPr/>
              <w:drawing>
                <wp:inline distT="0" distB="0" distL="0" distR="0">
                  <wp:extent cx="283210" cy="274320"/>
                  <wp:effectExtent l="0" t="0" r="0" b="0"/>
                  <wp:docPr id="12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89" descr=""/>
                          <pic:cNvPicPr>
                            <a:picLocks noChangeAspect="1" noChangeArrowheads="1"/>
                          </pic:cNvPicPr>
                        </pic:nvPicPr>
                        <pic:blipFill>
                          <a:blip r:embed="rId90"/>
                          <a:stretch>
                            <a:fillRect/>
                          </a:stretch>
                        </pic:blipFill>
                        <pic:spPr bwMode="auto">
                          <a:xfrm>
                            <a:off x="0" y="0"/>
                            <a:ext cx="283210" cy="274320"/>
                          </a:xfrm>
                          <a:prstGeom prst="rect">
                            <a:avLst/>
                          </a:prstGeom>
                        </pic:spPr>
                      </pic:pic>
                    </a:graphicData>
                  </a:graphic>
                </wp:inline>
              </w:drawing>
            </w:r>
          </w:p>
        </w:tc>
        <w:tc>
          <w:tcPr>
            <w:tcW w:w="12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left"/>
              <w:rPr>
                <w:rFonts w:ascii="Arial;Helvetica;sans-serif" w:hAnsi="Arial;Helvetica;sans-serif"/>
                <w:b/>
                <w:color w:val="4B4F54"/>
                <w:sz w:val="14"/>
              </w:rPr>
            </w:pPr>
            <w:r>
              <w:rPr>
                <w:rFonts w:ascii="Arial;Helvetica;sans-serif" w:hAnsi="Arial;Helvetica;sans-serif"/>
                <w:b/>
                <w:color w:val="4B4F54"/>
                <w:sz w:val="14"/>
              </w:rPr>
              <w:t>Sustainability Risk, Reporting &amp; Disclosures</w:t>
            </w:r>
          </w:p>
        </w:tc>
        <w:tc>
          <w:tcPr>
            <w:tcW w:w="4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10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46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3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1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7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71" w:type="dxa"/>
            <w:gridSpan w:val="5"/>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61"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rFonts w:ascii="Arial;Helvetica;sans-serif" w:hAnsi="Arial;Helvetica;sans-serif"/>
                <w:sz w:val="23"/>
              </w:rPr>
            </w:pPr>
            <w:r>
              <w:rPr>
                <w:rFonts w:ascii="Arial;Helvetica;sans-serif" w:hAnsi="Arial;Helvetica;sans-serif"/>
                <w:sz w:val="23"/>
              </w:rPr>
              <w:t>3</w:t>
            </w:r>
          </w:p>
        </w:tc>
        <w:tc>
          <w:tcPr>
            <w:tcW w:w="154" w:type="dxa"/>
            <w:tcBorders>
              <w:top w:val="single" w:sz="2" w:space="0" w:color="D9D9D9"/>
              <w:bottom w:val="single" w:sz="2" w:space="0" w:color="D9D9D9"/>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57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pPr>
            <w:r>
              <w:rPr/>
              <w:drawing>
                <wp:inline distT="0" distB="0" distL="0" distR="0">
                  <wp:extent cx="191770" cy="301625"/>
                  <wp:effectExtent l="0" t="0" r="0" b="0"/>
                  <wp:docPr id="12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0" descr=""/>
                          <pic:cNvPicPr>
                            <a:picLocks noChangeAspect="1" noChangeArrowheads="1"/>
                          </pic:cNvPicPr>
                        </pic:nvPicPr>
                        <pic:blipFill>
                          <a:blip r:embed="rId91"/>
                          <a:stretch>
                            <a:fillRect/>
                          </a:stretch>
                        </pic:blipFill>
                        <pic:spPr bwMode="auto">
                          <a:xfrm>
                            <a:off x="0" y="0"/>
                            <a:ext cx="191770" cy="301625"/>
                          </a:xfrm>
                          <a:prstGeom prst="rect">
                            <a:avLst/>
                          </a:prstGeom>
                        </pic:spPr>
                      </pic:pic>
                    </a:graphicData>
                  </a:graphic>
                </wp:inline>
              </w:drawing>
            </w:r>
          </w:p>
        </w:tc>
        <w:tc>
          <w:tcPr>
            <w:tcW w:w="12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both"/>
              <w:rPr>
                <w:rFonts w:ascii="Arial;Helvetica;sans-serif" w:hAnsi="Arial;Helvetica;sans-serif"/>
                <w:b/>
                <w:color w:val="4B4F54"/>
                <w:sz w:val="14"/>
              </w:rPr>
            </w:pPr>
            <w:r>
              <w:rPr>
                <w:rFonts w:ascii="Arial;Helvetica;sans-serif" w:hAnsi="Arial;Helvetica;sans-serif"/>
                <w:b/>
                <w:color w:val="4B4F54"/>
                <w:sz w:val="14"/>
              </w:rPr>
              <w:t>Operations &amp;</w:t>
              <w:br/>
              <w:t>Engineering</w:t>
            </w:r>
          </w:p>
        </w:tc>
        <w:tc>
          <w:tcPr>
            <w:tcW w:w="4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10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46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3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01" w:type="dxa"/>
            <w:tcBorders>
              <w:top w:val="single" w:sz="2" w:space="0" w:color="D9D9D9"/>
              <w:bottom w:val="single" w:sz="2" w:space="0" w:color="D9D9D9"/>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1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7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71" w:type="dxa"/>
            <w:gridSpan w:val="5"/>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61"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rFonts w:ascii="Arial;Helvetica;sans-serif" w:hAnsi="Arial;Helvetica;sans-serif"/>
                <w:sz w:val="23"/>
              </w:rPr>
            </w:pPr>
            <w:r>
              <w:rPr>
                <w:rFonts w:ascii="Arial;Helvetica;sans-serif" w:hAnsi="Arial;Helvetica;sans-serif"/>
                <w:sz w:val="23"/>
              </w:rPr>
              <w:t>4</w:t>
            </w:r>
          </w:p>
        </w:tc>
        <w:tc>
          <w:tcPr>
            <w:tcW w:w="154" w:type="dxa"/>
            <w:tcBorders>
              <w:top w:val="single" w:sz="2" w:space="0" w:color="D9D9D9"/>
              <w:bottom w:val="single" w:sz="2" w:space="0" w:color="D9D9D9"/>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57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pPr>
            <w:r>
              <w:rPr/>
              <w:drawing>
                <wp:inline distT="0" distB="0" distL="0" distR="0">
                  <wp:extent cx="164465" cy="301625"/>
                  <wp:effectExtent l="0" t="0" r="0" b="0"/>
                  <wp:docPr id="12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1" descr=""/>
                          <pic:cNvPicPr>
                            <a:picLocks noChangeAspect="1" noChangeArrowheads="1"/>
                          </pic:cNvPicPr>
                        </pic:nvPicPr>
                        <pic:blipFill>
                          <a:blip r:embed="rId92"/>
                          <a:stretch>
                            <a:fillRect/>
                          </a:stretch>
                        </pic:blipFill>
                        <pic:spPr bwMode="auto">
                          <a:xfrm>
                            <a:off x="0" y="0"/>
                            <a:ext cx="164465" cy="301625"/>
                          </a:xfrm>
                          <a:prstGeom prst="rect">
                            <a:avLst/>
                          </a:prstGeom>
                        </pic:spPr>
                      </pic:pic>
                    </a:graphicData>
                  </a:graphic>
                </wp:inline>
              </w:drawing>
            </w:r>
          </w:p>
        </w:tc>
        <w:tc>
          <w:tcPr>
            <w:tcW w:w="12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left"/>
              <w:rPr>
                <w:rFonts w:ascii="Arial;Helvetica;sans-serif" w:hAnsi="Arial;Helvetica;sans-serif"/>
                <w:sz w:val="14"/>
              </w:rPr>
            </w:pPr>
            <w:r>
              <w:rPr>
                <w:rFonts w:ascii="Arial;Helvetica;sans-serif" w:hAnsi="Arial;Helvetica;sans-serif"/>
                <w:b/>
                <w:color w:val="4B4F54"/>
                <w:sz w:val="14"/>
              </w:rPr>
              <w:t>Public Company</w:t>
            </w:r>
            <w:r>
              <w:rPr>
                <w:rFonts w:ascii="Arial;Helvetica;sans-serif" w:hAnsi="Arial;Helvetica;sans-serif"/>
                <w:color w:val="4B4F54"/>
                <w:sz w:val="14"/>
              </w:rPr>
              <w:t xml:space="preserve"> </w:t>
            </w:r>
            <w:r>
              <w:rPr>
                <w:rFonts w:ascii="Arial;Helvetica;sans-serif" w:hAnsi="Arial;Helvetica;sans-serif"/>
                <w:b/>
                <w:color w:val="4B4F54"/>
                <w:sz w:val="14"/>
              </w:rPr>
              <w:t>CEO</w:t>
            </w:r>
          </w:p>
        </w:tc>
        <w:tc>
          <w:tcPr>
            <w:tcW w:w="4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10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46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3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26" w:type="dxa"/>
            <w:tcBorders>
              <w:top w:val="single" w:sz="2" w:space="0" w:color="D9D9D9"/>
              <w:bottom w:val="single" w:sz="2" w:space="0" w:color="D9D9D9"/>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1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7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71" w:type="dxa"/>
            <w:gridSpan w:val="5"/>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61"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rFonts w:ascii="Arial;Helvetica;sans-serif" w:hAnsi="Arial;Helvetica;sans-serif"/>
                <w:sz w:val="23"/>
              </w:rPr>
            </w:pPr>
            <w:r>
              <w:rPr>
                <w:rFonts w:ascii="Arial;Helvetica;sans-serif" w:hAnsi="Arial;Helvetica;sans-serif"/>
                <w:sz w:val="23"/>
              </w:rPr>
              <w:t>5</w:t>
            </w:r>
          </w:p>
        </w:tc>
        <w:tc>
          <w:tcPr>
            <w:tcW w:w="154" w:type="dxa"/>
            <w:tcBorders>
              <w:top w:val="single" w:sz="2" w:space="0" w:color="D9D9D9"/>
              <w:bottom w:val="single" w:sz="2" w:space="0" w:color="D9D9D9"/>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57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pPr>
            <w:r>
              <w:rPr/>
              <w:drawing>
                <wp:inline distT="0" distB="0" distL="0" distR="0">
                  <wp:extent cx="274320" cy="274320"/>
                  <wp:effectExtent l="0" t="0" r="0" b="0"/>
                  <wp:docPr id="12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2" descr=""/>
                          <pic:cNvPicPr>
                            <a:picLocks noChangeAspect="1" noChangeArrowheads="1"/>
                          </pic:cNvPicPr>
                        </pic:nvPicPr>
                        <pic:blipFill>
                          <a:blip r:embed="rId93"/>
                          <a:stretch>
                            <a:fillRect/>
                          </a:stretch>
                        </pic:blipFill>
                        <pic:spPr bwMode="auto">
                          <a:xfrm>
                            <a:off x="0" y="0"/>
                            <a:ext cx="274320" cy="274320"/>
                          </a:xfrm>
                          <a:prstGeom prst="rect">
                            <a:avLst/>
                          </a:prstGeom>
                        </pic:spPr>
                      </pic:pic>
                    </a:graphicData>
                  </a:graphic>
                </wp:inline>
              </w:drawing>
            </w:r>
          </w:p>
        </w:tc>
        <w:tc>
          <w:tcPr>
            <w:tcW w:w="12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left"/>
              <w:rPr>
                <w:rFonts w:ascii="Arial;Helvetica;sans-serif" w:hAnsi="Arial;Helvetica;sans-serif"/>
                <w:b/>
                <w:color w:val="4B4F54"/>
                <w:sz w:val="14"/>
              </w:rPr>
            </w:pPr>
            <w:r>
              <w:rPr>
                <w:rFonts w:ascii="Arial;Helvetica;sans-serif" w:hAnsi="Arial;Helvetica;sans-serif"/>
                <w:b/>
                <w:color w:val="4B4F54"/>
                <w:sz w:val="14"/>
              </w:rPr>
              <w:t>Information Security &amp; Cybersecurity</w:t>
            </w:r>
          </w:p>
        </w:tc>
        <w:tc>
          <w:tcPr>
            <w:tcW w:w="4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10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46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3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1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7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71" w:type="dxa"/>
            <w:gridSpan w:val="5"/>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61"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rFonts w:ascii="Arial;Helvetica;sans-serif" w:hAnsi="Arial;Helvetica;sans-serif"/>
                <w:sz w:val="23"/>
              </w:rPr>
            </w:pPr>
            <w:r>
              <w:rPr>
                <w:rFonts w:ascii="Arial;Helvetica;sans-serif" w:hAnsi="Arial;Helvetica;sans-serif"/>
                <w:sz w:val="23"/>
              </w:rPr>
              <w:t>2</w:t>
            </w:r>
          </w:p>
        </w:tc>
        <w:tc>
          <w:tcPr>
            <w:tcW w:w="154" w:type="dxa"/>
            <w:tcBorders>
              <w:top w:val="single" w:sz="2" w:space="0" w:color="D9D9D9"/>
              <w:bottom w:val="single" w:sz="2" w:space="0" w:color="D9D9D9"/>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57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pPr>
            <w:r>
              <w:rPr/>
              <w:drawing>
                <wp:inline distT="0" distB="0" distL="0" distR="0">
                  <wp:extent cx="283210" cy="274320"/>
                  <wp:effectExtent l="0" t="0" r="0" b="0"/>
                  <wp:docPr id="12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3" descr=""/>
                          <pic:cNvPicPr>
                            <a:picLocks noChangeAspect="1" noChangeArrowheads="1"/>
                          </pic:cNvPicPr>
                        </pic:nvPicPr>
                        <pic:blipFill>
                          <a:blip r:embed="rId94"/>
                          <a:stretch>
                            <a:fillRect/>
                          </a:stretch>
                        </pic:blipFill>
                        <pic:spPr bwMode="auto">
                          <a:xfrm>
                            <a:off x="0" y="0"/>
                            <a:ext cx="283210" cy="274320"/>
                          </a:xfrm>
                          <a:prstGeom prst="rect">
                            <a:avLst/>
                          </a:prstGeom>
                        </pic:spPr>
                      </pic:pic>
                    </a:graphicData>
                  </a:graphic>
                </wp:inline>
              </w:drawing>
            </w:r>
          </w:p>
        </w:tc>
        <w:tc>
          <w:tcPr>
            <w:tcW w:w="12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left"/>
              <w:rPr>
                <w:rFonts w:ascii="Arial;Helvetica;sans-serif" w:hAnsi="Arial;Helvetica;sans-serif"/>
                <w:b/>
                <w:color w:val="4B4F54"/>
                <w:sz w:val="14"/>
              </w:rPr>
            </w:pPr>
            <w:r>
              <w:rPr>
                <w:rFonts w:ascii="Arial;Helvetica;sans-serif" w:hAnsi="Arial;Helvetica;sans-serif"/>
                <w:b/>
                <w:color w:val="4B4F54"/>
                <w:sz w:val="14"/>
              </w:rPr>
              <w:t>Legal &amp;</w:t>
              <w:br/>
              <w:t>Compliance</w:t>
            </w:r>
          </w:p>
        </w:tc>
        <w:tc>
          <w:tcPr>
            <w:tcW w:w="4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109"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46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63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color w:val="005670"/>
              </w:rPr>
            </w:pPr>
            <w:r>
              <w:rPr>
                <w:color w:val="005670"/>
              </w:rPr>
              <w:t>​</w:t>
            </w:r>
          </w:p>
        </w:tc>
        <w:tc>
          <w:tcPr>
            <w:tcW w:w="6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60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color w:val="005670"/>
              </w:rPr>
            </w:pPr>
            <w:r>
              <w:rPr>
                <w:color w:val="005670"/>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11"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70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5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both"/>
              <w:rPr/>
            </w:pPr>
            <w:r>
              <w:rPr/>
              <w:t>​</w:t>
            </w:r>
          </w:p>
        </w:tc>
        <w:tc>
          <w:tcPr>
            <w:tcW w:w="571" w:type="dxa"/>
            <w:gridSpan w:val="5"/>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0" w:after="0"/>
              <w:ind w:left="0" w:right="0" w:hanging="0"/>
              <w:jc w:val="center"/>
              <w:rPr/>
            </w:pPr>
            <w:r>
              <w:rPr/>
              <w:t>​</w:t>
            </w:r>
          </w:p>
        </w:tc>
        <w:tc>
          <w:tcPr>
            <w:tcW w:w="361" w:type="dxa"/>
            <w:gridSpan w:val="3"/>
            <w:tcBorders>
              <w:top w:val="single" w:sz="2" w:space="0" w:color="D9D9D9"/>
              <w:bottom w:val="single" w:sz="2" w:space="0" w:color="D9D9D9"/>
            </w:tcBorders>
            <w:tcMar>
              <w:top w:w="28" w:type="dxa"/>
              <w:bottom w:w="28" w:type="dxa"/>
            </w:tcMar>
            <w:vAlign w:val="center"/>
          </w:tcPr>
          <w:p>
            <w:pPr>
              <w:pStyle w:val="TableContents"/>
              <w:bidi w:val="0"/>
              <w:spacing w:lineRule="auto" w:line="285" w:before="40" w:after="40"/>
              <w:ind w:left="0" w:right="0" w:hanging="0"/>
              <w:jc w:val="center"/>
              <w:rPr>
                <w:rFonts w:ascii="Arial;Helvetica;sans-serif" w:hAnsi="Arial;Helvetica;sans-serif"/>
                <w:sz w:val="23"/>
              </w:rPr>
            </w:pPr>
            <w:r>
              <w:rPr>
                <w:rFonts w:ascii="Arial;Helvetica;sans-serif" w:hAnsi="Arial;Helvetica;sans-serif"/>
                <w:sz w:val="23"/>
              </w:rPr>
              <w:t>3</w:t>
            </w:r>
          </w:p>
        </w:tc>
        <w:tc>
          <w:tcPr>
            <w:tcW w:w="154" w:type="dxa"/>
            <w:tcBorders>
              <w:top w:val="single" w:sz="2" w:space="0" w:color="D9D9D9"/>
              <w:bottom w:val="single" w:sz="2" w:space="0" w:color="D9D9D9"/>
            </w:tcBorders>
            <w:tcMar>
              <w:top w:w="28" w:type="dxa"/>
              <w:bottom w:w="28" w:type="dxa"/>
            </w:tcMar>
            <w:vAlign w:val="center"/>
          </w:tcPr>
          <w:p>
            <w:pPr>
              <w:pStyle w:val="TableContents"/>
              <w:bidi w:val="0"/>
              <w:spacing w:before="0" w:after="283"/>
              <w:jc w:val="left"/>
              <w:rPr>
                <w:sz w:val="4"/>
                <w:szCs w:val="4"/>
              </w:rPr>
            </w:pPr>
            <w:r>
              <w:rPr>
                <w:sz w:val="4"/>
                <w:szCs w:val="4"/>
              </w:rPr>
            </w:r>
          </w:p>
        </w:tc>
      </w:tr>
    </w:tbl>
    <w:tbl>
      <w:tblPr>
        <w:tblW w:w="2785"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32"/>
        </w:rPr>
      </w:pPr>
      <w:r>
        <w:rPr>
          <w:rFonts w:ascii="Arial;Helvetica;sans-serif" w:hAnsi="Arial;Helvetica;sans-serif"/>
          <w:sz w:val="32"/>
        </w:rPr>
        <w:t>Backgrounds and Attributes of Our Director Nominees</w:t>
      </w:r>
    </w:p>
    <w:p>
      <w:pPr>
        <w:pStyle w:val="TextBody"/>
        <w:bidi w:val="0"/>
        <w:spacing w:lineRule="auto" w:line="285" w:before="200" w:after="0"/>
        <w:ind w:left="0" w:right="0" w:hanging="0"/>
        <w:jc w:val="both"/>
        <w:rPr>
          <w:rFonts w:ascii="Arial;Helvetica;sans-serif" w:hAnsi="Arial;Helvetica;sans-serif"/>
          <w:sz w:val="20"/>
        </w:rPr>
      </w:pPr>
      <w:r>
        <w:rPr>
          <w:rFonts w:ascii="Arial;Helvetica;sans-serif" w:hAnsi="Arial;Helvetica;sans-serif"/>
          <w:sz w:val="20"/>
        </w:rPr>
        <w:t>All members of our Board of Directors are highly qualified with proven records of excellence and success. In addition to their credentials and experience, we value the thought leadership and varied perspectives that a diverse board brings to our business execution. Of our 11 director nominees, one is a woman, two are ethnically diverse, five have non-U.S. citizenship, and nine meet NYSE independence standards.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P-43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rFonts w:ascii="Arial;Helvetica;sans-serif" w:hAnsi="Arial;Helvetica;sans-serif"/>
          <w:b/>
          <w:color w:val="ECA44A"/>
          <w:sz w:val="40"/>
        </w:rPr>
      </w:pPr>
      <w:bookmarkStart w:id="74" w:name="AGENDAITEM7"/>
      <w:bookmarkStart w:id="75" w:name="_498fdec7_d06b_475b_ba78_b7ea18a8df68"/>
      <w:bookmarkEnd w:id="74"/>
      <w:bookmarkEnd w:id="75"/>
      <w:r>
        <w:rPr>
          <w:rFonts w:ascii="Arial;Helvetica;sans-serif" w:hAnsi="Arial;Helvetica;sans-serif"/>
          <w:b/>
          <w:color w:val="ECA44A"/>
          <w:sz w:val="40"/>
        </w:rPr>
        <w:t>AGENDA ITEM 6</w:t>
      </w:r>
    </w:p>
    <w:p>
      <w:pPr>
        <w:pStyle w:val="TextBody"/>
        <w:bidi w:val="0"/>
        <w:spacing w:lineRule="auto" w:line="285" w:before="0" w:after="200"/>
        <w:ind w:left="0" w:right="0" w:hanging="0"/>
        <w:jc w:val="both"/>
        <w:rPr>
          <w:rFonts w:ascii="Arial;Helvetica;sans-serif" w:hAnsi="Arial;Helvetica;sans-serif"/>
          <w:b w:val="false"/>
          <w:sz w:val="32"/>
        </w:rPr>
      </w:pPr>
      <w:r>
        <w:rPr>
          <w:rFonts w:ascii="Arial;Helvetica;sans-serif" w:hAnsi="Arial;Helvetica;sans-serif"/>
          <w:b w:val="false"/>
          <w:sz w:val="32"/>
        </w:rPr>
        <w:t>Election of the Chair of the Board of Directors for a Term Extending Until Completion of the Next Annual General Meeting</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NOMINATION OF THE BOARD OF DIRECTORS</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85" w:before="0" w:after="0"/>
              <w:ind w:left="0" w:right="0" w:hanging="0"/>
              <w:jc w:val="both"/>
              <w:rPr/>
            </w:pPr>
            <w:r>
              <w:rPr/>
              <w:t>​</w:t>
            </w:r>
          </w:p>
        </w:tc>
      </w:tr>
      <w:tr>
        <w:trPr/>
        <w:tc>
          <w:tcPr>
            <w:tcW w:w="10205" w:type="dxa"/>
            <w:tcBorders/>
            <w:shd w:fill="F2F2F2" w:val="clear"/>
            <w:vAlign w:val="center"/>
          </w:tcPr>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Pursuant to the Swiss Code and our Articles of Association, the authority to elect the Chair of the Board of Directors is vested with the general meeting of shareholders. The term of office of the Chair of the Board of Directors is the same as the other directors’ terms and extends until completion of the next annual general meeting. The Chair elected at the 2026 Annual General Meeting will have the powers and duties as provided for in our Articles of Association and organizational regulations.</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Upon the recommendation of the Governance, Safety &amp; Environment Committee, the Board of Directors nominates Jeremy D. Thigpen for election by shareholders as the Chair of the Board of Directors. Mr. Thigpen is the Executive Chair of Transocean and has served on the Board since 2015; previously, he served as Chief Executive Officer of the Company from 2015 to 2025. Mr. Thigpen’s biographical information may be found above under Agenda Item 5.</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For more information about the Company’s leadership transition, see “Nominees to the Board of Directors.”</w:t>
            </w:r>
          </w:p>
        </w:tc>
      </w:tr>
    </w:tbl>
    <w:p>
      <w:pPr>
        <w:pStyle w:val="TextBody"/>
        <w:bidi w:val="0"/>
        <w:spacing w:lineRule="auto" w:line="285" w:before="0" w:after="0"/>
        <w:ind w:left="0" w:right="0" w:hanging="0"/>
        <w:jc w:val="both"/>
        <w:rPr/>
      </w:pPr>
      <w:r>
        <w:rPr/>
        <w:t>​</w:t>
      </w:r>
    </w:p>
    <w:tbl>
      <w:tblPr>
        <w:tblW w:w="10171" w:type="dxa"/>
        <w:jc w:val="left"/>
        <w:tblInd w:w="0" w:type="dxa"/>
        <w:tblLayout w:type="fixed"/>
        <w:tblCellMar>
          <w:top w:w="0" w:type="dxa"/>
          <w:left w:w="0" w:type="dxa"/>
          <w:bottom w:w="0" w:type="dxa"/>
          <w:right w:w="0" w:type="dxa"/>
        </w:tblCellMar>
      </w:tblPr>
      <w:tblGrid>
        <w:gridCol w:w="10171"/>
      </w:tblGrid>
      <w:tr>
        <w:trPr/>
        <w:tc>
          <w:tcPr>
            <w:tcW w:w="10171" w:type="dxa"/>
            <w:tcBorders/>
            <w:vAlign w:val="center"/>
          </w:tcPr>
          <w:p>
            <w:pPr>
              <w:pStyle w:val="TableContents"/>
              <w:bidi w:val="0"/>
              <w:spacing w:lineRule="auto" w:line="285" w:before="0" w:after="0"/>
              <w:ind w:left="0" w:right="0" w:hanging="0"/>
              <w:jc w:val="both"/>
              <w:rPr/>
            </w:pPr>
            <w:r>
              <w:rPr/>
              <w:t>​</w:t>
            </w:r>
          </w:p>
        </w:tc>
      </w:tr>
      <w:tr>
        <w:trPr/>
        <w:tc>
          <w:tcPr>
            <w:tcW w:w="10171" w:type="dxa"/>
            <w:tcBorders/>
            <w:shd w:fill="ECA44A" w:val="clear"/>
            <w:vAlign w:val="center"/>
          </w:tcPr>
          <w:p>
            <w:pPr>
              <w:pStyle w:val="TableContents"/>
              <w:bidi w:val="0"/>
              <w:spacing w:lineRule="auto" w:line="285" w:before="200" w:after="120"/>
              <w:ind w:left="0" w:right="0" w:hanging="0"/>
              <w:jc w:val="center"/>
              <w:rPr>
                <w:rFonts w:ascii="Arial;Helvetica;sans-serif" w:hAnsi="Arial;Helvetica;sans-serif"/>
                <w:b/>
                <w:color w:val="FFFFFF"/>
                <w:sz w:val="28"/>
              </w:rPr>
            </w:pPr>
            <w:r>
              <w:rPr>
                <w:rFonts w:ascii="Arial;Helvetica;sans-serif" w:hAnsi="Arial;Helvetica;sans-serif"/>
                <w:b/>
                <w:color w:val="FFFFFF"/>
                <w:sz w:val="28"/>
              </w:rPr>
              <w:t>RECOMMENDATION</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color w:val="F2F2F2"/>
                <w:sz w:val="20"/>
              </w:rPr>
              <w:t xml:space="preserve">The Board of Directors recommends a vote </w:t>
            </w:r>
            <w:r>
              <w:rPr>
                <w:rFonts w:ascii="Arial;Helvetica;sans-serif" w:hAnsi="Arial;Helvetica;sans-serif"/>
                <w:b/>
                <w:color w:val="F2F2F2"/>
                <w:sz w:val="20"/>
              </w:rPr>
              <w:t>FOR</w:t>
            </w:r>
            <w:r>
              <w:rPr>
                <w:rFonts w:ascii="Arial;Helvetica;sans-serif" w:hAnsi="Arial;Helvetica;sans-serif"/>
                <w:color w:val="F2F2F2"/>
                <w:sz w:val="20"/>
              </w:rPr>
              <w:t xml:space="preserve"> the election of the nominee for the Chair of the Board of Directors.</w:t>
            </w:r>
          </w:p>
        </w:tc>
      </w:tr>
    </w:tbl>
    <w:p>
      <w:pPr>
        <w:pStyle w:val="TextBody"/>
        <w:bidi w:val="0"/>
        <w:spacing w:lineRule="auto" w:line="285" w:before="0" w:after="20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P-44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Arial;Helvetica;sans-serif" w:hAnsi="Arial;Helvetica;sans-serif"/>
          <w:b/>
          <w:color w:val="ECA44A"/>
          <w:sz w:val="40"/>
        </w:rPr>
      </w:pPr>
      <w:bookmarkStart w:id="76" w:name="AGENDAITEM8"/>
      <w:bookmarkStart w:id="77" w:name="_76dd58ec_d9df_4e38_9dbb_ac2798aed5f7"/>
      <w:bookmarkEnd w:id="76"/>
      <w:bookmarkEnd w:id="77"/>
      <w:r>
        <w:rPr>
          <w:rFonts w:ascii="Arial;Helvetica;sans-serif" w:hAnsi="Arial;Helvetica;sans-serif"/>
          <w:b/>
          <w:color w:val="ECA44A"/>
          <w:sz w:val="40"/>
        </w:rPr>
        <w:t>AGENDA ITEM 7</w:t>
      </w:r>
    </w:p>
    <w:p>
      <w:pPr>
        <w:pStyle w:val="TextBody"/>
        <w:bidi w:val="0"/>
        <w:spacing w:lineRule="auto" w:line="285" w:before="0" w:after="200"/>
        <w:ind w:left="0" w:right="0" w:hanging="0"/>
        <w:jc w:val="both"/>
        <w:rPr>
          <w:rFonts w:ascii="Arial;Helvetica;sans-serif" w:hAnsi="Arial;Helvetica;sans-serif"/>
          <w:b w:val="false"/>
          <w:sz w:val="32"/>
        </w:rPr>
      </w:pPr>
      <w:r>
        <w:rPr>
          <w:rFonts w:ascii="Arial;Helvetica;sans-serif" w:hAnsi="Arial;Helvetica;sans-serif"/>
          <w:b w:val="false"/>
          <w:sz w:val="32"/>
        </w:rPr>
        <w:t>Election of the Members of the Compensation Committee, Each for a Term Extending Until Completion of the Next Annual General Meeting</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NOMINATIONS OF THE BOARD OF DIRECTORS</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85" w:before="0" w:after="0"/>
              <w:ind w:left="0" w:right="0" w:hanging="0"/>
              <w:jc w:val="both"/>
              <w:rPr/>
            </w:pPr>
            <w:r>
              <w:rPr/>
              <w:t>​</w:t>
            </w:r>
          </w:p>
        </w:tc>
      </w:tr>
      <w:tr>
        <w:trPr/>
        <w:tc>
          <w:tcPr>
            <w:tcW w:w="10205" w:type="dxa"/>
            <w:tcBorders/>
            <w:shd w:fill="F2F2F2" w:val="clear"/>
            <w:vAlign w:val="center"/>
          </w:tcPr>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Pursuant to the Swiss Code and our Articles of Association, the authority to elect the members of the Compensation Committee of the Board of Directors is vested with the general meeting of shareholders. The term of office of the members of the Compensation Committee is the same as the other directors’ term and extends until completion of the next annual general meeting.</w:t>
            </w:r>
          </w:p>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Upon the recommendation of the Governance, Safety &amp; Environment Committee, the Board of Directors has nominated for election by the shareholders at the 2026 Annual General Meeting</w:t>
            </w:r>
          </w:p>
          <w:p>
            <w:pPr>
              <w:pStyle w:val="TableContents"/>
              <w:bidi w:val="0"/>
              <w:spacing w:lineRule="auto" w:line="285" w:before="0" w:after="0"/>
              <w:ind w:left="360" w:right="0" w:hanging="0"/>
              <w:jc w:val="both"/>
              <w:rPr>
                <w:rFonts w:ascii="Arial;Helvetica;sans-serif" w:hAnsi="Arial;Helvetica;sans-serif"/>
                <w:b/>
                <w:sz w:val="20"/>
              </w:rPr>
            </w:pPr>
            <w:r>
              <w:rPr>
                <w:rFonts w:ascii="Arial;Helvetica;sans-serif" w:hAnsi="Arial;Helvetica;sans-serif"/>
                <w:b/>
                <w:sz w:val="20"/>
              </w:rPr>
              <w:t>Glyn A. Barker</w:t>
            </w:r>
          </w:p>
          <w:p>
            <w:pPr>
              <w:pStyle w:val="TableContents"/>
              <w:bidi w:val="0"/>
              <w:spacing w:lineRule="auto" w:line="285" w:before="0" w:after="0"/>
              <w:ind w:left="360" w:right="0" w:hanging="0"/>
              <w:jc w:val="both"/>
              <w:rPr>
                <w:rFonts w:ascii="Arial;Helvetica;sans-serif" w:hAnsi="Arial;Helvetica;sans-serif"/>
                <w:b/>
                <w:sz w:val="20"/>
              </w:rPr>
            </w:pPr>
            <w:r>
              <w:rPr>
                <w:rFonts w:ascii="Arial;Helvetica;sans-serif" w:hAnsi="Arial;Helvetica;sans-serif"/>
                <w:b/>
                <w:sz w:val="20"/>
              </w:rPr>
              <w:t>Vanessa C.L. Chang</w:t>
            </w:r>
          </w:p>
          <w:p>
            <w:pPr>
              <w:pStyle w:val="TableContents"/>
              <w:bidi w:val="0"/>
              <w:spacing w:lineRule="auto" w:line="285" w:before="0" w:after="0"/>
              <w:ind w:left="360" w:right="0" w:hanging="0"/>
              <w:jc w:val="both"/>
              <w:rPr>
                <w:rFonts w:ascii="Arial;Helvetica;sans-serif" w:hAnsi="Arial;Helvetica;sans-serif"/>
                <w:b/>
                <w:sz w:val="20"/>
              </w:rPr>
            </w:pPr>
            <w:r>
              <w:rPr>
                <w:rFonts w:ascii="Arial;Helvetica;sans-serif" w:hAnsi="Arial;Helvetica;sans-serif"/>
                <w:b/>
                <w:sz w:val="20"/>
              </w:rPr>
              <w:t>Frederico F. Curado</w:t>
            </w:r>
          </w:p>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as members of the Compensation Committee of the Board of Directors. Biographical information regarding the nominees may be found above under Agenda Item 5.</w:t>
            </w:r>
          </w:p>
        </w:tc>
      </w:tr>
    </w:tbl>
    <w:p>
      <w:pPr>
        <w:pStyle w:val="TextBody"/>
        <w:bidi w:val="0"/>
        <w:spacing w:lineRule="auto" w:line="285" w:before="0" w:after="2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85" w:before="0" w:after="0"/>
              <w:ind w:left="0" w:right="0" w:hanging="0"/>
              <w:jc w:val="both"/>
              <w:rPr/>
            </w:pPr>
            <w:r>
              <w:rPr/>
              <w:t>​</w:t>
            </w:r>
          </w:p>
        </w:tc>
      </w:tr>
      <w:tr>
        <w:trPr/>
        <w:tc>
          <w:tcPr>
            <w:tcW w:w="10205" w:type="dxa"/>
            <w:tcBorders/>
            <w:shd w:fill="ECA44A" w:val="clear"/>
            <w:vAlign w:val="center"/>
          </w:tcPr>
          <w:p>
            <w:pPr>
              <w:pStyle w:val="TableContents"/>
              <w:bidi w:val="0"/>
              <w:spacing w:lineRule="auto" w:line="285" w:before="200" w:after="120"/>
              <w:ind w:left="0" w:right="0" w:hanging="0"/>
              <w:jc w:val="center"/>
              <w:rPr>
                <w:rFonts w:ascii="Arial;Helvetica;sans-serif" w:hAnsi="Arial;Helvetica;sans-serif"/>
                <w:b/>
                <w:color w:val="FFFFFF"/>
                <w:sz w:val="28"/>
              </w:rPr>
            </w:pPr>
            <w:r>
              <w:rPr>
                <w:rFonts w:ascii="Arial;Helvetica;sans-serif" w:hAnsi="Arial;Helvetica;sans-serif"/>
                <w:b/>
                <w:color w:val="FFFFFF"/>
                <w:sz w:val="28"/>
              </w:rPr>
              <w:t>RECOMMENDATION</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color w:val="F2F2F2"/>
                <w:sz w:val="20"/>
              </w:rPr>
              <w:t xml:space="preserve">The Board of Directors recommends a vote </w:t>
            </w:r>
            <w:r>
              <w:rPr>
                <w:rFonts w:ascii="Arial;Helvetica;sans-serif" w:hAnsi="Arial;Helvetica;sans-serif"/>
                <w:b/>
                <w:color w:val="F2F2F2"/>
                <w:sz w:val="20"/>
              </w:rPr>
              <w:t>FOR</w:t>
            </w:r>
            <w:r>
              <w:rPr>
                <w:rFonts w:ascii="Arial;Helvetica;sans-serif" w:hAnsi="Arial;Helvetica;sans-serif"/>
                <w:color w:val="F2F2F2"/>
                <w:sz w:val="20"/>
              </w:rPr>
              <w:t xml:space="preserve"> the election of the nominees of the Compensation Committee of the Board of Directors.</w:t>
            </w:r>
          </w:p>
        </w:tc>
      </w:tr>
    </w:tbl>
    <w:p>
      <w:pPr>
        <w:pStyle w:val="TextBody"/>
        <w:bidi w:val="0"/>
        <w:spacing w:lineRule="auto" w:line="285" w:before="0" w:after="20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P-45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Arial;Helvetica;sans-serif" w:hAnsi="Arial;Helvetica;sans-serif"/>
          <w:b/>
          <w:color w:val="ECA44A"/>
          <w:sz w:val="40"/>
        </w:rPr>
      </w:pPr>
      <w:bookmarkStart w:id="78" w:name="AGENDAITEM9"/>
      <w:bookmarkStart w:id="79" w:name="_038b0083_1eef_4b7d_b82f_16897c785f00"/>
      <w:bookmarkEnd w:id="78"/>
      <w:bookmarkEnd w:id="79"/>
      <w:r>
        <w:rPr>
          <w:rFonts w:ascii="Arial;Helvetica;sans-serif" w:hAnsi="Arial;Helvetica;sans-serif"/>
          <w:b/>
          <w:color w:val="ECA44A"/>
          <w:sz w:val="40"/>
        </w:rPr>
        <w:t>AGENDA ITEM 8</w:t>
      </w:r>
    </w:p>
    <w:p>
      <w:pPr>
        <w:pStyle w:val="TextBody"/>
        <w:bidi w:val="0"/>
        <w:spacing w:lineRule="auto" w:line="285" w:before="0" w:after="200"/>
        <w:ind w:left="0" w:right="0" w:hanging="0"/>
        <w:jc w:val="both"/>
        <w:rPr>
          <w:rFonts w:ascii="Arial;Helvetica;sans-serif" w:hAnsi="Arial;Helvetica;sans-serif"/>
          <w:b w:val="false"/>
          <w:sz w:val="32"/>
        </w:rPr>
      </w:pPr>
      <w:r>
        <w:rPr>
          <w:rFonts w:ascii="Arial;Helvetica;sans-serif" w:hAnsi="Arial;Helvetica;sans-serif"/>
          <w:b w:val="false"/>
          <w:sz w:val="32"/>
        </w:rPr>
        <w:t>Reelection of the Independent Proxy for a Term Extending Until Completion of the Next Annual General Meeting</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85" w:before="0" w:after="0"/>
              <w:ind w:left="0" w:right="0" w:hanging="0"/>
              <w:jc w:val="both"/>
              <w:rPr/>
            </w:pPr>
            <w:r>
              <w:rPr/>
              <w:t>​</w:t>
            </w:r>
          </w:p>
        </w:tc>
      </w:tr>
      <w:tr>
        <w:trPr/>
        <w:tc>
          <w:tcPr>
            <w:tcW w:w="10205" w:type="dxa"/>
            <w:tcBorders/>
            <w:shd w:fill="F2F2F2" w:val="clear"/>
            <w:vAlign w:val="center"/>
          </w:tcPr>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Pursuant to the Swiss Code and our Articles of Association, the authority to elect the independent proxy is vested with the general meeting of shareholders. The independent proxy elected at the 2026 Annual General Meeting will serve as independent proxy at the 2027 Annual General Meeting and at any extraordinary general meeting of shareholders of the Company that may be held prior to the 2027 Annual General Meeting.</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Board of Directors has nominated for election as independent proxy Schweiger Advokatur/Notariat, Dammstrasse 19, 6300 Zug, Switzerland. Schweiger Advokatur/Notariat was elected at the 2025 Annual General Meeting to serve as independent proxy at the 2026 Annual General Meeting and any extraordinary general meeting of shareholders of the Company held prior to the 2026 Annual General Meeting. Schweiger Advokatur/Notariat confirmed to the Company that it possesses the required independence to fulfill its responsibilities.</w:t>
            </w:r>
          </w:p>
        </w:tc>
      </w:tr>
    </w:tbl>
    <w:p>
      <w:pPr>
        <w:pStyle w:val="TextBody"/>
        <w:bidi w:val="0"/>
        <w:spacing w:lineRule="auto" w:line="285" w:before="0" w:after="200"/>
        <w:ind w:left="0" w:right="0" w:hanging="0"/>
        <w:jc w:val="both"/>
        <w:rPr/>
      </w:pPr>
      <w:r>
        <w:rPr/>
        <w:t>​</w:t>
      </w:r>
    </w:p>
    <w:tbl>
      <w:tblPr>
        <w:tblW w:w="6151" w:type="dxa"/>
        <w:jc w:val="left"/>
        <w:tblInd w:w="0" w:type="dxa"/>
        <w:tblLayout w:type="fixed"/>
        <w:tblCellMar>
          <w:top w:w="0" w:type="dxa"/>
          <w:left w:w="0" w:type="dxa"/>
          <w:bottom w:w="0" w:type="dxa"/>
          <w:right w:w="0" w:type="dxa"/>
        </w:tblCellMar>
      </w:tblPr>
      <w:tblGrid>
        <w:gridCol w:w="6151"/>
      </w:tblGrid>
      <w:tr>
        <w:trPr/>
        <w:tc>
          <w:tcPr>
            <w:tcW w:w="6151" w:type="dxa"/>
            <w:tcBorders/>
            <w:vAlign w:val="center"/>
          </w:tcPr>
          <w:p>
            <w:pPr>
              <w:pStyle w:val="TableContents"/>
              <w:bidi w:val="0"/>
              <w:spacing w:lineRule="auto" w:line="285" w:before="0" w:after="0"/>
              <w:ind w:left="0" w:right="0" w:hanging="0"/>
              <w:jc w:val="both"/>
              <w:rPr/>
            </w:pPr>
            <w:r>
              <w:rPr/>
              <w:t>​</w:t>
            </w:r>
          </w:p>
        </w:tc>
      </w:tr>
      <w:tr>
        <w:trPr/>
        <w:tc>
          <w:tcPr>
            <w:tcW w:w="6151" w:type="dxa"/>
            <w:tcBorders/>
            <w:shd w:fill="ECA44A" w:val="clear"/>
            <w:vAlign w:val="center"/>
          </w:tcPr>
          <w:p>
            <w:pPr>
              <w:pStyle w:val="TableContents"/>
              <w:bidi w:val="0"/>
              <w:spacing w:lineRule="auto" w:line="285" w:before="200" w:after="120"/>
              <w:ind w:left="0" w:right="0" w:hanging="0"/>
              <w:jc w:val="center"/>
              <w:rPr>
                <w:rFonts w:ascii="Arial;Helvetica;sans-serif" w:hAnsi="Arial;Helvetica;sans-serif"/>
                <w:b/>
                <w:color w:val="FFFFFF"/>
                <w:sz w:val="28"/>
              </w:rPr>
            </w:pPr>
            <w:r>
              <w:rPr>
                <w:rFonts w:ascii="Arial;Helvetica;sans-serif" w:hAnsi="Arial;Helvetica;sans-serif"/>
                <w:b/>
                <w:color w:val="FFFFFF"/>
                <w:sz w:val="28"/>
              </w:rPr>
              <w:t>RECOMMENDATION</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color w:val="F2F2F2"/>
                <w:sz w:val="20"/>
              </w:rPr>
              <w:t xml:space="preserve">The Board of Directors recommends a vote </w:t>
            </w:r>
            <w:r>
              <w:rPr>
                <w:rFonts w:ascii="Arial;Helvetica;sans-serif" w:hAnsi="Arial;Helvetica;sans-serif"/>
                <w:b/>
                <w:color w:val="F2F2F2"/>
                <w:sz w:val="20"/>
              </w:rPr>
              <w:t>FOR</w:t>
            </w:r>
            <w:r>
              <w:rPr>
                <w:rFonts w:ascii="Arial;Helvetica;sans-serif" w:hAnsi="Arial;Helvetica;sans-serif"/>
                <w:color w:val="F2F2F2"/>
                <w:sz w:val="20"/>
              </w:rPr>
              <w:t xml:space="preserve"> this Agenda Item 8.</w:t>
            </w:r>
          </w:p>
        </w:tc>
      </w:tr>
    </w:tbl>
    <w:p>
      <w:pPr>
        <w:pStyle w:val="TextBody"/>
        <w:bidi w:val="0"/>
        <w:spacing w:lineRule="auto" w:line="285" w:before="0" w:after="20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P-46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Arial;Helvetica;sans-serif" w:hAnsi="Arial;Helvetica;sans-serif"/>
          <w:b/>
          <w:color w:val="ECA44A"/>
          <w:sz w:val="40"/>
        </w:rPr>
      </w:pPr>
      <w:bookmarkStart w:id="80" w:name="AGENDAITEM09"/>
      <w:bookmarkStart w:id="81" w:name="AGENDAITEM10"/>
      <w:bookmarkStart w:id="82" w:name="_f9425900_4dd5_4b11_b053_afb6b2cc7daf"/>
      <w:bookmarkEnd w:id="80"/>
      <w:bookmarkEnd w:id="81"/>
      <w:bookmarkEnd w:id="82"/>
      <w:r>
        <w:rPr>
          <w:rFonts w:ascii="Arial;Helvetica;sans-serif" w:hAnsi="Arial;Helvetica;sans-serif"/>
          <w:b/>
          <w:color w:val="ECA44A"/>
          <w:sz w:val="40"/>
        </w:rPr>
        <w:t>AGENDA ITEM 9</w:t>
      </w:r>
    </w:p>
    <w:p>
      <w:pPr>
        <w:pStyle w:val="TextBody"/>
        <w:bidi w:val="0"/>
        <w:spacing w:lineRule="auto" w:line="285" w:before="0" w:after="200"/>
        <w:ind w:left="0" w:right="0" w:hanging="0"/>
        <w:jc w:val="both"/>
        <w:rPr>
          <w:rFonts w:ascii="Arial;Helvetica;sans-serif" w:hAnsi="Arial;Helvetica;sans-serif"/>
          <w:b w:val="false"/>
          <w:sz w:val="32"/>
        </w:rPr>
      </w:pPr>
      <w:r>
        <w:rPr>
          <w:rFonts w:ascii="Arial;Helvetica;sans-serif" w:hAnsi="Arial;Helvetica;sans-serif"/>
          <w:b w:val="false"/>
          <w:sz w:val="32"/>
        </w:rPr>
        <w:t>Ratification of Ernst &amp; Young LLP as the Company’s Independent Registered Public Accounting Firm for Fiscal Year 2026 and Reelection of Ernst &amp; Young Ltd, Zurich, as the Company’s Auditor for a Further One-Year Term</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PROPOSAL OF THE BOARD OF DIRECTORS</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85" w:before="0" w:after="0"/>
              <w:ind w:left="0" w:right="0" w:hanging="0"/>
              <w:jc w:val="both"/>
              <w:rPr/>
            </w:pPr>
            <w:r>
              <w:rPr/>
              <w:t>​</w:t>
            </w:r>
          </w:p>
        </w:tc>
      </w:tr>
      <w:tr>
        <w:trPr/>
        <w:tc>
          <w:tcPr>
            <w:tcW w:w="10205" w:type="dxa"/>
            <w:tcBorders/>
            <w:shd w:fill="F2F2F2" w:val="clear"/>
            <w:vAlign w:val="center"/>
          </w:tcPr>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The Board of Directors proposes that Ernst &amp; Young LLP be ratified as Transocean Ltd.’s independent registered public accounting firm for the fiscal year 2026 and that Ernst &amp; Young Ltd, Zurich, be elected as Transocean Ltd.’s auditor pursuant to the Swiss Code for a further one-year term, commencing on the day of election at the 2026 Annual General Meeting and terminating on the day of the 2027 Annual General Meeting.</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Representatives of Ernst &amp; Young Ltd will participate in the 2026 Annual General Meeting, will have the opportunity to make a statement and will be available to respond to questions you may ask. Please submit any questions you may have to the Corporate Secretary prior to the 2026 Annual General Meeting. Information regarding the fees paid by the Company to Ernst &amp; Young appears below.</w:t>
            </w:r>
          </w:p>
        </w:tc>
      </w:tr>
    </w:tbl>
    <w:p>
      <w:pPr>
        <w:pStyle w:val="TextBody"/>
        <w:bidi w:val="0"/>
        <w:spacing w:lineRule="auto" w:line="285" w:before="0" w:after="200"/>
        <w:ind w:left="0" w:right="0" w:hanging="0"/>
        <w:jc w:val="both"/>
        <w:rPr/>
      </w:pPr>
      <w:r>
        <w:rPr/>
        <w:t>​</w:t>
      </w:r>
    </w:p>
    <w:tbl>
      <w:tblPr>
        <w:tblW w:w="6151" w:type="dxa"/>
        <w:jc w:val="left"/>
        <w:tblInd w:w="0" w:type="dxa"/>
        <w:tblLayout w:type="fixed"/>
        <w:tblCellMar>
          <w:top w:w="0" w:type="dxa"/>
          <w:left w:w="0" w:type="dxa"/>
          <w:bottom w:w="0" w:type="dxa"/>
          <w:right w:w="0" w:type="dxa"/>
        </w:tblCellMar>
      </w:tblPr>
      <w:tblGrid>
        <w:gridCol w:w="6151"/>
      </w:tblGrid>
      <w:tr>
        <w:trPr/>
        <w:tc>
          <w:tcPr>
            <w:tcW w:w="6151" w:type="dxa"/>
            <w:tcBorders/>
            <w:vAlign w:val="center"/>
          </w:tcPr>
          <w:p>
            <w:pPr>
              <w:pStyle w:val="TableContents"/>
              <w:bidi w:val="0"/>
              <w:spacing w:lineRule="auto" w:line="285" w:before="0" w:after="0"/>
              <w:ind w:left="0" w:right="0" w:hanging="0"/>
              <w:jc w:val="both"/>
              <w:rPr/>
            </w:pPr>
            <w:r>
              <w:rPr/>
              <w:t>​</w:t>
            </w:r>
          </w:p>
        </w:tc>
      </w:tr>
      <w:tr>
        <w:trPr/>
        <w:tc>
          <w:tcPr>
            <w:tcW w:w="6151" w:type="dxa"/>
            <w:tcBorders/>
            <w:shd w:fill="ECA44A" w:val="clear"/>
            <w:vAlign w:val="center"/>
          </w:tcPr>
          <w:p>
            <w:pPr>
              <w:pStyle w:val="TableContents"/>
              <w:bidi w:val="0"/>
              <w:spacing w:lineRule="auto" w:line="285" w:before="200" w:after="120"/>
              <w:ind w:left="0" w:right="0" w:hanging="0"/>
              <w:jc w:val="center"/>
              <w:rPr>
                <w:rFonts w:ascii="Arial;Helvetica;sans-serif" w:hAnsi="Arial;Helvetica;sans-serif"/>
                <w:b/>
                <w:color w:val="FFFFFF"/>
                <w:sz w:val="28"/>
              </w:rPr>
            </w:pPr>
            <w:r>
              <w:rPr>
                <w:rFonts w:ascii="Arial;Helvetica;sans-serif" w:hAnsi="Arial;Helvetica;sans-serif"/>
                <w:b/>
                <w:color w:val="FFFFFF"/>
                <w:sz w:val="28"/>
              </w:rPr>
              <w:t>RECOMMENDATION</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color w:val="F2F2F2"/>
                <w:sz w:val="20"/>
              </w:rPr>
              <w:t xml:space="preserve">The Board of Directors recommends a vote </w:t>
            </w:r>
            <w:r>
              <w:rPr>
                <w:rFonts w:ascii="Arial;Helvetica;sans-serif" w:hAnsi="Arial;Helvetica;sans-serif"/>
                <w:b/>
                <w:color w:val="F2F2F2"/>
                <w:sz w:val="20"/>
              </w:rPr>
              <w:t>FOR</w:t>
            </w:r>
            <w:r>
              <w:rPr>
                <w:rFonts w:ascii="Arial;Helvetica;sans-serif" w:hAnsi="Arial;Helvetica;sans-serif"/>
                <w:color w:val="F2F2F2"/>
                <w:sz w:val="20"/>
              </w:rPr>
              <w:t xml:space="preserve"> this Agenda Item 9.</w:t>
            </w:r>
          </w:p>
        </w:tc>
      </w:tr>
    </w:tbl>
    <w:p>
      <w:pPr>
        <w:pStyle w:val="TextBody"/>
        <w:bidi w:val="0"/>
        <w:spacing w:lineRule="auto" w:line="285" w:before="0" w:after="20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ERNST &amp; YOUNG FEES</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Audit fees for Ernst &amp; Young LLP and its affiliates for each of the fiscal years 2025 and 2024 and audit-related fees, tax fees and total of all other fees for services rendered in 2025 and 2024 are as follows:</w:t>
      </w:r>
    </w:p>
    <w:p>
      <w:pPr>
        <w:pStyle w:val="TextBody"/>
        <w:bidi w:val="0"/>
        <w:spacing w:lineRule="auto" w:line="285" w:before="0" w:after="0"/>
        <w:ind w:left="0" w:right="0" w:hanging="0"/>
        <w:jc w:val="both"/>
        <w:rPr/>
      </w:pPr>
      <w:r>
        <w:rPr/>
        <w:t>​</w:t>
      </w:r>
    </w:p>
    <w:tbl>
      <w:tblPr>
        <w:tblW w:w="7434" w:type="dxa"/>
        <w:jc w:val="left"/>
        <w:tblInd w:w="0" w:type="dxa"/>
        <w:tblLayout w:type="fixed"/>
        <w:tblCellMar>
          <w:top w:w="0" w:type="dxa"/>
          <w:left w:w="0" w:type="dxa"/>
          <w:bottom w:w="0" w:type="dxa"/>
          <w:right w:w="0" w:type="dxa"/>
        </w:tblCellMar>
      </w:tblPr>
      <w:tblGrid>
        <w:gridCol w:w="1561"/>
        <w:gridCol w:w="346"/>
        <w:gridCol w:w="961"/>
        <w:gridCol w:w="346"/>
        <w:gridCol w:w="1456"/>
        <w:gridCol w:w="346"/>
        <w:gridCol w:w="691"/>
        <w:gridCol w:w="346"/>
        <w:gridCol w:w="1381"/>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991235" cy="175260"/>
                      <wp:effectExtent l="0" t="0" r="0" b="0"/>
                      <wp:wrapNone/>
                      <wp:docPr id="128" name="Frame35"/>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29"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10235" cy="175260"/>
                      <wp:effectExtent l="0" t="0" r="0" b="0"/>
                      <wp:wrapNone/>
                      <wp:docPr id="130" name="Frame3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31"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924560" cy="175260"/>
                      <wp:effectExtent l="0" t="0" r="0" b="0"/>
                      <wp:wrapNone/>
                      <wp:docPr id="132" name="Frame39"/>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33"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38785" cy="175260"/>
                      <wp:effectExtent l="0" t="0" r="0" b="0"/>
                      <wp:wrapNone/>
                      <wp:docPr id="134" name="Frame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35"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876935" cy="175260"/>
                      <wp:effectExtent l="0" t="0" r="0" b="0"/>
                      <wp:wrapNone/>
                      <wp:docPr id="136" name="Frame43"/>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1561"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AUDIT</w:t>
            </w:r>
          </w:p>
        </w:tc>
        <w:tc>
          <w:tcPr>
            <w:tcW w:w="346" w:type="dxa"/>
            <w:tcBorders/>
            <w:vAlign w:val="center"/>
          </w:tcPr>
          <w:p>
            <w:pPr>
              <w:pStyle w:val="TableContents"/>
              <w:bidi w:val="0"/>
              <w:spacing w:lineRule="auto" w:line="285" w:before="0" w:after="0"/>
              <w:ind w:left="0" w:right="0" w:hanging="0"/>
              <w:jc w:val="center"/>
              <w:rPr/>
            </w:pPr>
            <w:r>
              <w:rPr/>
              <w:t>  ​ ​ ​</w:t>
            </w:r>
          </w:p>
        </w:tc>
        <w:tc>
          <w:tcPr>
            <w:tcW w:w="1456"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b/>
                <w:sz w:val="16"/>
              </w:rPr>
              <w:t>AUDIT</w:t>
            </w:r>
            <w:r>
              <w:rPr>
                <w:rFonts w:ascii="Arial;Helvetica;sans-serif" w:hAnsi="Arial;Helvetica;sans-serif"/>
                <w:sz w:val="16"/>
              </w:rPr>
              <w:noBreakHyphen/>
            </w:r>
            <w:r>
              <w:rPr>
                <w:rFonts w:ascii="Arial;Helvetica;sans-serif" w:hAnsi="Arial;Helvetica;sans-serif"/>
                <w:b/>
                <w:sz w:val="16"/>
              </w:rPr>
              <w:t>RELATED</w:t>
            </w:r>
          </w:p>
        </w:tc>
        <w:tc>
          <w:tcPr>
            <w:tcW w:w="346" w:type="dxa"/>
            <w:tcBorders/>
            <w:vAlign w:val="center"/>
          </w:tcPr>
          <w:p>
            <w:pPr>
              <w:pStyle w:val="TableContents"/>
              <w:bidi w:val="0"/>
              <w:spacing w:lineRule="auto" w:line="285" w:before="0" w:after="0"/>
              <w:ind w:left="0" w:right="0" w:hanging="0"/>
              <w:jc w:val="center"/>
              <w:rPr/>
            </w:pPr>
            <w:r>
              <w:rPr/>
              <w:t>  ​ ​ ​</w:t>
            </w:r>
          </w:p>
        </w:tc>
        <w:tc>
          <w:tcPr>
            <w:tcW w:w="691"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TAX</w:t>
            </w:r>
          </w:p>
        </w:tc>
        <w:tc>
          <w:tcPr>
            <w:tcW w:w="346" w:type="dxa"/>
            <w:tcBorders/>
            <w:vAlign w:val="center"/>
          </w:tcPr>
          <w:p>
            <w:pPr>
              <w:pStyle w:val="TableContents"/>
              <w:bidi w:val="0"/>
              <w:spacing w:lineRule="auto" w:line="285" w:before="0" w:after="0"/>
              <w:ind w:left="0" w:right="0" w:hanging="0"/>
              <w:jc w:val="center"/>
              <w:rPr/>
            </w:pPr>
            <w:r>
              <w:rPr/>
              <w:t>  ​ ​ ​</w:t>
            </w:r>
          </w:p>
        </w:tc>
        <w:tc>
          <w:tcPr>
            <w:tcW w:w="1381"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TOTAL OF ALL</w:t>
            </w:r>
          </w:p>
        </w:tc>
      </w:tr>
      <w:tr>
        <w:trPr/>
        <w:tc>
          <w:tcPr>
            <w:tcW w:w="1561"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61" w:type="dxa"/>
            <w:tcBorders/>
            <w:vAlign w:val="center"/>
          </w:tcPr>
          <w:p>
            <w:pPr>
              <w:pStyle w:val="TableContents"/>
              <w:bidi w:val="0"/>
              <w:spacing w:lineRule="auto" w:line="240" w:before="0" w:after="0"/>
              <w:ind w:left="0" w:right="0" w:hanging="0"/>
              <w:jc w:val="center"/>
              <w:rPr>
                <w:rFonts w:ascii="Arial;Helvetica;sans-serif" w:hAnsi="Arial;Helvetica;sans-serif"/>
                <w:sz w:val="16"/>
              </w:rPr>
            </w:pPr>
            <w:r>
              <w:rPr>
                <w:rFonts w:ascii="Arial;Helvetica;sans-serif" w:hAnsi="Arial;Helvetica;sans-serif"/>
                <w:b/>
                <w:sz w:val="16"/>
              </w:rPr>
              <w:t>FEES</w:t>
            </w:r>
            <w:r>
              <w:rPr>
                <w:rFonts w:ascii="Arial;Helvetica;sans-serif" w:hAnsi="Arial;Helvetica;sans-serif"/>
                <w:b/>
                <w:sz w:val="12"/>
              </w:rPr>
              <w:t>(1)</w:t>
            </w:r>
          </w:p>
        </w:tc>
        <w:tc>
          <w:tcPr>
            <w:tcW w:w="346" w:type="dxa"/>
            <w:tcBorders/>
            <w:vAlign w:val="center"/>
          </w:tcPr>
          <w:p>
            <w:pPr>
              <w:pStyle w:val="TableContents"/>
              <w:bidi w:val="0"/>
              <w:spacing w:lineRule="auto" w:line="285" w:before="0" w:after="0"/>
              <w:ind w:left="0" w:right="0" w:hanging="0"/>
              <w:jc w:val="center"/>
              <w:rPr/>
            </w:pPr>
            <w:r>
              <w:rPr/>
              <w:t>​</w:t>
            </w:r>
          </w:p>
        </w:tc>
        <w:tc>
          <w:tcPr>
            <w:tcW w:w="1456" w:type="dxa"/>
            <w:tcBorders/>
            <w:vAlign w:val="center"/>
          </w:tcPr>
          <w:p>
            <w:pPr>
              <w:pStyle w:val="TableContents"/>
              <w:bidi w:val="0"/>
              <w:spacing w:lineRule="auto" w:line="240" w:before="0" w:after="0"/>
              <w:ind w:left="0" w:right="0" w:hanging="0"/>
              <w:jc w:val="center"/>
              <w:rPr>
                <w:rFonts w:ascii="Arial;Helvetica;sans-serif" w:hAnsi="Arial;Helvetica;sans-serif"/>
                <w:sz w:val="16"/>
              </w:rPr>
            </w:pPr>
            <w:r>
              <w:rPr>
                <w:rFonts w:ascii="Arial;Helvetica;sans-serif" w:hAnsi="Arial;Helvetica;sans-serif"/>
                <w:b/>
                <w:sz w:val="16"/>
              </w:rPr>
              <w:t>FEES</w:t>
            </w:r>
            <w:r>
              <w:rPr>
                <w:rFonts w:ascii="Arial;Helvetica;sans-serif" w:hAnsi="Arial;Helvetica;sans-serif"/>
                <w:b/>
                <w:sz w:val="12"/>
              </w:rPr>
              <w:t>(2)</w:t>
            </w:r>
          </w:p>
        </w:tc>
        <w:tc>
          <w:tcPr>
            <w:tcW w:w="34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FEES</w:t>
            </w:r>
          </w:p>
        </w:tc>
        <w:tc>
          <w:tcPr>
            <w:tcW w:w="346" w:type="dxa"/>
            <w:tcBorders/>
            <w:vAlign w:val="center"/>
          </w:tcPr>
          <w:p>
            <w:pPr>
              <w:pStyle w:val="TableContents"/>
              <w:bidi w:val="0"/>
              <w:spacing w:lineRule="auto" w:line="285" w:before="0" w:after="0"/>
              <w:ind w:left="0" w:right="0" w:hanging="0"/>
              <w:jc w:val="center"/>
              <w:rPr/>
            </w:pPr>
            <w:r>
              <w:rPr/>
              <w:t>​</w:t>
            </w:r>
          </w:p>
        </w:tc>
        <w:tc>
          <w:tcPr>
            <w:tcW w:w="1381" w:type="dxa"/>
            <w:tcBorders/>
            <w:vAlign w:val="center"/>
          </w:tcPr>
          <w:p>
            <w:pPr>
              <w:pStyle w:val="TableContents"/>
              <w:bidi w:val="0"/>
              <w:spacing w:lineRule="auto" w:line="240" w:before="0" w:after="0"/>
              <w:ind w:left="0" w:right="0" w:hanging="0"/>
              <w:jc w:val="center"/>
              <w:rPr>
                <w:rFonts w:ascii="Arial;Helvetica;sans-serif" w:hAnsi="Arial;Helvetica;sans-serif"/>
                <w:sz w:val="16"/>
              </w:rPr>
            </w:pPr>
            <w:r>
              <w:rPr>
                <w:rFonts w:ascii="Arial;Helvetica;sans-serif" w:hAnsi="Arial;Helvetica;sans-serif"/>
                <w:b/>
                <w:sz w:val="16"/>
              </w:rPr>
              <w:t>OTHER FEES</w:t>
            </w:r>
            <w:r>
              <w:rPr>
                <w:rFonts w:ascii="Arial;Helvetica;sans-serif" w:hAnsi="Arial;Helvetica;sans-serif"/>
                <w:b/>
                <w:sz w:val="12"/>
              </w:rPr>
              <w:t>(3)</w:t>
            </w:r>
          </w:p>
        </w:tc>
      </w:tr>
      <w:tr>
        <w:trPr/>
        <w:tc>
          <w:tcPr>
            <w:tcW w:w="1561"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6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U.S. $</w:t>
            </w:r>
          </w:p>
        </w:tc>
        <w:tc>
          <w:tcPr>
            <w:tcW w:w="346" w:type="dxa"/>
            <w:tcBorders/>
            <w:vAlign w:val="center"/>
          </w:tcPr>
          <w:p>
            <w:pPr>
              <w:pStyle w:val="TableContents"/>
              <w:bidi w:val="0"/>
              <w:spacing w:lineRule="auto" w:line="285" w:before="0" w:after="0"/>
              <w:ind w:left="0" w:right="0" w:hanging="0"/>
              <w:jc w:val="center"/>
              <w:rPr/>
            </w:pPr>
            <w:r>
              <w:rPr/>
              <w:t>​</w:t>
            </w:r>
          </w:p>
        </w:tc>
        <w:tc>
          <w:tcPr>
            <w:tcW w:w="145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U.S. $</w:t>
            </w:r>
          </w:p>
        </w:tc>
        <w:tc>
          <w:tcPr>
            <w:tcW w:w="346" w:type="dxa"/>
            <w:tcBorders/>
            <w:vAlign w:val="center"/>
          </w:tcPr>
          <w:p>
            <w:pPr>
              <w:pStyle w:val="TableContents"/>
              <w:bidi w:val="0"/>
              <w:spacing w:lineRule="auto" w:line="285" w:before="0" w:after="0"/>
              <w:ind w:left="0" w:right="0" w:hanging="0"/>
              <w:jc w:val="center"/>
              <w:rPr/>
            </w:pPr>
            <w:r>
              <w:rPr/>
              <w:t>​</w:t>
            </w:r>
          </w:p>
        </w:tc>
        <w:tc>
          <w:tcPr>
            <w:tcW w:w="69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U.S. $</w:t>
            </w:r>
          </w:p>
        </w:tc>
        <w:tc>
          <w:tcPr>
            <w:tcW w:w="346" w:type="dxa"/>
            <w:tcBorders/>
            <w:vAlign w:val="center"/>
          </w:tcPr>
          <w:p>
            <w:pPr>
              <w:pStyle w:val="TableContents"/>
              <w:bidi w:val="0"/>
              <w:spacing w:lineRule="auto" w:line="285" w:before="0" w:after="0"/>
              <w:ind w:left="0" w:right="0" w:hanging="0"/>
              <w:jc w:val="center"/>
              <w:rPr/>
            </w:pPr>
            <w:r>
              <w:rPr/>
              <w:t>​</w:t>
            </w:r>
          </w:p>
        </w:tc>
        <w:tc>
          <w:tcPr>
            <w:tcW w:w="138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U.S. $</w:t>
            </w:r>
          </w:p>
        </w:tc>
      </w:tr>
      <w:tr>
        <w:trPr/>
        <w:tc>
          <w:tcPr>
            <w:tcW w:w="156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Fiscal year 2025</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96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5,619,578</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5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215,762</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38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2,132</w:t>
            </w:r>
          </w:p>
        </w:tc>
      </w:tr>
      <w:tr>
        <w:trPr/>
        <w:tc>
          <w:tcPr>
            <w:tcW w:w="156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Fiscal year 2024</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96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6,382,607</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5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230,937</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29,804</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381" w:type="dxa"/>
            <w:tcBorders>
              <w:bottom w:val="single" w:sz="2" w:space="0" w:color="D9D9D9"/>
            </w:tcBorders>
            <w:tcMar>
              <w:bottom w:w="28" w:type="dxa"/>
            </w:tcMar>
            <w:vAlign w:val="center"/>
          </w:tcPr>
          <w:p>
            <w:pPr>
              <w:pStyle w:val="TableContents"/>
              <w:bidi w:val="0"/>
              <w:spacing w:lineRule="auto" w:line="285" w:before="0" w:after="0"/>
              <w:ind w:left="0" w:right="60" w:hanging="0"/>
              <w:jc w:val="right"/>
              <w:rPr>
                <w:rFonts w:ascii="Arial;Helvetica;sans-serif" w:hAnsi="Arial;Helvetica;sans-serif"/>
                <w:sz w:val="20"/>
              </w:rPr>
            </w:pPr>
            <w:r>
              <w:rPr>
                <w:rFonts w:ascii="Arial;Helvetica;sans-serif" w:hAnsi="Arial;Helvetica;sans-serif"/>
                <w:sz w:val="20"/>
              </w:rPr>
              <w:t>2,132</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0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audit fees include those associated with our annual audit, reviews of our quarterly reports on Form 10-Q, statutory audits of our subsidiaries, services associated with documents filed with the SEC and audit consultations.</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0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audit-related fees include services in connection with accounting consultations related to matters affecting future audit periods, employee benefit plan audits and permitted non-audit services related to financial reporting.</w:t>
            </w:r>
          </w:p>
        </w:tc>
      </w:tr>
    </w:tbl>
    <w:tbl>
      <w:tblPr>
        <w:tblW w:w="5357" w:type="dxa"/>
        <w:jc w:val="left"/>
        <w:tblInd w:w="0" w:type="dxa"/>
        <w:tblLayout w:type="fixed"/>
        <w:tblCellMar>
          <w:top w:w="0" w:type="dxa"/>
          <w:left w:w="0" w:type="dxa"/>
          <w:bottom w:w="0" w:type="dxa"/>
          <w:right w:w="0" w:type="dxa"/>
        </w:tblCellMar>
      </w:tblPr>
      <w:tblGrid>
        <w:gridCol w:w="331"/>
        <w:gridCol w:w="5026"/>
      </w:tblGrid>
      <w:tr>
        <w:trPr/>
        <w:tc>
          <w:tcPr>
            <w:tcW w:w="33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50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All other fees were for other publications and subscription services.</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AUDIT COMMITTEE PRE-APPROVAL OF AUDIT AND NON-AUDIT SERVICES</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The Audit Committee pre-approves all audit, audit-related and permitted non-audit services (including the fees and terms thereof) to be performed by our independent registered public accounting firm and its affiliates. The Audit Committee has considered whether the provision of services rendered in 2025, other than the audit of our financial statements and reviews of quarterly financial statements, was compatible with maintaining the </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P-47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83" w:name="_b4beca3d_eed9_4384_893e_22035afa39d3"/>
      <w:bookmarkStart w:id="84" w:name="_a4fc868a_f54c_4c4d_b53f_6535709ed5ff"/>
      <w:bookmarkStart w:id="85" w:name="_0912a7ca_8de0_42e0_a1a8_426f5af2af75"/>
      <w:bookmarkStart w:id="86" w:name="_b4beca3d_eed9_4384_893e_22035afa39d3"/>
      <w:bookmarkStart w:id="87" w:name="_a4fc868a_f54c_4c4d_b53f_6535709ed5ff"/>
      <w:bookmarkStart w:id="88" w:name="_0912a7ca_8de0_42e0_a1a8_426f5af2af75"/>
      <w:bookmarkEnd w:id="86"/>
      <w:bookmarkEnd w:id="87"/>
      <w:bookmarkEnd w:id="88"/>
    </w:p>
    <w:tbl>
      <w:tblPr>
        <w:tblW w:w="2000" w:type="dxa"/>
        <w:jc w:val="left"/>
        <w:tblInd w:w="0" w:type="dxa"/>
        <w:tblLayout w:type="fixed"/>
        <w:tblCellMar>
          <w:top w:w="0" w:type="dxa"/>
          <w:left w:w="0" w:type="dxa"/>
          <w:bottom w:w="28" w:type="dxa"/>
          <w:right w:w="0" w:type="dxa"/>
        </w:tblCellMar>
      </w:tblPr>
      <w:tblGrid>
        <w:gridCol w:w="1846"/>
        <w:gridCol w:w="154"/>
      </w:tblGrid>
      <w:tr>
        <w:trPr/>
        <w:tc>
          <w:tcPr>
            <w:tcW w:w="1846" w:type="dxa"/>
            <w:tcBorders>
              <w:bottom w:val="single" w:sz="2" w:space="0" w:color="000000"/>
            </w:tcBorders>
            <w:vAlign w:val="center"/>
          </w:tcPr>
          <w:p>
            <w:pPr>
              <w:pStyle w:val="TableContents"/>
              <w:bidi w:val="0"/>
              <w:spacing w:lineRule="auto" w:line="285" w:before="0" w:after="0"/>
              <w:ind w:left="0" w:right="0" w:hanging="0"/>
              <w:jc w:val="both"/>
              <w:rPr/>
            </w:pPr>
            <w:r>
              <w:rPr/>
              <w:t>​</w:t>
            </w:r>
          </w:p>
        </w:tc>
        <w:tc>
          <w:tcPr>
            <w:tcW w:w="154" w:type="dxa"/>
            <w:tcBorders/>
            <w:tcMar>
              <w:bottom w:w="0" w:type="dxa"/>
            </w:tcMar>
            <w:vAlign w:val="center"/>
          </w:tcPr>
          <w:p>
            <w:pPr>
              <w:pStyle w:val="TableContents"/>
              <w:bidi w:val="0"/>
              <w:spacing w:lineRule="auto" w:line="285" w:before="0" w:after="0"/>
              <w:ind w:left="0" w:right="0" w:hanging="0"/>
              <w:jc w:val="both"/>
              <w:rPr/>
            </w:pPr>
            <w:r>
              <w:rPr/>
              <w:t>​</w:t>
            </w:r>
          </w:p>
        </w:tc>
      </w:tr>
      <w:tr>
        <w:trPr/>
        <w:tc>
          <w:tcPr>
            <w:tcW w:w="1846" w:type="dxa"/>
            <w:tcBorders>
              <w:top w:val="single" w:sz="2" w:space="0" w:color="000000"/>
              <w:bottom w:val="single" w:sz="12" w:space="0" w:color="D9D9D9"/>
            </w:tcBorders>
            <w:shd w:fill="005670" w:val="clear"/>
            <w:tcMar>
              <w:top w:w="28" w:type="dxa"/>
            </w:tcMar>
            <w:vAlign w:val="center"/>
          </w:tcPr>
          <w:p>
            <w:pPr>
              <w:pStyle w:val="TableContents"/>
              <w:bidi w:val="0"/>
              <w:spacing w:lineRule="auto" w:line="285" w:before="120" w:after="120"/>
              <w:ind w:left="0" w:right="0" w:hanging="0"/>
              <w:jc w:val="left"/>
              <w:rPr>
                <w:rFonts w:ascii="Arial;Helvetica;sans-serif" w:hAnsi="Arial;Helvetica;sans-serif"/>
                <w:color w:val="FFFFFF"/>
                <w:sz w:val="22"/>
              </w:rPr>
            </w:pPr>
            <w:r>
              <w:rPr>
                <w:rFonts w:ascii="Arial;Helvetica;sans-serif" w:hAnsi="Arial;Helvetica;sans-serif"/>
                <w:color w:val="FFFFFF"/>
                <w:sz w:val="22"/>
              </w:rPr>
              <w:t>AGENDA ITEM 9</w:t>
            </w:r>
          </w:p>
        </w:tc>
        <w:tc>
          <w:tcPr>
            <w:tcW w:w="154" w:type="dxa"/>
            <w:tcBorders>
              <w:bottom w:val="single" w:sz="12" w:space="0" w:color="D9D9D9"/>
            </w:tcBorders>
            <w:vAlign w:val="center"/>
          </w:tcPr>
          <w:p>
            <w:pPr>
              <w:pStyle w:val="TableContents"/>
              <w:bidi w:val="0"/>
              <w:spacing w:lineRule="auto" w:line="285" w:before="0" w:after="0"/>
              <w:ind w:left="0" w:right="0" w:hanging="0"/>
              <w:jc w:val="right"/>
              <w:rPr>
                <w:color w:val="FFFFFF"/>
              </w:rPr>
            </w:pPr>
            <w:r>
              <w:rPr>
                <w:color w:val="FFFFFF"/>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independence of Ernst &amp; Young LLP and determined that the provision of such services was compatible with maintaining such independence.</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Audit Committee has adopted policies and procedures for providing advance approval of services for such audit, audit-related and permitted non-audit services performed by the independent registered public accounting firm and its affiliates. These services require advance approval by the Audit Committee of all such work; provided that the Audit Committee may form subcommittees consisting of one or more members and delegate authority to such subcommittee to grant advance approvals of such work, so long as such advance approvals are presented to the full Audit Committee at its next scheduled meeting. The Audit Committee must provide advance approval for a service before the independent registered public accounting firm or its affiliate begins to perform the service. The Audit Committee has given advance approval for specified audit, audit-related, tax and other services for 2026. Requests for services that receive this advance approval are also subject to engagement fee pre-approval procedures, budget restrictions, as well as other internal controls.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P-48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Arial;Helvetica;sans-serif" w:hAnsi="Arial;Helvetica;sans-serif"/>
          <w:b/>
          <w:color w:val="ECA44A"/>
          <w:sz w:val="40"/>
        </w:rPr>
      </w:pPr>
      <w:bookmarkStart w:id="89" w:name="AGENDAITEM11"/>
      <w:bookmarkStart w:id="90" w:name="_db87bb8a_20fc_4fad_b218_5df7eca72fc7"/>
      <w:bookmarkEnd w:id="89"/>
      <w:bookmarkEnd w:id="90"/>
      <w:r>
        <w:rPr>
          <w:rFonts w:ascii="Arial;Helvetica;sans-serif" w:hAnsi="Arial;Helvetica;sans-serif"/>
          <w:b/>
          <w:color w:val="ECA44A"/>
          <w:sz w:val="40"/>
        </w:rPr>
        <w:t>AGENDA ITEM 10</w:t>
      </w:r>
    </w:p>
    <w:p>
      <w:pPr>
        <w:pStyle w:val="TextBody"/>
        <w:bidi w:val="0"/>
        <w:spacing w:lineRule="auto" w:line="285" w:before="0" w:after="200"/>
        <w:ind w:left="0" w:right="0" w:hanging="0"/>
        <w:jc w:val="both"/>
        <w:rPr>
          <w:rFonts w:ascii="Arial;Helvetica;sans-serif" w:hAnsi="Arial;Helvetica;sans-serif"/>
          <w:b w:val="false"/>
          <w:sz w:val="32"/>
        </w:rPr>
      </w:pPr>
      <w:r>
        <w:rPr>
          <w:rFonts w:ascii="Arial;Helvetica;sans-serif" w:hAnsi="Arial;Helvetica;sans-serif"/>
          <w:b w:val="false"/>
          <w:sz w:val="32"/>
        </w:rPr>
        <w:t>Advisory Vote to Approve Named Executive Officer Compensation for Fiscal Year 2026</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PROPOSAL OF THE BOARD OF DIRECTORS</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85" w:before="0" w:after="0"/>
              <w:ind w:left="0" w:right="0" w:hanging="0"/>
              <w:jc w:val="left"/>
              <w:rPr/>
            </w:pPr>
            <w:r>
              <w:rPr/>
              <w:t>​</w:t>
            </w:r>
          </w:p>
        </w:tc>
      </w:tr>
      <w:tr>
        <w:trPr/>
        <w:tc>
          <w:tcPr>
            <w:tcW w:w="10205" w:type="dxa"/>
            <w:tcBorders/>
            <w:shd w:fill="F2F2F2" w:val="clear"/>
            <w:vAlign w:val="center"/>
          </w:tcPr>
          <w:p>
            <w:pPr>
              <w:pStyle w:val="TableContents"/>
              <w:bidi w:val="0"/>
              <w:spacing w:lineRule="auto" w:line="285" w:before="120" w:after="200"/>
              <w:ind w:left="0" w:right="0" w:hanging="0"/>
              <w:jc w:val="both"/>
              <w:rPr>
                <w:rFonts w:ascii="Arial;Helvetica;sans-serif" w:hAnsi="Arial;Helvetica;sans-serif"/>
                <w:sz w:val="20"/>
              </w:rPr>
            </w:pPr>
            <w:r>
              <w:rPr>
                <w:rFonts w:ascii="Arial;Helvetica;sans-serif" w:hAnsi="Arial;Helvetica;sans-serif"/>
                <w:sz w:val="20"/>
              </w:rPr>
              <w:t>The Board of Directors recommends that you vote for the approval of the compensation of the Named Executive Officers as described in this proxy statement.</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Accordingly, you may vote on the following resolution:</w:t>
            </w:r>
          </w:p>
          <w:p>
            <w:pPr>
              <w:pStyle w:val="TableContents"/>
              <w:bidi w:val="0"/>
              <w:spacing w:lineRule="auto" w:line="285" w:before="0" w:after="120"/>
              <w:ind w:left="288" w:right="288" w:hanging="0"/>
              <w:jc w:val="both"/>
              <w:rPr>
                <w:rFonts w:ascii="Arial;Helvetica;sans-serif" w:hAnsi="Arial;Helvetica;sans-serif"/>
                <w:i/>
                <w:sz w:val="20"/>
              </w:rPr>
            </w:pPr>
            <w:r>
              <w:rPr>
                <w:rFonts w:ascii="Arial;Helvetica;sans-serif" w:hAnsi="Arial;Helvetica;sans-serif"/>
                <w:i/>
                <w:sz w:val="20"/>
              </w:rPr>
              <w:t>RESOLVED, that the compensation of the Company’s Named Executive Officers, as disclosed pursuant to the compensation disclosure rules of the SEC, including the Compensation Discussion and Analysis, the compensation tables, and the narrative disclosure in the proxy statement for the Company’s 2026 Annual General Meeting is hereby APPROVED.</w:t>
            </w:r>
          </w:p>
        </w:tc>
      </w:tr>
    </w:tbl>
    <w:p>
      <w:pPr>
        <w:pStyle w:val="TextBody"/>
        <w:bidi w:val="0"/>
        <w:spacing w:lineRule="auto" w:line="285" w:before="20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EXPLANATION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As required by Section 14A of the Exchange Act, the Company is providing its shareholders the opportunity to vote on an advisory basis to approve the compensation of the Company’s Named Executive Officers.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At the Company’s 2023 Annual General Meeting, the Company’s shareholders supported the Board of Directors’ recommendation to hold an advisory vote on executive compensation every year for the Company’s Named Executive Officers. As a result, the Board of Directors determined that the Company will hold an advisory vote on executive compensation once every year until the 2029 Annual General Meeting, which, in accordance with applicable law, is the next required vote on the frequency of shareholder votes on the compensation of Named Executive Officers of the Company.</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Our compensation program for our Named Executive Officers is designed to reward performance that creates long-term value for the Company’s shareholders through the following features, which are discussed in more detail in our Compensation Discussion and Analysis:</w:t>
      </w:r>
    </w:p>
    <w:tbl>
      <w:tblPr>
        <w:tblW w:w="10205" w:type="dxa"/>
        <w:jc w:val="left"/>
        <w:tblInd w:w="0" w:type="dxa"/>
        <w:tblLayout w:type="fixed"/>
        <w:tblCellMar>
          <w:top w:w="0" w:type="dxa"/>
          <w:left w:w="0" w:type="dxa"/>
          <w:bottom w:w="0" w:type="dxa"/>
          <w:right w:w="0" w:type="dxa"/>
        </w:tblCellMar>
      </w:tblPr>
      <w:tblGrid>
        <w:gridCol w:w="271"/>
        <w:gridCol w:w="3829"/>
        <w:gridCol w:w="109"/>
        <w:gridCol w:w="256"/>
        <w:gridCol w:w="5740"/>
      </w:tblGrid>
      <w:tr>
        <w:trPr/>
        <w:tc>
          <w:tcPr>
            <w:tcW w:w="271" w:type="dxa"/>
            <w:tcBorders/>
            <w:vAlign w:val="center"/>
          </w:tcPr>
          <w:p>
            <w:pPr>
              <w:pStyle w:val="TableContents"/>
              <w:bidi w:val="0"/>
              <w:spacing w:lineRule="auto" w:line="285" w:before="0" w:after="0"/>
              <w:ind w:left="0" w:right="0" w:hanging="0"/>
              <w:jc w:val="both"/>
              <w:rPr/>
            </w:pPr>
            <w:r>
              <w:rPr/>
              <w:t>​</w:t>
            </w:r>
          </w:p>
        </w:tc>
        <w:tc>
          <w:tcPr>
            <w:tcW w:w="382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256" w:type="dxa"/>
            <w:tcBorders/>
            <w:vAlign w:val="center"/>
          </w:tcPr>
          <w:p>
            <w:pPr>
              <w:pStyle w:val="TableContents"/>
              <w:bidi w:val="0"/>
              <w:spacing w:lineRule="auto" w:line="285" w:before="0" w:after="0"/>
              <w:ind w:left="0" w:right="0" w:hanging="0"/>
              <w:jc w:val="both"/>
              <w:rPr/>
            </w:pPr>
            <w:r>
              <w:rPr/>
              <w:t>​</w:t>
            </w:r>
          </w:p>
        </w:tc>
        <w:tc>
          <w:tcPr>
            <w:tcW w:w="5740" w:type="dxa"/>
            <w:tcBorders/>
            <w:vAlign w:val="center"/>
          </w:tcPr>
          <w:p>
            <w:pPr>
              <w:pStyle w:val="TableContents"/>
              <w:bidi w:val="0"/>
              <w:spacing w:lineRule="auto" w:line="285" w:before="0" w:after="0"/>
              <w:ind w:left="0" w:right="0" w:hanging="0"/>
              <w:jc w:val="both"/>
              <w:rPr/>
            </w:pPr>
            <w:r>
              <w:rPr/>
              <w:t>​</w:t>
            </w:r>
          </w:p>
        </w:tc>
      </w:tr>
      <w:tr>
        <w:trPr/>
        <w:tc>
          <w:tcPr>
            <w:tcW w:w="271" w:type="dxa"/>
            <w:tcBorders/>
            <w:vAlign w:val="center"/>
          </w:tcPr>
          <w:p>
            <w:pPr>
              <w:pStyle w:val="TableContents"/>
              <w:bidi w:val="0"/>
              <w:spacing w:lineRule="auto" w:line="285" w:before="0" w:after="0"/>
              <w:ind w:left="0" w:right="0" w:hanging="0"/>
              <w:jc w:val="right"/>
              <w:rPr>
                <w:color w:val="005670"/>
              </w:rPr>
            </w:pPr>
            <w:r>
              <w:rPr>
                <w:color w:val="005670"/>
              </w:rPr>
              <w:t>■</w:t>
            </w:r>
          </w:p>
        </w:tc>
        <w:tc>
          <w:tcPr>
            <w:tcW w:w="3829"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Annual cash bonuses based on performance as measured against pre-determined performance goals;</w:t>
            </w:r>
          </w:p>
        </w:tc>
        <w:tc>
          <w:tcPr>
            <w:tcW w:w="109" w:type="dxa"/>
            <w:tcBorders/>
            <w:vAlign w:val="center"/>
          </w:tcPr>
          <w:p>
            <w:pPr>
              <w:pStyle w:val="TableContents"/>
              <w:bidi w:val="0"/>
              <w:spacing w:lineRule="auto" w:line="285" w:before="0" w:after="0"/>
              <w:ind w:left="0" w:right="0" w:hanging="0"/>
              <w:jc w:val="both"/>
              <w:rPr/>
            </w:pPr>
            <w:r>
              <w:rPr/>
              <w:t>​</w:t>
            </w:r>
          </w:p>
        </w:tc>
        <w:tc>
          <w:tcPr>
            <w:tcW w:w="256" w:type="dxa"/>
            <w:tcBorders/>
            <w:vAlign w:val="center"/>
          </w:tcPr>
          <w:p>
            <w:pPr>
              <w:pStyle w:val="TableContents"/>
              <w:bidi w:val="0"/>
              <w:spacing w:lineRule="auto" w:line="285" w:before="0" w:after="0"/>
              <w:ind w:left="0" w:right="0" w:hanging="0"/>
              <w:jc w:val="right"/>
              <w:rPr>
                <w:color w:val="005670"/>
              </w:rPr>
            </w:pPr>
            <w:r>
              <w:rPr>
                <w:color w:val="005670"/>
              </w:rPr>
              <w:t>■</w:t>
            </w:r>
          </w:p>
        </w:tc>
        <w:tc>
          <w:tcPr>
            <w:tcW w:w="5740"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 share ownership policy that requires our executive officers to build and maintain an appropriate equity stake in the Company to further align our executive officers’ interests with the long-term interests of our shareholders;</w:t>
            </w:r>
          </w:p>
        </w:tc>
      </w:tr>
      <w:tr>
        <w:trPr/>
        <w:tc>
          <w:tcPr>
            <w:tcW w:w="271" w:type="dxa"/>
            <w:tcBorders/>
            <w:vAlign w:val="center"/>
          </w:tcPr>
          <w:p>
            <w:pPr>
              <w:pStyle w:val="TableContents"/>
              <w:bidi w:val="0"/>
              <w:spacing w:lineRule="auto" w:line="285" w:before="100" w:after="0"/>
              <w:ind w:left="0" w:right="0" w:hanging="0"/>
              <w:jc w:val="right"/>
              <w:rPr>
                <w:color w:val="005670"/>
              </w:rPr>
            </w:pPr>
            <w:r>
              <w:rPr>
                <w:color w:val="005670"/>
              </w:rPr>
              <w:t>■</w:t>
            </w:r>
          </w:p>
        </w:tc>
        <w:tc>
          <w:tcPr>
            <w:tcW w:w="3829" w:type="dxa"/>
            <w:tcBorders/>
            <w:vAlign w:val="center"/>
          </w:tcPr>
          <w:p>
            <w:pPr>
              <w:pStyle w:val="TableContents"/>
              <w:bidi w:val="0"/>
              <w:spacing w:lineRule="auto" w:line="285" w:before="100" w:after="0"/>
              <w:ind w:left="0" w:right="0" w:hanging="0"/>
              <w:jc w:val="left"/>
              <w:rPr>
                <w:rFonts w:ascii="Arial;Helvetica;sans-serif" w:hAnsi="Arial;Helvetica;sans-serif"/>
                <w:sz w:val="18"/>
              </w:rPr>
            </w:pPr>
            <w:r>
              <w:rPr>
                <w:rFonts w:ascii="Arial;Helvetica;sans-serif" w:hAnsi="Arial;Helvetica;sans-serif"/>
                <w:sz w:val="18"/>
              </w:rPr>
              <w:t>A compensation mix weighted toward long-term incentives to allow our Named Executive Officers to participate in the long-term growth and profitability of the Company;</w:t>
            </w:r>
          </w:p>
        </w:tc>
        <w:tc>
          <w:tcPr>
            <w:tcW w:w="109" w:type="dxa"/>
            <w:tcBorders/>
            <w:vAlign w:val="center"/>
          </w:tcPr>
          <w:p>
            <w:pPr>
              <w:pStyle w:val="TableContents"/>
              <w:bidi w:val="0"/>
              <w:spacing w:lineRule="auto" w:line="285" w:before="100" w:after="0"/>
              <w:ind w:left="0" w:right="0" w:hanging="0"/>
              <w:jc w:val="both"/>
              <w:rPr/>
            </w:pPr>
            <w:r>
              <w:rPr/>
              <w:t>​</w:t>
            </w:r>
          </w:p>
        </w:tc>
        <w:tc>
          <w:tcPr>
            <w:tcW w:w="256" w:type="dxa"/>
            <w:tcBorders/>
            <w:vAlign w:val="center"/>
          </w:tcPr>
          <w:p>
            <w:pPr>
              <w:pStyle w:val="TableContents"/>
              <w:bidi w:val="0"/>
              <w:spacing w:lineRule="auto" w:line="285" w:before="100" w:after="0"/>
              <w:ind w:left="0" w:right="0" w:hanging="0"/>
              <w:jc w:val="right"/>
              <w:rPr>
                <w:color w:val="005670"/>
              </w:rPr>
            </w:pPr>
            <w:r>
              <w:rPr>
                <w:color w:val="005670"/>
              </w:rPr>
              <w:t>■</w:t>
            </w:r>
          </w:p>
        </w:tc>
        <w:tc>
          <w:tcPr>
            <w:tcW w:w="5740" w:type="dxa"/>
            <w:tcBorders/>
            <w:vAlign w:val="center"/>
          </w:tcPr>
          <w:p>
            <w:pPr>
              <w:pStyle w:val="TableContents"/>
              <w:bidi w:val="0"/>
              <w:spacing w:lineRule="auto" w:line="285" w:before="100" w:after="0"/>
              <w:ind w:left="0" w:right="0" w:hanging="0"/>
              <w:jc w:val="left"/>
              <w:rPr>
                <w:rFonts w:ascii="Arial;Helvetica;sans-serif" w:hAnsi="Arial;Helvetica;sans-serif"/>
                <w:sz w:val="18"/>
              </w:rPr>
            </w:pPr>
            <w:r>
              <w:rPr>
                <w:rFonts w:ascii="Arial;Helvetica;sans-serif" w:hAnsi="Arial;Helvetica;sans-serif"/>
                <w:sz w:val="18"/>
              </w:rPr>
              <w:t>Hedging and pledging policies that prohibit any of our executive officers from hedging or pledging our shares or holding derivative instruments tied to our shares, other than derivative instruments issued by us; and</w:t>
            </w:r>
          </w:p>
        </w:tc>
      </w:tr>
      <w:tr>
        <w:trPr/>
        <w:tc>
          <w:tcPr>
            <w:tcW w:w="271" w:type="dxa"/>
            <w:tcBorders/>
            <w:vAlign w:val="center"/>
          </w:tcPr>
          <w:p>
            <w:pPr>
              <w:pStyle w:val="TableContents"/>
              <w:bidi w:val="0"/>
              <w:spacing w:lineRule="auto" w:line="285" w:before="100" w:after="0"/>
              <w:ind w:left="0" w:right="0" w:hanging="0"/>
              <w:jc w:val="right"/>
              <w:rPr>
                <w:color w:val="005670"/>
              </w:rPr>
            </w:pPr>
            <w:r>
              <w:rPr>
                <w:color w:val="005670"/>
              </w:rPr>
              <w:t>■</w:t>
            </w:r>
          </w:p>
        </w:tc>
        <w:tc>
          <w:tcPr>
            <w:tcW w:w="3829" w:type="dxa"/>
            <w:tcBorders/>
            <w:vAlign w:val="center"/>
          </w:tcPr>
          <w:p>
            <w:pPr>
              <w:pStyle w:val="TableContents"/>
              <w:bidi w:val="0"/>
              <w:spacing w:lineRule="auto" w:line="285" w:before="100" w:after="0"/>
              <w:ind w:left="0" w:right="0" w:hanging="0"/>
              <w:jc w:val="left"/>
              <w:rPr>
                <w:rFonts w:ascii="Arial;Helvetica;sans-serif" w:hAnsi="Arial;Helvetica;sans-serif"/>
                <w:sz w:val="18"/>
              </w:rPr>
            </w:pPr>
            <w:r>
              <w:rPr>
                <w:rFonts w:ascii="Arial;Helvetica;sans-serif" w:hAnsi="Arial;Helvetica;sans-serif"/>
                <w:sz w:val="18"/>
              </w:rPr>
              <w:t>Long-term incentives include performance units that vest based upon the Company’s total shareholder return compared to the companies in our performance peer groups and Free Cash Flow generation;</w:t>
            </w:r>
          </w:p>
        </w:tc>
        <w:tc>
          <w:tcPr>
            <w:tcW w:w="109" w:type="dxa"/>
            <w:tcBorders/>
            <w:vAlign w:val="center"/>
          </w:tcPr>
          <w:p>
            <w:pPr>
              <w:pStyle w:val="TableContents"/>
              <w:bidi w:val="0"/>
              <w:spacing w:lineRule="auto" w:line="285" w:before="100" w:after="0"/>
              <w:ind w:left="0" w:right="0" w:hanging="0"/>
              <w:jc w:val="both"/>
              <w:rPr/>
            </w:pPr>
            <w:r>
              <w:rPr/>
              <w:t>​</w:t>
            </w:r>
          </w:p>
        </w:tc>
        <w:tc>
          <w:tcPr>
            <w:tcW w:w="256" w:type="dxa"/>
            <w:tcBorders/>
            <w:vAlign w:val="center"/>
          </w:tcPr>
          <w:p>
            <w:pPr>
              <w:pStyle w:val="TableContents"/>
              <w:bidi w:val="0"/>
              <w:spacing w:lineRule="auto" w:line="285" w:before="0" w:after="0"/>
              <w:ind w:left="0" w:right="0" w:hanging="0"/>
              <w:jc w:val="right"/>
              <w:rPr>
                <w:color w:val="005670"/>
              </w:rPr>
            </w:pPr>
            <w:r>
              <w:rPr>
                <w:color w:val="005670"/>
              </w:rPr>
              <w:t>■</w:t>
            </w:r>
          </w:p>
        </w:tc>
        <w:tc>
          <w:tcPr>
            <w:tcW w:w="5740"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The Executive Officer Incentive-Based Compensation Recoupment Policy, a clawback policy in accordance with SEC and NYSE requirements, providing for the recovery of certain erroneously awarded incentive-based compensation (cash and equity) received by current and former executive officers in the case of an accounting restatement.</w:t>
            </w:r>
          </w:p>
        </w:tc>
      </w:tr>
      <w:tr>
        <w:trPr/>
        <w:tc>
          <w:tcPr>
            <w:tcW w:w="271" w:type="dxa"/>
            <w:tcBorders/>
            <w:vAlign w:val="center"/>
          </w:tcPr>
          <w:p>
            <w:pPr>
              <w:pStyle w:val="TableContents"/>
              <w:bidi w:val="0"/>
              <w:spacing w:lineRule="auto" w:line="285" w:before="100" w:after="0"/>
              <w:ind w:left="0" w:right="0" w:hanging="0"/>
              <w:jc w:val="right"/>
              <w:rPr>
                <w:color w:val="005670"/>
              </w:rPr>
            </w:pPr>
            <w:r>
              <w:rPr>
                <w:color w:val="005670"/>
              </w:rPr>
              <w:t>■</w:t>
            </w:r>
          </w:p>
        </w:tc>
        <w:tc>
          <w:tcPr>
            <w:tcW w:w="3829" w:type="dxa"/>
            <w:tcBorders/>
            <w:vAlign w:val="center"/>
          </w:tcPr>
          <w:p>
            <w:pPr>
              <w:pStyle w:val="TableContents"/>
              <w:bidi w:val="0"/>
              <w:spacing w:lineRule="auto" w:line="285" w:before="100" w:after="0"/>
              <w:ind w:left="0" w:right="0" w:hanging="0"/>
              <w:jc w:val="left"/>
              <w:rPr>
                <w:rFonts w:ascii="Arial;Helvetica;sans-serif" w:hAnsi="Arial;Helvetica;sans-serif"/>
                <w:sz w:val="18"/>
              </w:rPr>
            </w:pPr>
            <w:r>
              <w:rPr>
                <w:rFonts w:ascii="Arial;Helvetica;sans-serif" w:hAnsi="Arial;Helvetica;sans-serif"/>
                <w:sz w:val="18"/>
              </w:rPr>
              <w:t>Median pay positioning for target performance, above median pay for above target performance, and below median pay for below target performance;</w:t>
            </w:r>
          </w:p>
        </w:tc>
        <w:tc>
          <w:tcPr>
            <w:tcW w:w="109" w:type="dxa"/>
            <w:tcBorders/>
            <w:vAlign w:val="center"/>
          </w:tcPr>
          <w:p>
            <w:pPr>
              <w:pStyle w:val="TableContents"/>
              <w:bidi w:val="0"/>
              <w:spacing w:lineRule="auto" w:line="285" w:before="100" w:after="0"/>
              <w:ind w:left="0" w:right="0" w:hanging="0"/>
              <w:jc w:val="both"/>
              <w:rPr/>
            </w:pPr>
            <w:r>
              <w:rPr/>
              <w:t>​</w:t>
            </w:r>
          </w:p>
        </w:tc>
        <w:tc>
          <w:tcPr>
            <w:tcW w:w="256" w:type="dxa"/>
            <w:tcBorders/>
            <w:vAlign w:val="center"/>
          </w:tcPr>
          <w:p>
            <w:pPr>
              <w:pStyle w:val="TableContents"/>
              <w:bidi w:val="0"/>
              <w:spacing w:lineRule="auto" w:line="285" w:before="100" w:after="0"/>
              <w:ind w:left="0" w:right="0" w:hanging="0"/>
              <w:jc w:val="both"/>
              <w:rPr/>
            </w:pPr>
            <w:r>
              <w:rPr/>
              <w:t>​</w:t>
            </w:r>
          </w:p>
        </w:tc>
        <w:tc>
          <w:tcPr>
            <w:tcW w:w="5740" w:type="dxa"/>
            <w:tcBorders/>
            <w:vAlign w:val="center"/>
          </w:tcPr>
          <w:p>
            <w:pPr>
              <w:pStyle w:val="TableContents"/>
              <w:bidi w:val="0"/>
              <w:spacing w:lineRule="auto" w:line="285" w:before="0" w:after="0"/>
              <w:ind w:left="0" w:right="0" w:hanging="0"/>
              <w:jc w:val="left"/>
              <w:rPr>
                <w:shd w:fill="FFFF00" w:val="clear"/>
              </w:rPr>
            </w:pPr>
            <w:r>
              <w:rPr>
                <w:shd w:fill="FFFF00" w:val="clea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P-49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91" w:name="_4bf4e380_efbd_42d3_b437_a45669b963b4"/>
      <w:bookmarkStart w:id="92" w:name="_d4ca8cae_262d_4dae_b4b5_a60c83d2a6d0"/>
      <w:bookmarkStart w:id="93" w:name="_589718c6_b10a_4be0_92d5_ca8c52400072"/>
      <w:bookmarkStart w:id="94" w:name="_2fcdd192_2b98_4bb1_89fc_a63a44102902"/>
      <w:bookmarkStart w:id="95" w:name="_4bf4e380_efbd_42d3_b437_a45669b963b4"/>
      <w:bookmarkStart w:id="96" w:name="_d4ca8cae_262d_4dae_b4b5_a60c83d2a6d0"/>
      <w:bookmarkStart w:id="97" w:name="_589718c6_b10a_4be0_92d5_ca8c52400072"/>
      <w:bookmarkStart w:id="98" w:name="_2fcdd192_2b98_4bb1_89fc_a63a44102902"/>
      <w:bookmarkEnd w:id="95"/>
      <w:bookmarkEnd w:id="96"/>
      <w:bookmarkEnd w:id="97"/>
      <w:bookmarkEnd w:id="98"/>
    </w:p>
    <w:tbl>
      <w:tblPr>
        <w:tblW w:w="1910" w:type="dxa"/>
        <w:jc w:val="left"/>
        <w:tblInd w:w="0" w:type="dxa"/>
        <w:tblLayout w:type="fixed"/>
        <w:tblCellMar>
          <w:top w:w="0" w:type="dxa"/>
          <w:left w:w="0" w:type="dxa"/>
          <w:bottom w:w="0" w:type="dxa"/>
          <w:right w:w="0" w:type="dxa"/>
        </w:tblCellMar>
      </w:tblPr>
      <w:tblGrid>
        <w:gridCol w:w="1756"/>
        <w:gridCol w:w="154"/>
      </w:tblGrid>
      <w:tr>
        <w:trPr/>
        <w:tc>
          <w:tcPr>
            <w:tcW w:w="1756"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75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left"/>
              <w:rPr>
                <w:rFonts w:ascii="Arial;Helvetica;sans-serif" w:hAnsi="Arial;Helvetica;sans-serif"/>
                <w:color w:val="FFFFFF"/>
                <w:sz w:val="20"/>
              </w:rPr>
            </w:pPr>
            <w:r>
              <w:rPr>
                <w:rFonts w:ascii="Arial;Helvetica;sans-serif" w:hAnsi="Arial;Helvetica;sans-serif"/>
                <w:color w:val="FFFFFF"/>
                <w:sz w:val="20"/>
              </w:rPr>
              <w:t>AGENDA ITEM 10</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color w:val="FFFFFF"/>
              </w:rPr>
            </w:pPr>
            <w:r>
              <w:rPr>
                <w:color w:val="FFFFFF"/>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vote on this proposal is advisory and therefore not binding on the Company, the Compensation Committee or the Board of Directors. The Board of Directors and the Compensation Committee value the opinions of our shareholders. Following the 2026 Annual General Meeting, we will consider our shareholders’ feedback and the Compensation Committee will evaluate whether any actions are necessary to address it.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85" w:before="0" w:after="0"/>
              <w:ind w:left="0" w:right="0" w:hanging="0"/>
              <w:jc w:val="both"/>
              <w:rPr/>
            </w:pPr>
            <w:r>
              <w:rPr/>
              <w:t>​</w:t>
            </w:r>
          </w:p>
        </w:tc>
      </w:tr>
      <w:tr>
        <w:trPr/>
        <w:tc>
          <w:tcPr>
            <w:tcW w:w="10205" w:type="dxa"/>
            <w:tcBorders/>
            <w:shd w:fill="ECA44A" w:val="clear"/>
            <w:vAlign w:val="center"/>
          </w:tcPr>
          <w:p>
            <w:pPr>
              <w:pStyle w:val="TableContents"/>
              <w:bidi w:val="0"/>
              <w:spacing w:lineRule="auto" w:line="285" w:before="200" w:after="120"/>
              <w:ind w:left="0" w:right="0" w:hanging="0"/>
              <w:jc w:val="center"/>
              <w:rPr>
                <w:rFonts w:ascii="Arial;Helvetica;sans-serif" w:hAnsi="Arial;Helvetica;sans-serif"/>
                <w:b/>
                <w:color w:val="FFFFFF"/>
                <w:sz w:val="28"/>
              </w:rPr>
            </w:pPr>
            <w:r>
              <w:rPr>
                <w:rFonts w:ascii="Arial;Helvetica;sans-serif" w:hAnsi="Arial;Helvetica;sans-serif"/>
                <w:b/>
                <w:color w:val="FFFFFF"/>
                <w:sz w:val="28"/>
              </w:rPr>
              <w:t>RECOMMENDATION</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color w:val="F2F2F2"/>
                <w:sz w:val="20"/>
              </w:rPr>
              <w:t xml:space="preserve">The Board of Directors recommends that you vote </w:t>
            </w:r>
            <w:r>
              <w:rPr>
                <w:rFonts w:ascii="Arial;Helvetica;sans-serif" w:hAnsi="Arial;Helvetica;sans-serif"/>
                <w:b/>
                <w:color w:val="F2F2F2"/>
                <w:sz w:val="20"/>
              </w:rPr>
              <w:t>FOR</w:t>
            </w:r>
            <w:r>
              <w:rPr>
                <w:rFonts w:ascii="Arial;Helvetica;sans-serif" w:hAnsi="Arial;Helvetica;sans-serif"/>
                <w:color w:val="F2F2F2"/>
                <w:sz w:val="20"/>
              </w:rPr>
              <w:t xml:space="preserve"> approval of the compensation of the Company’s Named Executive Officers, as disclosed pursuant to the compensation disclosure rules of the SEC, including the Compensation Discussion and Analysis, the compensation tables, and the narrative disclosure in this proxy statement.</w:t>
            </w:r>
          </w:p>
        </w:tc>
      </w:tr>
    </w:tbl>
    <w:p>
      <w:pPr>
        <w:pStyle w:val="TextBody"/>
        <w:bidi w:val="0"/>
        <w:spacing w:lineRule="auto" w:line="285" w:before="0" w:after="0"/>
        <w:ind w:left="0" w:right="0" w:hanging="0"/>
        <w:jc w:val="left"/>
        <w:rPr/>
      </w:pPr>
      <w:r>
        <w:rPr/>
        <w:t>​</w:t>
      </w:r>
    </w:p>
    <w:p>
      <w:pPr>
        <w:pStyle w:val="TextBody"/>
        <w:bidi w:val="0"/>
        <w:spacing w:lineRule="auto" w:line="285" w:before="0" w:after="200"/>
        <w:ind w:left="0" w:right="0" w:hanging="0"/>
        <w:jc w:val="both"/>
        <w:rPr/>
      </w:pPr>
      <w:r>
        <w:rPr/>
        <w:t>​</w:t>
      </w:r>
    </w:p>
    <w:p>
      <w:pPr>
        <w:pStyle w:val="TextBody"/>
        <w:bidi w:val="0"/>
        <w:spacing w:lineRule="auto" w:line="285" w:before="0" w:after="20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P-50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Arial;Helvetica;sans-serif" w:hAnsi="Arial;Helvetica;sans-serif"/>
          <w:b/>
          <w:color w:val="ECA44A"/>
          <w:sz w:val="40"/>
        </w:rPr>
      </w:pPr>
      <w:bookmarkStart w:id="99" w:name="AGENDAITEM12"/>
      <w:bookmarkStart w:id="100" w:name="_Toc156853312"/>
      <w:bookmarkStart w:id="101" w:name="_f8c0d915_812d_4512_8882_45a4fa3be3f4"/>
      <w:bookmarkEnd w:id="99"/>
      <w:bookmarkEnd w:id="100"/>
      <w:bookmarkEnd w:id="101"/>
      <w:r>
        <w:rPr>
          <w:rFonts w:ascii="Arial;Helvetica;sans-serif" w:hAnsi="Arial;Helvetica;sans-serif"/>
          <w:b/>
          <w:color w:val="ECA44A"/>
          <w:sz w:val="40"/>
        </w:rPr>
        <w:t>AGENDA ITEM 11</w:t>
      </w:r>
    </w:p>
    <w:p>
      <w:pPr>
        <w:pStyle w:val="TextBody"/>
        <w:bidi w:val="0"/>
        <w:spacing w:lineRule="auto" w:line="285" w:before="0" w:after="200"/>
        <w:ind w:left="0" w:right="0" w:hanging="0"/>
        <w:jc w:val="both"/>
        <w:rPr>
          <w:rFonts w:ascii="Arial;Helvetica;sans-serif" w:hAnsi="Arial;Helvetica;sans-serif"/>
          <w:b w:val="false"/>
          <w:sz w:val="32"/>
        </w:rPr>
      </w:pPr>
      <w:r>
        <w:rPr>
          <w:rFonts w:ascii="Arial;Helvetica;sans-serif" w:hAnsi="Arial;Helvetica;sans-serif"/>
          <w:b w:val="false"/>
          <w:sz w:val="32"/>
        </w:rPr>
        <w:t>Prospective Vote on the Maximum Compensation of (A) the Board of Directors and (B) the Executive Management Team</w:t>
      </w:r>
    </w:p>
    <w:tbl>
      <w:tblPr>
        <w:tblW w:w="10205" w:type="dxa"/>
        <w:jc w:val="left"/>
        <w:tblInd w:w="0" w:type="dxa"/>
        <w:tblLayout w:type="fixed"/>
        <w:tblCellMar>
          <w:top w:w="0" w:type="dxa"/>
          <w:left w:w="0" w:type="dxa"/>
          <w:bottom w:w="0" w:type="dxa"/>
          <w:right w:w="0" w:type="dxa"/>
        </w:tblCellMar>
      </w:tblPr>
      <w:tblGrid>
        <w:gridCol w:w="706"/>
        <w:gridCol w:w="9499"/>
      </w:tblGrid>
      <w:tr>
        <w:trPr/>
        <w:tc>
          <w:tcPr>
            <w:tcW w:w="706" w:type="dxa"/>
            <w:tcBorders/>
            <w:vAlign w:val="center"/>
          </w:tcPr>
          <w:p>
            <w:pPr>
              <w:pStyle w:val="TableContents"/>
              <w:pBdr/>
              <w:bidi w:val="0"/>
              <w:spacing w:lineRule="auto" w:line="285" w:before="0" w:after="0"/>
              <w:ind w:left="0" w:right="0" w:hanging="0"/>
              <w:jc w:val="both"/>
              <w:rPr/>
            </w:pPr>
            <w:r>
              <w:rPr/>
              <w:t>​</w:t>
            </w:r>
          </w:p>
        </w:tc>
        <w:tc>
          <w:tcPr>
            <w:tcW w:w="9499" w:type="dxa"/>
            <w:tcBorders/>
            <w:vAlign w:val="center"/>
          </w:tcPr>
          <w:p>
            <w:pPr>
              <w:pStyle w:val="TableContents"/>
              <w:pBdr/>
              <w:bidi w:val="0"/>
              <w:spacing w:lineRule="auto" w:line="285" w:before="0" w:after="0"/>
              <w:ind w:left="0" w:right="0" w:hanging="0"/>
              <w:jc w:val="both"/>
              <w:rPr/>
            </w:pPr>
            <w:r>
              <w:rPr/>
              <w:t>​</w:t>
            </w:r>
          </w:p>
        </w:tc>
      </w:tr>
      <w:tr>
        <w:trPr/>
        <w:tc>
          <w:tcPr>
            <w:tcW w:w="706" w:type="dxa"/>
            <w:tcBorders/>
            <w:vAlign w:val="center"/>
          </w:tcPr>
          <w:p>
            <w:pPr>
              <w:pStyle w:val="TableContents"/>
              <w:bidi w:val="0"/>
              <w:spacing w:lineRule="auto" w:line="285" w:before="100" w:after="100"/>
              <w:ind w:left="0" w:right="0" w:hanging="0"/>
              <w:jc w:val="both"/>
              <w:rPr>
                <w:rFonts w:ascii="Arial;Helvetica;sans-serif" w:hAnsi="Arial;Helvetica;sans-serif"/>
                <w:b/>
                <w:color w:val="ECA44A"/>
                <w:sz w:val="32"/>
              </w:rPr>
            </w:pPr>
            <w:r>
              <w:rPr>
                <w:rFonts w:ascii="Arial;Helvetica;sans-serif" w:hAnsi="Arial;Helvetica;sans-serif"/>
                <w:b/>
                <w:color w:val="ECA44A"/>
                <w:sz w:val="32"/>
              </w:rPr>
              <w:t>11A</w:t>
            </w:r>
          </w:p>
        </w:tc>
        <w:tc>
          <w:tcPr>
            <w:tcW w:w="9499" w:type="dxa"/>
            <w:tcBorders/>
            <w:vAlign w:val="center"/>
          </w:tcPr>
          <w:p>
            <w:pPr>
              <w:pStyle w:val="TableContents"/>
              <w:bidi w:val="0"/>
              <w:spacing w:lineRule="auto" w:line="285" w:before="0" w:after="0"/>
              <w:ind w:left="0" w:right="0" w:hanging="0"/>
              <w:jc w:val="both"/>
              <w:rPr>
                <w:rFonts w:ascii="Arial;Helvetica;sans-serif" w:hAnsi="Arial;Helvetica;sans-serif"/>
                <w:sz w:val="28"/>
              </w:rPr>
            </w:pPr>
            <w:r>
              <w:rPr>
                <w:rFonts w:ascii="Arial;Helvetica;sans-serif" w:hAnsi="Arial;Helvetica;sans-serif"/>
                <w:sz w:val="28"/>
              </w:rPr>
              <w:t>Ratification of the Maximum Aggregate Amount of Compensation of the Board of Directors for the Period Between the 2026 Annual General Meeting and the 2027 Annual General Meeting</w:t>
            </w:r>
          </w:p>
        </w:tc>
      </w:tr>
    </w:tbl>
    <w:p>
      <w:pPr>
        <w:pStyle w:val="TextBody"/>
        <w:bidi w:val="0"/>
        <w:spacing w:lineRule="auto" w:line="285" w:before="0" w:after="20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PROPOSAL OF THE BOARD OF DIRECTORS</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85" w:before="0" w:after="0"/>
              <w:ind w:left="0" w:right="0" w:hanging="0"/>
              <w:jc w:val="both"/>
              <w:rPr/>
            </w:pPr>
            <w:r>
              <w:rPr/>
              <w:t>​</w:t>
            </w:r>
          </w:p>
        </w:tc>
      </w:tr>
      <w:tr>
        <w:trPr/>
        <w:tc>
          <w:tcPr>
            <w:tcW w:w="10205" w:type="dxa"/>
            <w:tcBorders/>
            <w:shd w:fill="F2F2F2" w:val="clear"/>
            <w:vAlign w:val="center"/>
          </w:tcPr>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The Board of Directors proposes that the shareholders ratify an amount of $4,121,000 as the maximum aggregate amount of compensation of the Board of Directors for the period between the 2026 Annual General Meeting and the 2027 Annual General Meeting.</w:t>
            </w:r>
          </w:p>
        </w:tc>
      </w:tr>
    </w:tbl>
    <w:p>
      <w:pPr>
        <w:pStyle w:val="TextBody"/>
        <w:bidi w:val="0"/>
        <w:spacing w:lineRule="auto" w:line="285" w:before="0" w:after="20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EXPLANATION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As required by our Articles of Association and the Swiss Code, the shareholders are provided the opportunity to vote on the maximum aggregate amount of compensation that can be paid or granted to the members of the Board of Directors who are not employees for the period between the 2026 Annual General Meeting and the 2027 Annual General Meeting (the “2026/2027 Term”). The shareholder vote is binding.</w:t>
      </w:r>
    </w:p>
    <w:p>
      <w:pPr>
        <w:pStyle w:val="TextBody"/>
        <w:bidi w:val="0"/>
        <w:spacing w:lineRule="auto" w:line="285" w:before="0" w:after="200"/>
        <w:ind w:left="0" w:right="0" w:hanging="0"/>
        <w:jc w:val="both"/>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DIRECTORS’ COMPENSATION PRINCIPLES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general principles of the compensation for our Board of Directors are described in Article 29b of our Articles of Association.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We use a combination of cash and equity compensation to attract and retain qualified candidates to serve on our Board of Directors. Our directors’ compensation consists of:</w:t>
      </w:r>
    </w:p>
    <w:tbl>
      <w:tblPr>
        <w:tblW w:w="2136" w:type="dxa"/>
        <w:jc w:val="left"/>
        <w:tblInd w:w="0" w:type="dxa"/>
        <w:tblLayout w:type="fixed"/>
        <w:tblCellMar>
          <w:top w:w="28" w:type="dxa"/>
          <w:left w:w="28" w:type="dxa"/>
          <w:bottom w:w="28" w:type="dxa"/>
          <w:right w:w="28" w:type="dxa"/>
        </w:tblCellMar>
      </w:tblPr>
      <w:tblGrid>
        <w:gridCol w:w="124"/>
        <w:gridCol w:w="256"/>
        <w:gridCol w:w="1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17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cash retainers and</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grants of restricted share units</w:t>
            </w:r>
          </w:p>
        </w:tc>
      </w:tr>
    </w:tbl>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Set forth below is an overview of the non-employee director compensation elements for the term of office between the 2024 Annual General Meeting and the 2025 Annual General Meeting (the “2024/2025 Term”), and the term of office between the 2025 Annual General Meeting and the 2026 Annual General Meeting (the </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P-51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02" w:name="_99122cdd_682d_494e_a60f_0e3a5e12220f"/>
      <w:bookmarkStart w:id="103" w:name="_041cec3f_c26e_4da1_a6ce_792bf6821a60"/>
      <w:bookmarkStart w:id="104" w:name="_99122cdd_682d_494e_a60f_0e3a5e12220f"/>
      <w:bookmarkStart w:id="105" w:name="_041cec3f_c26e_4da1_a6ce_792bf6821a60"/>
      <w:bookmarkEnd w:id="104"/>
      <w:bookmarkEnd w:id="105"/>
    </w:p>
    <w:tbl>
      <w:tblPr>
        <w:tblW w:w="1910" w:type="dxa"/>
        <w:jc w:val="left"/>
        <w:tblInd w:w="0" w:type="dxa"/>
        <w:tblLayout w:type="fixed"/>
        <w:tblCellMar>
          <w:top w:w="0" w:type="dxa"/>
          <w:left w:w="0" w:type="dxa"/>
          <w:bottom w:w="0" w:type="dxa"/>
          <w:right w:w="0" w:type="dxa"/>
        </w:tblCellMar>
      </w:tblPr>
      <w:tblGrid>
        <w:gridCol w:w="1756"/>
        <w:gridCol w:w="154"/>
      </w:tblGrid>
      <w:tr>
        <w:trPr/>
        <w:tc>
          <w:tcPr>
            <w:tcW w:w="1756"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75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AGENDA ITEM 11</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pPr>
      <w:r>
        <w:rPr/>
        <w:t>“</w:t>
      </w:r>
      <w:r>
        <w:rPr>
          <w:rFonts w:ascii="Arial;Helvetica;sans-serif" w:hAnsi="Arial;Helvetica;sans-serif"/>
          <w:sz w:val="20"/>
        </w:rPr>
        <w:t>2025/2026 Term”). Additionally, the compensation elements currently contemplated for the 2026/2027 Term are also provided:</w:t>
      </w:r>
    </w:p>
    <w:tbl>
      <w:tblPr>
        <w:tblW w:w="10205" w:type="dxa"/>
        <w:jc w:val="left"/>
        <w:tblInd w:w="0" w:type="dxa"/>
        <w:tblLayout w:type="fixed"/>
        <w:tblCellMar>
          <w:top w:w="0" w:type="dxa"/>
          <w:left w:w="0" w:type="dxa"/>
          <w:bottom w:w="0" w:type="dxa"/>
          <w:right w:w="0" w:type="dxa"/>
        </w:tblCellMar>
      </w:tblPr>
      <w:tblGrid>
        <w:gridCol w:w="5489"/>
        <w:gridCol w:w="286"/>
        <w:gridCol w:w="1037"/>
        <w:gridCol w:w="189"/>
        <w:gridCol w:w="286"/>
        <w:gridCol w:w="1162"/>
        <w:gridCol w:w="212"/>
        <w:gridCol w:w="286"/>
        <w:gridCol w:w="1258"/>
      </w:tblGrid>
      <w:tr>
        <w:trPr/>
        <w:tc>
          <w:tcPr>
            <w:tcW w:w="5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485515" cy="175260"/>
                      <wp:effectExtent l="0" t="0" r="0" b="0"/>
                      <wp:wrapNone/>
                      <wp:docPr id="137" name="Frame44"/>
                      <a:graphic xmlns:a="http://schemas.openxmlformats.org/drawingml/2006/main">
                        <a:graphicData uri="http://schemas.microsoft.com/office/word/2010/wordprocessingShape">
                          <wps:wsp>
                            <wps:cNvSpPr txBox="1"/>
                            <wps:spPr>
                              <a:xfrm>
                                <a:off x="0" y="0"/>
                                <a:ext cx="348551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81610" cy="175260"/>
                      <wp:effectExtent l="0" t="0" r="0" b="0"/>
                      <wp:wrapNone/>
                      <wp:docPr id="138" name="Frame4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58495" cy="175260"/>
                      <wp:effectExtent l="0" t="0" r="0" b="0"/>
                      <wp:wrapNone/>
                      <wp:docPr id="139" name="Frame46"/>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20015" cy="175260"/>
                      <wp:effectExtent l="0" t="0" r="0" b="0"/>
                      <wp:wrapNone/>
                      <wp:docPr id="140" name="Frame47"/>
                      <a:graphic xmlns:a="http://schemas.openxmlformats.org/drawingml/2006/main">
                        <a:graphicData uri="http://schemas.microsoft.com/office/word/2010/wordprocessingShape">
                          <wps:wsp>
                            <wps:cNvSpPr txBox="1"/>
                            <wps:spPr>
                              <a:xfrm>
                                <a:off x="0" y="0"/>
                                <a:ext cx="12001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81610" cy="175260"/>
                      <wp:effectExtent l="0" t="0" r="0" b="0"/>
                      <wp:wrapNone/>
                      <wp:docPr id="141" name="Frame4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737870" cy="175260"/>
                      <wp:effectExtent l="0" t="0" r="0" b="0"/>
                      <wp:wrapNone/>
                      <wp:docPr id="142" name="Frame49"/>
                      <a:graphic xmlns:a="http://schemas.openxmlformats.org/drawingml/2006/main">
                        <a:graphicData uri="http://schemas.microsoft.com/office/word/2010/wordprocessingShape">
                          <wps:wsp>
                            <wps:cNvSpPr txBox="1"/>
                            <wps:spPr>
                              <a:xfrm>
                                <a:off x="0" y="0"/>
                                <a:ext cx="73787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4620" cy="175260"/>
                      <wp:effectExtent l="0" t="0" r="0" b="0"/>
                      <wp:wrapNone/>
                      <wp:docPr id="143" name="Frame50"/>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81610" cy="175260"/>
                      <wp:effectExtent l="0" t="0" r="0" b="0"/>
                      <wp:wrapNone/>
                      <wp:docPr id="144" name="Frame5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798830" cy="175260"/>
                      <wp:effectExtent l="0" t="0" r="0" b="0"/>
                      <wp:wrapNone/>
                      <wp:docPr id="145" name="Frame52"/>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5489" w:type="dxa"/>
            <w:tcBorders/>
            <w:vAlign w:val="center"/>
          </w:tcPr>
          <w:p>
            <w:pPr>
              <w:pStyle w:val="TableContents"/>
              <w:bidi w:val="0"/>
              <w:spacing w:lineRule="auto" w:line="285" w:before="0" w:after="0"/>
              <w:ind w:left="0" w:right="0" w:hanging="0"/>
              <w:jc w:val="both"/>
              <w:rPr/>
            </w:pPr>
            <w:r>
              <w:rPr/>
              <w:t>​</w:t>
            </w:r>
          </w:p>
        </w:tc>
        <w:tc>
          <w:tcPr>
            <w:tcW w:w="286" w:type="dxa"/>
            <w:tcBorders/>
            <w:vAlign w:val="center"/>
          </w:tcPr>
          <w:p>
            <w:pPr>
              <w:pStyle w:val="TableContents"/>
              <w:bidi w:val="0"/>
              <w:spacing w:lineRule="auto" w:line="285" w:before="0" w:after="0"/>
              <w:ind w:left="0" w:right="0" w:hanging="0"/>
              <w:jc w:val="center"/>
              <w:rPr/>
            </w:pPr>
            <w:r>
              <w:rPr/>
              <w:t>​</w:t>
            </w:r>
          </w:p>
        </w:tc>
        <w:tc>
          <w:tcPr>
            <w:tcW w:w="1037" w:type="dxa"/>
            <w:tcBorders/>
            <w:vAlign w:val="center"/>
          </w:tcPr>
          <w:p>
            <w:pPr>
              <w:pStyle w:val="TableContents"/>
              <w:bidi w:val="0"/>
              <w:spacing w:lineRule="auto" w:line="285" w:before="0" w:after="0"/>
              <w:ind w:left="0" w:right="0" w:hanging="0"/>
              <w:jc w:val="center"/>
              <w:rPr/>
            </w:pPr>
            <w:r>
              <w:rPr/>
              <w:t>​</w:t>
            </w:r>
          </w:p>
        </w:tc>
        <w:tc>
          <w:tcPr>
            <w:tcW w:w="189" w:type="dxa"/>
            <w:tcBorders/>
            <w:vAlign w:val="center"/>
          </w:tcPr>
          <w:p>
            <w:pPr>
              <w:pStyle w:val="TableContents"/>
              <w:bidi w:val="0"/>
              <w:spacing w:lineRule="auto" w:line="285" w:before="0" w:after="0"/>
              <w:ind w:left="0" w:right="0" w:hanging="0"/>
              <w:jc w:val="center"/>
              <w:rPr/>
            </w:pPr>
            <w:r>
              <w:rPr/>
              <w:t>​</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374" w:type="dxa"/>
            <w:gridSpan w:val="2"/>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TERM OF OFFICE</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258" w:type="dxa"/>
            <w:tcBorders/>
            <w:vAlign w:val="center"/>
          </w:tcPr>
          <w:p>
            <w:pPr>
              <w:pStyle w:val="TableContents"/>
              <w:bidi w:val="0"/>
              <w:spacing w:lineRule="auto" w:line="285" w:before="0" w:after="0"/>
              <w:ind w:left="0" w:right="0" w:hanging="0"/>
              <w:jc w:val="center"/>
              <w:rPr>
                <w:color w:val="4B4F54"/>
              </w:rPr>
            </w:pPr>
            <w:r>
              <w:rPr>
                <w:color w:val="4B4F54"/>
              </w:rPr>
              <w:t>​</w:t>
            </w:r>
          </w:p>
        </w:tc>
      </w:tr>
      <w:tr>
        <w:trPr/>
        <w:tc>
          <w:tcPr>
            <w:tcW w:w="5489" w:type="dxa"/>
            <w:tcBorders/>
            <w:vAlign w:val="center"/>
          </w:tcPr>
          <w:p>
            <w:pPr>
              <w:pStyle w:val="TableContents"/>
              <w:bidi w:val="0"/>
              <w:spacing w:lineRule="auto" w:line="285" w:before="0" w:after="0"/>
              <w:ind w:left="0" w:right="0" w:hanging="0"/>
              <w:jc w:val="both"/>
              <w:rPr/>
            </w:pPr>
            <w:r>
              <w:rPr/>
              <w:t>​</w:t>
            </w:r>
          </w:p>
        </w:tc>
        <w:tc>
          <w:tcPr>
            <w:tcW w:w="286" w:type="dxa"/>
            <w:tcBorders/>
            <w:vAlign w:val="center"/>
          </w:tcPr>
          <w:p>
            <w:pPr>
              <w:pStyle w:val="TableContents"/>
              <w:bidi w:val="0"/>
              <w:spacing w:lineRule="auto" w:line="285" w:before="0" w:after="0"/>
              <w:ind w:left="0" w:right="0" w:hanging="0"/>
              <w:jc w:val="center"/>
              <w:rPr/>
            </w:pPr>
            <w:r>
              <w:rPr/>
              <w:t>​</w:t>
            </w:r>
          </w:p>
        </w:tc>
        <w:tc>
          <w:tcPr>
            <w:tcW w:w="122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2024/2025 Term</w:t>
            </w:r>
          </w:p>
        </w:tc>
        <w:tc>
          <w:tcPr>
            <w:tcW w:w="286" w:type="dxa"/>
            <w:tcBorders/>
            <w:vAlign w:val="center"/>
          </w:tcPr>
          <w:p>
            <w:pPr>
              <w:pStyle w:val="TableContents"/>
              <w:bidi w:val="0"/>
              <w:spacing w:lineRule="auto" w:line="285" w:before="0" w:after="0"/>
              <w:ind w:left="0" w:right="0" w:hanging="0"/>
              <w:jc w:val="center"/>
              <w:rPr/>
            </w:pPr>
            <w:r>
              <w:rPr/>
              <w:t>​</w:t>
            </w:r>
          </w:p>
        </w:tc>
        <w:tc>
          <w:tcPr>
            <w:tcW w:w="1374" w:type="dxa"/>
            <w:gridSpan w:val="2"/>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2025/2026 Term</w:t>
            </w:r>
          </w:p>
        </w:tc>
        <w:tc>
          <w:tcPr>
            <w:tcW w:w="286" w:type="dxa"/>
            <w:tcBorders/>
            <w:vAlign w:val="center"/>
          </w:tcPr>
          <w:p>
            <w:pPr>
              <w:pStyle w:val="TableContents"/>
              <w:bidi w:val="0"/>
              <w:spacing w:lineRule="auto" w:line="285" w:before="0" w:after="0"/>
              <w:ind w:left="0" w:right="0" w:hanging="0"/>
              <w:jc w:val="center"/>
              <w:rPr/>
            </w:pPr>
            <w:r>
              <w:rPr/>
              <w:t>​</w:t>
            </w:r>
          </w:p>
        </w:tc>
        <w:tc>
          <w:tcPr>
            <w:tcW w:w="1258"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2026/2027 Term</w:t>
            </w:r>
          </w:p>
        </w:tc>
      </w:tr>
      <w:tr>
        <w:trPr/>
        <w:tc>
          <w:tcPr>
            <w:tcW w:w="5489"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20"/>
              </w:rPr>
            </w:pPr>
            <w:r>
              <w:rPr>
                <w:rFonts w:ascii="Arial;Helvetica;sans-serif" w:hAnsi="Arial;Helvetica;sans-serif"/>
                <w:b/>
                <w:color w:val="4B4F54"/>
                <w:sz w:val="20"/>
              </w:rPr>
              <w:t>CASH RETAINERS</w:t>
            </w:r>
          </w:p>
        </w:tc>
        <w:tc>
          <w:tcPr>
            <w:tcW w:w="28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1226" w:type="dxa"/>
            <w:gridSpan w:val="2"/>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(U.S. $)</w:t>
            </w:r>
          </w:p>
        </w:tc>
        <w:tc>
          <w:tcPr>
            <w:tcW w:w="28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1374" w:type="dxa"/>
            <w:gridSpan w:val="2"/>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(U.S. $)</w:t>
            </w:r>
          </w:p>
        </w:tc>
        <w:tc>
          <w:tcPr>
            <w:tcW w:w="28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1258"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(U.S. $)</w:t>
            </w:r>
          </w:p>
        </w:tc>
      </w:tr>
      <w:tr>
        <w:trPr/>
        <w:tc>
          <w:tcPr>
            <w:tcW w:w="548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Non-Employee Chair</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37"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215,000</w:t>
            </w:r>
          </w:p>
        </w:tc>
        <w:tc>
          <w:tcPr>
            <w:tcW w:w="189"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62"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N/A</w:t>
            </w:r>
          </w:p>
        </w:tc>
        <w:tc>
          <w:tcPr>
            <w:tcW w:w="21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5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N/A</w:t>
            </w:r>
          </w:p>
        </w:tc>
      </w:tr>
      <w:tr>
        <w:trPr/>
        <w:tc>
          <w:tcPr>
            <w:tcW w:w="548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Non</w:t>
              <w:noBreakHyphen/>
              <w:t>Employee Directors (other than the Chair)</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37"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100,000</w:t>
            </w:r>
          </w:p>
        </w:tc>
        <w:tc>
          <w:tcPr>
            <w:tcW w:w="18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62"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100,000</w:t>
            </w:r>
          </w:p>
        </w:tc>
        <w:tc>
          <w:tcPr>
            <w:tcW w:w="21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5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100,000</w:t>
            </w:r>
          </w:p>
        </w:tc>
      </w:tr>
      <w:tr>
        <w:trPr/>
        <w:tc>
          <w:tcPr>
            <w:tcW w:w="548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Additional Annual Retainer for Lead Independent Director &amp; Committee Chair:</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37"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18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62"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21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25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r>
      <w:tr>
        <w:trPr/>
        <w:tc>
          <w:tcPr>
            <w:tcW w:w="548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Lead Independent Director</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37"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 xml:space="preserve">N/A </w:t>
            </w:r>
          </w:p>
        </w:tc>
        <w:tc>
          <w:tcPr>
            <w:tcW w:w="18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62"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40,000</w:t>
            </w:r>
          </w:p>
        </w:tc>
        <w:tc>
          <w:tcPr>
            <w:tcW w:w="21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25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40,000</w:t>
            </w:r>
          </w:p>
        </w:tc>
      </w:tr>
      <w:tr>
        <w:trPr/>
        <w:tc>
          <w:tcPr>
            <w:tcW w:w="548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Audit Committee</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 ​</w:t>
            </w:r>
          </w:p>
        </w:tc>
        <w:tc>
          <w:tcPr>
            <w:tcW w:w="1037"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35,000</w:t>
            </w:r>
          </w:p>
        </w:tc>
        <w:tc>
          <w:tcPr>
            <w:tcW w:w="18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 ​</w:t>
            </w:r>
          </w:p>
        </w:tc>
        <w:tc>
          <w:tcPr>
            <w:tcW w:w="1162"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35,000</w:t>
            </w:r>
          </w:p>
        </w:tc>
        <w:tc>
          <w:tcPr>
            <w:tcW w:w="21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 ​</w:t>
            </w:r>
          </w:p>
        </w:tc>
        <w:tc>
          <w:tcPr>
            <w:tcW w:w="125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35,000</w:t>
            </w:r>
          </w:p>
        </w:tc>
      </w:tr>
      <w:tr>
        <w:trPr/>
        <w:tc>
          <w:tcPr>
            <w:tcW w:w="548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Compensation Committee</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37"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20,000</w:t>
            </w:r>
          </w:p>
        </w:tc>
        <w:tc>
          <w:tcPr>
            <w:tcW w:w="18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62"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20,000</w:t>
            </w:r>
          </w:p>
        </w:tc>
        <w:tc>
          <w:tcPr>
            <w:tcW w:w="21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5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20,000</w:t>
            </w:r>
          </w:p>
        </w:tc>
      </w:tr>
      <w:tr>
        <w:trPr/>
        <w:tc>
          <w:tcPr>
            <w:tcW w:w="548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Finance Committee and Governance, Safety &amp; Environment Committee</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37"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10,000</w:t>
            </w:r>
          </w:p>
        </w:tc>
        <w:tc>
          <w:tcPr>
            <w:tcW w:w="18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62"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10,000</w:t>
            </w:r>
          </w:p>
        </w:tc>
        <w:tc>
          <w:tcPr>
            <w:tcW w:w="21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5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10,000</w:t>
            </w:r>
          </w:p>
        </w:tc>
      </w:tr>
      <w:tr>
        <w:trPr/>
        <w:tc>
          <w:tcPr>
            <w:tcW w:w="5489"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20"/>
              </w:rPr>
            </w:pPr>
            <w:r>
              <w:rPr>
                <w:rFonts w:ascii="Arial;Helvetica;sans-serif" w:hAnsi="Arial;Helvetica;sans-serif"/>
                <w:b/>
                <w:color w:val="4B4F54"/>
                <w:sz w:val="20"/>
              </w:rPr>
              <w:t>TARGET VALUE OF RESTRICTED SHARE UNITS</w:t>
            </w:r>
          </w:p>
        </w:tc>
        <w:tc>
          <w:tcPr>
            <w:tcW w:w="286" w:type="dxa"/>
            <w:tcBorders/>
            <w:vAlign w:val="center"/>
          </w:tcPr>
          <w:p>
            <w:pPr>
              <w:pStyle w:val="TableContents"/>
              <w:bidi w:val="0"/>
              <w:spacing w:lineRule="auto" w:line="285" w:before="0" w:after="0"/>
              <w:ind w:left="0" w:right="0" w:hanging="0"/>
              <w:jc w:val="both"/>
              <w:rPr/>
            </w:pPr>
            <w:r>
              <w:rPr/>
              <w:t>​</w:t>
            </w:r>
          </w:p>
        </w:tc>
        <w:tc>
          <w:tcPr>
            <w:tcW w:w="1037" w:type="dxa"/>
            <w:tcBorders/>
            <w:vAlign w:val="center"/>
          </w:tcPr>
          <w:p>
            <w:pPr>
              <w:pStyle w:val="TableContents"/>
              <w:bidi w:val="0"/>
              <w:spacing w:lineRule="auto" w:line="285" w:before="0" w:after="0"/>
              <w:ind w:left="0" w:right="0" w:hanging="0"/>
              <w:jc w:val="right"/>
              <w:rPr/>
            </w:pPr>
            <w:r>
              <w:rPr/>
              <w:t>​</w:t>
            </w:r>
          </w:p>
        </w:tc>
        <w:tc>
          <w:tcPr>
            <w:tcW w:w="189" w:type="dxa"/>
            <w:tcBorders/>
            <w:vAlign w:val="center"/>
          </w:tcPr>
          <w:p>
            <w:pPr>
              <w:pStyle w:val="TableContents"/>
              <w:bidi w:val="0"/>
              <w:spacing w:lineRule="auto" w:line="285" w:before="0" w:after="0"/>
              <w:ind w:left="0" w:right="0" w:hanging="0"/>
              <w:jc w:val="both"/>
              <w:rPr/>
            </w:pPr>
            <w:r>
              <w:rPr/>
              <w:t>​</w:t>
            </w:r>
          </w:p>
        </w:tc>
        <w:tc>
          <w:tcPr>
            <w:tcW w:w="286" w:type="dxa"/>
            <w:tcBorders/>
            <w:vAlign w:val="center"/>
          </w:tcPr>
          <w:p>
            <w:pPr>
              <w:pStyle w:val="TableContents"/>
              <w:bidi w:val="0"/>
              <w:spacing w:lineRule="auto" w:line="285" w:before="0" w:after="0"/>
              <w:ind w:left="0" w:right="0" w:hanging="0"/>
              <w:jc w:val="both"/>
              <w:rPr/>
            </w:pPr>
            <w:r>
              <w:rPr/>
              <w:t>​</w:t>
            </w:r>
          </w:p>
        </w:tc>
        <w:tc>
          <w:tcPr>
            <w:tcW w:w="1162" w:type="dxa"/>
            <w:tcBorders/>
            <w:vAlign w:val="center"/>
          </w:tcPr>
          <w:p>
            <w:pPr>
              <w:pStyle w:val="TableContents"/>
              <w:bidi w:val="0"/>
              <w:spacing w:lineRule="auto" w:line="285" w:before="0" w:after="0"/>
              <w:ind w:left="0" w:right="0" w:hanging="0"/>
              <w:jc w:val="right"/>
              <w:rPr/>
            </w:pPr>
            <w:r>
              <w:rPr/>
              <w:t>​</w:t>
            </w:r>
          </w:p>
        </w:tc>
        <w:tc>
          <w:tcPr>
            <w:tcW w:w="212" w:type="dxa"/>
            <w:tcBorders/>
            <w:vAlign w:val="center"/>
          </w:tcPr>
          <w:p>
            <w:pPr>
              <w:pStyle w:val="TableContents"/>
              <w:bidi w:val="0"/>
              <w:spacing w:lineRule="auto" w:line="285" w:before="0" w:after="0"/>
              <w:ind w:left="0" w:right="0" w:hanging="0"/>
              <w:jc w:val="both"/>
              <w:rPr/>
            </w:pPr>
            <w:r>
              <w:rPr/>
              <w:t>​</w:t>
            </w:r>
          </w:p>
        </w:tc>
        <w:tc>
          <w:tcPr>
            <w:tcW w:w="286" w:type="dxa"/>
            <w:tcBorders/>
            <w:vAlign w:val="center"/>
          </w:tcPr>
          <w:p>
            <w:pPr>
              <w:pStyle w:val="TableContents"/>
              <w:bidi w:val="0"/>
              <w:spacing w:lineRule="auto" w:line="285" w:before="0" w:after="0"/>
              <w:ind w:left="0" w:right="0" w:hanging="0"/>
              <w:jc w:val="both"/>
              <w:rPr/>
            </w:pPr>
            <w:r>
              <w:rPr/>
              <w:t>​</w:t>
            </w:r>
          </w:p>
        </w:tc>
        <w:tc>
          <w:tcPr>
            <w:tcW w:w="1258" w:type="dxa"/>
            <w:tcBorders/>
            <w:vAlign w:val="center"/>
          </w:tcPr>
          <w:p>
            <w:pPr>
              <w:pStyle w:val="TableContents"/>
              <w:bidi w:val="0"/>
              <w:spacing w:lineRule="auto" w:line="285" w:before="0" w:after="0"/>
              <w:ind w:left="0" w:right="0" w:hanging="0"/>
              <w:jc w:val="right"/>
              <w:rPr/>
            </w:pPr>
            <w:r>
              <w:rPr/>
              <w:t>​</w:t>
            </w:r>
          </w:p>
        </w:tc>
      </w:tr>
      <w:tr>
        <w:trPr/>
        <w:tc>
          <w:tcPr>
            <w:tcW w:w="548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Non</w:t>
              <w:noBreakHyphen/>
              <w:t>Employee Chair</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37"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215,000</w:t>
            </w:r>
          </w:p>
        </w:tc>
        <w:tc>
          <w:tcPr>
            <w:tcW w:w="18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62"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N/A</w:t>
            </w:r>
          </w:p>
        </w:tc>
        <w:tc>
          <w:tcPr>
            <w:tcW w:w="21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5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N/A</w:t>
            </w:r>
          </w:p>
        </w:tc>
      </w:tr>
      <w:tr>
        <w:trPr/>
        <w:tc>
          <w:tcPr>
            <w:tcW w:w="548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Non</w:t>
              <w:noBreakHyphen/>
              <w:t>Employee Directors (other than the Chair)</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37"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210,000</w:t>
            </w:r>
          </w:p>
        </w:tc>
        <w:tc>
          <w:tcPr>
            <w:tcW w:w="18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62"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210,000</w:t>
            </w:r>
          </w:p>
        </w:tc>
        <w:tc>
          <w:tcPr>
            <w:tcW w:w="21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58" w:type="dxa"/>
            <w:tcBorders>
              <w:bottom w:val="single" w:sz="2" w:space="0" w:color="D9D9D9"/>
            </w:tcBorders>
            <w:tcMar>
              <w:bottom w:w="28" w:type="dxa"/>
            </w:tcMar>
            <w:vAlign w:val="center"/>
          </w:tcPr>
          <w:p>
            <w:pPr>
              <w:pStyle w:val="TableContents"/>
              <w:bidi w:val="0"/>
              <w:spacing w:lineRule="auto" w:line="285" w:before="0" w:after="0"/>
              <w:ind w:left="0" w:right="70" w:hanging="0"/>
              <w:jc w:val="right"/>
              <w:rPr>
                <w:rFonts w:ascii="Arial;Helvetica;sans-serif" w:hAnsi="Arial;Helvetica;sans-serif"/>
                <w:sz w:val="20"/>
              </w:rPr>
            </w:pPr>
            <w:r>
              <w:rPr>
                <w:rFonts w:ascii="Arial;Helvetica;sans-serif" w:hAnsi="Arial;Helvetica;sans-serif"/>
                <w:sz w:val="20"/>
              </w:rPr>
              <w:t>210,000</w:t>
            </w:r>
          </w:p>
        </w:tc>
      </w:tr>
    </w:tbl>
    <w:p>
      <w:pPr>
        <w:pStyle w:val="TextBody"/>
        <w:bidi w:val="0"/>
        <w:spacing w:lineRule="auto" w:line="285" w:before="0" w:after="0"/>
        <w:ind w:left="0" w:right="0" w:hanging="0"/>
        <w:jc w:val="both"/>
        <w:rPr/>
      </w:pPr>
      <w:r>
        <w:rPr/>
        <w:t>​</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A more detailed description of the compensation principles currently in effect for our Board of Directors can be found under “Board Meetings and Committees—Director Compensation Strategy.” The actual amounts paid to each member of the Board of Directors for fiscal year 2025 are disclosed under “2025 Director Compensation” and in our Swiss Compensation Report under the caption “Board of Directors’ Compensation.”</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At the 2025 Annual General Meeting, our shareholders voted to elect Jeremy D. Thigpen as Chair of the Board of Directors for the 2025/2026 Term. Mr. Thigpen is an employee and serves as Executive Chair. As such, his compensation while employed by the Company is included in the Maximum Aggregate Amount for members of the Executive Management Team.</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The position of Lead Independent Director and its associated compensation were added for the 2025/2026 Term.</w:t>
      </w:r>
    </w:p>
    <w:p>
      <w:pPr>
        <w:pStyle w:val="TextBody"/>
        <w:bidi w:val="0"/>
        <w:spacing w:lineRule="auto" w:line="285" w:before="0" w:after="160"/>
        <w:ind w:left="0" w:right="0" w:hanging="0"/>
        <w:jc w:val="both"/>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PROPOSAL FOR RATIFICATION OF MAXIMUM AGGREGATE AMOUNT</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The Board of Directors proposes that the shareholders ratify an amount of $4,121,000 as the maximum aggregate amount of compensation that the Company may pay to the Board of Directors for the 2026/2027 Term.</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The proposed aggregate maximum amount has been calculated based on the directors’ compensation elements as outlined above and represents no change from the maximum aggregate amount of compensation for the prior ten terms since the Swiss compensation regulations were first implemented for the 2015/2016 Term; all of which were approved by shareholders.</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The total compensation paid to the Board of Directors for the 2025/2026 Term was $2,900,579, which is below the $4,121,000 previously approved by shareholders at the 2025 Annual General Meeting.</w:t>
      </w:r>
    </w:p>
    <w:tbl>
      <w:tblPr>
        <w:tblW w:w="6991" w:type="dxa"/>
        <w:jc w:val="left"/>
        <w:tblInd w:w="0" w:type="dxa"/>
        <w:tblLayout w:type="fixed"/>
        <w:tblCellMar>
          <w:top w:w="0" w:type="dxa"/>
          <w:left w:w="0" w:type="dxa"/>
          <w:bottom w:w="0" w:type="dxa"/>
          <w:right w:w="0" w:type="dxa"/>
        </w:tblCellMar>
      </w:tblPr>
      <w:tblGrid>
        <w:gridCol w:w="6991"/>
      </w:tblGrid>
      <w:tr>
        <w:trPr/>
        <w:tc>
          <w:tcPr>
            <w:tcW w:w="6991" w:type="dxa"/>
            <w:tcBorders/>
            <w:vAlign w:val="center"/>
          </w:tcPr>
          <w:p>
            <w:pPr>
              <w:pStyle w:val="TableContents"/>
              <w:bidi w:val="0"/>
              <w:spacing w:lineRule="auto" w:line="285" w:before="0" w:after="0"/>
              <w:ind w:left="0" w:right="0" w:hanging="0"/>
              <w:jc w:val="both"/>
              <w:rPr/>
            </w:pPr>
            <w:r>
              <w:rPr/>
              <w:t>​</w:t>
            </w:r>
          </w:p>
        </w:tc>
      </w:tr>
      <w:tr>
        <w:trPr/>
        <w:tc>
          <w:tcPr>
            <w:tcW w:w="6991" w:type="dxa"/>
            <w:tcBorders/>
            <w:shd w:fill="ECA44A" w:val="clear"/>
            <w:vAlign w:val="center"/>
          </w:tcPr>
          <w:p>
            <w:pPr>
              <w:pStyle w:val="TableContents"/>
              <w:bidi w:val="0"/>
              <w:spacing w:lineRule="auto" w:line="285" w:before="200" w:after="120"/>
              <w:ind w:left="0" w:right="0" w:hanging="0"/>
              <w:jc w:val="center"/>
              <w:rPr>
                <w:rFonts w:ascii="Arial;Helvetica;sans-serif" w:hAnsi="Arial;Helvetica;sans-serif"/>
                <w:b/>
                <w:color w:val="FFFFFF"/>
                <w:sz w:val="28"/>
              </w:rPr>
            </w:pPr>
            <w:r>
              <w:rPr>
                <w:rFonts w:ascii="Arial;Helvetica;sans-serif" w:hAnsi="Arial;Helvetica;sans-serif"/>
                <w:b/>
                <w:color w:val="FFFFFF"/>
                <w:sz w:val="28"/>
              </w:rPr>
              <w:t>RECOMMENDATION</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color w:val="F2F2F2"/>
                <w:sz w:val="20"/>
              </w:rPr>
              <w:t xml:space="preserve">The Board of Directors recommends that you vote </w:t>
            </w:r>
            <w:r>
              <w:rPr>
                <w:rFonts w:ascii="Arial;Helvetica;sans-serif" w:hAnsi="Arial;Helvetica;sans-serif"/>
                <w:b/>
                <w:color w:val="FFFFFF"/>
                <w:sz w:val="20"/>
              </w:rPr>
              <w:t>FOR</w:t>
            </w:r>
            <w:r>
              <w:rPr>
                <w:rFonts w:ascii="Arial;Helvetica;sans-serif" w:hAnsi="Arial;Helvetica;sans-serif"/>
                <w:color w:val="FFFFFF"/>
                <w:sz w:val="20"/>
              </w:rPr>
              <w:t xml:space="preserve"> </w:t>
            </w:r>
            <w:r>
              <w:rPr>
                <w:rFonts w:ascii="Arial;Helvetica;sans-serif" w:hAnsi="Arial;Helvetica;sans-serif"/>
                <w:color w:val="F2F2F2"/>
                <w:sz w:val="20"/>
              </w:rPr>
              <w:t>this Agenda Item 11A.</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P-52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06" w:name="_1514bf5c_b27c_484f_ad25_9051eeac4336"/>
      <w:bookmarkStart w:id="107" w:name="_815f5508_5971_4214_8d4e_62a3baecd087"/>
      <w:bookmarkStart w:id="108" w:name="_1514bf5c_b27c_484f_ad25_9051eeac4336"/>
      <w:bookmarkStart w:id="109" w:name="_815f5508_5971_4214_8d4e_62a3baecd087"/>
      <w:bookmarkEnd w:id="108"/>
      <w:bookmarkEnd w:id="109"/>
    </w:p>
    <w:tbl>
      <w:tblPr>
        <w:tblW w:w="1910" w:type="dxa"/>
        <w:jc w:val="left"/>
        <w:tblInd w:w="0" w:type="dxa"/>
        <w:tblLayout w:type="fixed"/>
        <w:tblCellMar>
          <w:top w:w="0" w:type="dxa"/>
          <w:left w:w="0" w:type="dxa"/>
          <w:bottom w:w="0" w:type="dxa"/>
          <w:right w:w="0" w:type="dxa"/>
        </w:tblCellMar>
      </w:tblPr>
      <w:tblGrid>
        <w:gridCol w:w="124"/>
        <w:gridCol w:w="1786"/>
      </w:tblGrid>
      <w:tr>
        <w:trPr/>
        <w:tc>
          <w:tcPr>
            <w:tcW w:w="124" w:type="dxa"/>
            <w:tcBorders/>
            <w:vAlign w:val="center"/>
          </w:tcPr>
          <w:p>
            <w:pPr>
              <w:pStyle w:val="TableContents"/>
              <w:bidi w:val="0"/>
              <w:spacing w:lineRule="auto" w:line="285" w:before="0" w:after="0"/>
              <w:ind w:left="0" w:right="0" w:hanging="0"/>
              <w:jc w:val="both"/>
              <w:rPr/>
            </w:pPr>
            <w:r>
              <w:rPr/>
              <w:t>​</w:t>
            </w:r>
          </w:p>
        </w:tc>
        <w:tc>
          <w:tcPr>
            <w:tcW w:w="1786" w:type="dxa"/>
            <w:tcBorders/>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78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AGENDA ITEM 11</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06"/>
        <w:gridCol w:w="9499"/>
      </w:tblGrid>
      <w:tr>
        <w:trPr/>
        <w:tc>
          <w:tcPr>
            <w:tcW w:w="706" w:type="dxa"/>
            <w:tcBorders/>
            <w:vAlign w:val="center"/>
          </w:tcPr>
          <w:p>
            <w:pPr>
              <w:pStyle w:val="TableContents"/>
              <w:pBdr/>
              <w:bidi w:val="0"/>
              <w:spacing w:lineRule="auto" w:line="285" w:before="0" w:after="0"/>
              <w:ind w:left="0" w:right="0" w:hanging="0"/>
              <w:jc w:val="both"/>
              <w:rPr/>
            </w:pPr>
            <w:r>
              <w:rPr/>
              <w:t>​</w:t>
            </w:r>
          </w:p>
        </w:tc>
        <w:tc>
          <w:tcPr>
            <w:tcW w:w="9499" w:type="dxa"/>
            <w:tcBorders/>
            <w:vAlign w:val="center"/>
          </w:tcPr>
          <w:p>
            <w:pPr>
              <w:pStyle w:val="TableContents"/>
              <w:pBdr/>
              <w:bidi w:val="0"/>
              <w:spacing w:lineRule="auto" w:line="285" w:before="0" w:after="0"/>
              <w:ind w:left="0" w:right="0" w:hanging="0"/>
              <w:jc w:val="both"/>
              <w:rPr/>
            </w:pPr>
            <w:r>
              <w:rPr/>
              <w:t>​</w:t>
            </w:r>
          </w:p>
        </w:tc>
      </w:tr>
      <w:tr>
        <w:trPr/>
        <w:tc>
          <w:tcPr>
            <w:tcW w:w="706" w:type="dxa"/>
            <w:tcBorders/>
            <w:vAlign w:val="center"/>
          </w:tcPr>
          <w:p>
            <w:pPr>
              <w:pStyle w:val="TableContents"/>
              <w:bidi w:val="0"/>
              <w:spacing w:lineRule="auto" w:line="285" w:before="100" w:after="100"/>
              <w:ind w:left="0" w:right="0" w:hanging="0"/>
              <w:jc w:val="both"/>
              <w:rPr>
                <w:rFonts w:ascii="Arial;Helvetica;sans-serif" w:hAnsi="Arial;Helvetica;sans-serif"/>
                <w:b/>
                <w:color w:val="ECA44A"/>
                <w:sz w:val="32"/>
              </w:rPr>
            </w:pPr>
            <w:r>
              <w:rPr>
                <w:rFonts w:ascii="Arial;Helvetica;sans-serif" w:hAnsi="Arial;Helvetica;sans-serif"/>
                <w:b/>
                <w:color w:val="ECA44A"/>
                <w:sz w:val="32"/>
              </w:rPr>
              <w:t>11B</w:t>
            </w:r>
          </w:p>
        </w:tc>
        <w:tc>
          <w:tcPr>
            <w:tcW w:w="9499" w:type="dxa"/>
            <w:tcBorders/>
            <w:vAlign w:val="center"/>
          </w:tcPr>
          <w:p>
            <w:pPr>
              <w:pStyle w:val="TableContents"/>
              <w:bidi w:val="0"/>
              <w:spacing w:lineRule="auto" w:line="285" w:before="100" w:after="100"/>
              <w:ind w:left="0" w:right="0" w:hanging="0"/>
              <w:jc w:val="both"/>
              <w:rPr>
                <w:rFonts w:ascii="Arial;Helvetica;sans-serif" w:hAnsi="Arial;Helvetica;sans-serif"/>
                <w:sz w:val="28"/>
              </w:rPr>
            </w:pPr>
            <w:r>
              <w:rPr>
                <w:rFonts w:ascii="Arial;Helvetica;sans-serif" w:hAnsi="Arial;Helvetica;sans-serif"/>
                <w:sz w:val="28"/>
              </w:rPr>
              <w:t>Ratification of the Maximum Aggregate Amount of Compensation of the Executive Management Team for Fiscal Year 2027</w:t>
            </w:r>
          </w:p>
        </w:tc>
      </w:tr>
    </w:tbl>
    <w:p>
      <w:pPr>
        <w:pStyle w:val="TextBody"/>
        <w:bidi w:val="0"/>
        <w:spacing w:lineRule="auto" w:line="285" w:before="0" w:after="20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sz w:val="24"/>
        </w:rPr>
      </w:pPr>
      <w:r>
        <w:rPr>
          <w:rFonts w:ascii="Arial;Helvetica;sans-serif" w:hAnsi="Arial;Helvetica;sans-serif"/>
          <w:b/>
          <w:sz w:val="24"/>
        </w:rPr>
        <w:t>PROPOSAL OF THE BOARD OF DIRECTORS</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85" w:before="0" w:after="0"/>
              <w:ind w:left="0" w:right="0" w:hanging="0"/>
              <w:jc w:val="both"/>
              <w:rPr/>
            </w:pPr>
            <w:r>
              <w:rPr/>
              <w:t>​</w:t>
            </w:r>
          </w:p>
        </w:tc>
      </w:tr>
      <w:tr>
        <w:trPr/>
        <w:tc>
          <w:tcPr>
            <w:tcW w:w="10205" w:type="dxa"/>
            <w:tcBorders/>
            <w:shd w:fill="F2F2F2" w:val="clear"/>
            <w:vAlign w:val="center"/>
          </w:tcPr>
          <w:p>
            <w:pPr>
              <w:pStyle w:val="TableContents"/>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The Board of Directors proposes that the shareholders ratify an amount of $26,000,000 as the maximum aggregate amount of compensation of the Executive Management Team for fiscal year 2027.</w:t>
            </w:r>
          </w:p>
        </w:tc>
      </w:tr>
    </w:tbl>
    <w:p>
      <w:pPr>
        <w:pStyle w:val="TextBody"/>
        <w:bidi w:val="0"/>
        <w:spacing w:lineRule="auto" w:line="285" w:before="20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EXPLANATION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As required by our Articles of Association and the Swiss Code, our shareholders are provided the opportunity to vote on the maximum aggregate amount of compensation that can be paid or granted to the members of the Executive Management Team for fiscal year 2027. The shareholder vote is binding.</w:t>
      </w:r>
    </w:p>
    <w:p>
      <w:pPr>
        <w:pStyle w:val="TextBody"/>
        <w:bidi w:val="0"/>
        <w:spacing w:lineRule="auto" w:line="285" w:before="0" w:after="200"/>
        <w:ind w:left="0" w:right="0" w:hanging="0"/>
        <w:jc w:val="both"/>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EXECUTIVE MANAGEMENT TEAM COMPOSITION</w:t>
      </w:r>
    </w:p>
    <w:p>
      <w:pPr>
        <w:pStyle w:val="TextBody"/>
        <w:bidi w:val="0"/>
        <w:spacing w:lineRule="auto" w:line="285" w:before="0" w:after="200"/>
        <w:ind w:left="0" w:right="0" w:hanging="0"/>
        <w:jc w:val="both"/>
        <w:rPr>
          <w:rFonts w:ascii="Arial;Helvetica;sans-serif" w:hAnsi="Arial;Helvetica;sans-serif"/>
          <w:i w:val="false"/>
          <w:caps w:val="false"/>
          <w:smallCaps w:val="false"/>
          <w:sz w:val="20"/>
        </w:rPr>
      </w:pPr>
      <w:r>
        <w:rPr>
          <w:rFonts w:ascii="Arial;Helvetica;sans-serif" w:hAnsi="Arial;Helvetica;sans-serif"/>
          <w:i w:val="false"/>
          <w:caps w:val="false"/>
          <w:smallCaps w:val="false"/>
          <w:sz w:val="20"/>
        </w:rPr>
        <w:t>Our Executive Management Team for fiscal year 2027 is expected to be comprised of our Executive Chair, our Chief Executive Officer, and our Chief Financial Officer. Each of our Executive Management Team members serves an integral role as an executive officer in making significant strategic and operational decisions.</w:t>
      </w:r>
    </w:p>
    <w:p>
      <w:pPr>
        <w:pStyle w:val="TextBody"/>
        <w:bidi w:val="0"/>
        <w:spacing w:lineRule="auto" w:line="285" w:before="0" w:after="200"/>
        <w:ind w:left="0" w:right="0" w:hanging="0"/>
        <w:jc w:val="both"/>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EXECUTIVE MANAGEMENT TEAM COMPENSATION PRINCIPLES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general principles of the compensation for the Executive Management Team are described in Article 29b of our Articles of Association.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We use a combination of cash and equity compensation to attract, motivate and retain leaders from the global executive talent market within and outside our highly competitive industry and to achieve our objective of pay and performance alignment by delivering the vast majority of our Executive Management Team’s compensation opportunity as performance-based, ‘at-risk’ compensation. Our Executive Management Team’s compensation consists of:</w:t>
      </w:r>
    </w:p>
    <w:tbl>
      <w:tblPr>
        <w:tblW w:w="1596" w:type="dxa"/>
        <w:jc w:val="left"/>
        <w:tblInd w:w="0" w:type="dxa"/>
        <w:tblLayout w:type="fixed"/>
        <w:tblCellMar>
          <w:top w:w="28" w:type="dxa"/>
          <w:left w:w="28" w:type="dxa"/>
          <w:bottom w:w="28" w:type="dxa"/>
          <w:right w:w="28" w:type="dxa"/>
        </w:tblCellMar>
      </w:tblPr>
      <w:tblGrid>
        <w:gridCol w:w="124"/>
        <w:gridCol w:w="256"/>
        <w:gridCol w:w="1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 salary,</w:t>
            </w:r>
          </w:p>
        </w:tc>
      </w:tr>
    </w:tbl>
    <w:tbl>
      <w:tblPr>
        <w:tblW w:w="2886" w:type="dxa"/>
        <w:jc w:val="left"/>
        <w:tblInd w:w="0" w:type="dxa"/>
        <w:tblLayout w:type="fixed"/>
        <w:tblCellMar>
          <w:top w:w="28" w:type="dxa"/>
          <w:left w:w="28" w:type="dxa"/>
          <w:bottom w:w="28" w:type="dxa"/>
          <w:right w:w="28" w:type="dxa"/>
        </w:tblCellMar>
      </w:tblPr>
      <w:tblGrid>
        <w:gridCol w:w="124"/>
        <w:gridCol w:w="256"/>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2506"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annual performance</w:t>
            </w:r>
            <w:r>
              <w:rPr>
                <w:caps w:val="false"/>
                <w:smallCaps w:val="false"/>
              </w:rPr>
              <w:t xml:space="preserve"> </w:t>
            </w:r>
            <w:r>
              <w:rPr>
                <w:rFonts w:ascii="Arial;Helvetica;sans-serif" w:hAnsi="Arial;Helvetica;sans-serif"/>
                <w:b w:val="false"/>
                <w:i w:val="false"/>
                <w:caps w:val="false"/>
                <w:smallCaps w:val="false"/>
                <w:sz w:val="20"/>
              </w:rPr>
              <w:t>bonus,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long-term incentives, which may be comprised of grants of restricted share units, performance units, performance cash and stock options,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compensation, including Company contributions to savings plans, pension plans, and life insurance premiums.</w:t>
            </w:r>
          </w:p>
        </w:tc>
      </w:tr>
    </w:tbl>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For a detailed description of our compensation principles currently in effect for the Executive Management Team (and our other Named Executive Officers who are not members of the Executive Management Team), please refer to the section of this proxy statement under the caption: “Compensation Discussion and Analysis.” We recommend that our shareholders read our Articles of Association and the Compensation Discussion and Analysis to understand our Executive Management Team compensation principles and process when considering this proposal. The actual amounts paid to each member of the Executive Management Team for fiscal years 2023-2025 are disclosed in this proxy statement under the caption: “Executive Compensation—Summary Compensation Table,” and for fiscal years 2024 and 2025 in our Swiss Compensation Report under the caption: “Executive Management Team Compensation.”</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In addition to this binding vote on maximum Executive Management Team compensation, shareholders have had the opportunity since 2011 under U.S. law, subject to an advisory vote by shareholders and a determination by the Board of Directors as to the frequency of such opportunity, to cast a retrospective advisory vote to </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P-53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910" w:type="dxa"/>
        <w:jc w:val="left"/>
        <w:tblInd w:w="0" w:type="dxa"/>
        <w:tblLayout w:type="fixed"/>
        <w:tblCellMar>
          <w:top w:w="0" w:type="dxa"/>
          <w:left w:w="0" w:type="dxa"/>
          <w:bottom w:w="0" w:type="dxa"/>
          <w:right w:w="0" w:type="dxa"/>
        </w:tblCellMar>
      </w:tblPr>
      <w:tblGrid>
        <w:gridCol w:w="1756"/>
        <w:gridCol w:w="154"/>
      </w:tblGrid>
      <w:tr>
        <w:trPr/>
        <w:tc>
          <w:tcPr>
            <w:tcW w:w="1756" w:type="dxa"/>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75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AGENDA ITEM 11</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approve the compensation paid to our Named Executive Officers (including our Executive Management Team members) for the fiscal year preceding the annual general meeting. Our shareholders have consistently expressed their support for the Company’s executive compensation principles, and for the prior ten years, the shareholder approval levels have been 88% or higher, with eight of those years exceeding 95%. Our shareholders are again provided the opportunity to cast a retrospective advisory vote to approve the compensation paid to our Named Executive Officers (including our Executive Management Team members) for fiscal year 2025, as is explained in detail in Agenda Item 11.</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proposed maximum aggregate amount of compensation for the Executive Management Team for fiscal year 2027 is derived substantially from the Company’s executive compensation program receiving strong historical shareholder support as noted above. Consistent with the Company’s historical practice in setting executive compensation, as reflected in the Compensation Discussion and Analysis, we do not anticipate that the aggregate amount actually paid to our Executive Management Team members for fiscal year 2027 will be at the proposed maximum aggregate amount.</w:t>
      </w:r>
    </w:p>
    <w:p>
      <w:pPr>
        <w:pStyle w:val="TextBody"/>
        <w:bidi w:val="0"/>
        <w:spacing w:lineRule="auto" w:line="285" w:before="0" w:after="200"/>
        <w:ind w:left="0" w:right="0" w:hanging="0"/>
        <w:jc w:val="both"/>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PROPOSAL FOR RATIFICATION OF MAXIMUM AGGREGATE AMOUNT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Board of Directors proposes that the shareholders ratify an amount of $26,000,000, excluding employer-paid social taxes, as the maximum aggregate amount of compensation of the Executive Management Team for fiscal year 2027. This amount is the maximum amount that the Company can pay or grant to its members of the Executive Management Team for fiscal year 2027, subject to the authority of the Board of Directors to grant or pay a “supplementary amount” pursuant to Article 29c of our Articles of Association without additional shareholder ratification to persons who newly assume an Executive Management Team function after the prospective vote at the 2026 Annual General Meeting. For more information, see “Compensation Discussion and Analysis.”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proposed maximum aggregate amount of compensation for fiscal year 2027 is based on our estimated compensation levels and represents no change from the maximum aggregate amount of compensation for fiscal year 2026, which was approved by shareholders at last year’s annual general meeting.</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Shareholder approval is based on the maximum aggregate amounts that could be payable in accordance with our compensation principles as set out in the Compensation Discussion and Analysis. Therefore, actual aggregate amounts paid to our Executive Management Team members for fiscal year 2027 will fall within the range that may be payable. Although historical compensation paid to our Executive Management Team, as disclosed in the Swiss Compensation Report, has been less (2025: $21,471,476) than the maximum amount payable (2025: $26,000,000), we request our shareholders approve the proposed maximum aggregate amount in order to comply with our Articles of Association and to ensure that the authorized compensation is set at a level that allows us to honor the compensation obligations under our compensation program and plans if the Executive Management Team or its individual members deliver superior performance and achieve all of the performance objectives at maximum performance level.</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Actual compensation paid to the Executive Management Team in 2027 will be disclosed in the proxy statement for our 2028 Annual General Meeting and the Swiss Compensation Report for fiscal year 2027.</w:t>
      </w:r>
    </w:p>
    <w:tbl>
      <w:tblPr>
        <w:tblW w:w="6991" w:type="dxa"/>
        <w:jc w:val="left"/>
        <w:tblInd w:w="0" w:type="dxa"/>
        <w:tblLayout w:type="fixed"/>
        <w:tblCellMar>
          <w:top w:w="0" w:type="dxa"/>
          <w:left w:w="0" w:type="dxa"/>
          <w:bottom w:w="0" w:type="dxa"/>
          <w:right w:w="0" w:type="dxa"/>
        </w:tblCellMar>
      </w:tblPr>
      <w:tblGrid>
        <w:gridCol w:w="6991"/>
      </w:tblGrid>
      <w:tr>
        <w:trPr/>
        <w:tc>
          <w:tcPr>
            <w:tcW w:w="6991" w:type="dxa"/>
            <w:tcBorders/>
            <w:vAlign w:val="center"/>
          </w:tcPr>
          <w:p>
            <w:pPr>
              <w:pStyle w:val="TableContents"/>
              <w:bidi w:val="0"/>
              <w:spacing w:lineRule="auto" w:line="285" w:before="0" w:after="0"/>
              <w:ind w:left="0" w:right="0" w:hanging="0"/>
              <w:jc w:val="both"/>
              <w:rPr/>
            </w:pPr>
            <w:r>
              <w:rPr/>
              <w:t>​</w:t>
            </w:r>
          </w:p>
        </w:tc>
      </w:tr>
      <w:tr>
        <w:trPr/>
        <w:tc>
          <w:tcPr>
            <w:tcW w:w="6991" w:type="dxa"/>
            <w:tcBorders/>
            <w:shd w:fill="ECA44A" w:val="clear"/>
            <w:vAlign w:val="center"/>
          </w:tcPr>
          <w:p>
            <w:pPr>
              <w:pStyle w:val="TableContents"/>
              <w:bidi w:val="0"/>
              <w:spacing w:lineRule="auto" w:line="285" w:before="200" w:after="120"/>
              <w:ind w:left="0" w:right="0" w:hanging="0"/>
              <w:jc w:val="center"/>
              <w:rPr>
                <w:rFonts w:ascii="Arial;Helvetica;sans-serif" w:hAnsi="Arial;Helvetica;sans-serif"/>
                <w:b/>
                <w:color w:val="FFFFFF"/>
                <w:sz w:val="28"/>
              </w:rPr>
            </w:pPr>
            <w:r>
              <w:rPr>
                <w:rFonts w:ascii="Arial;Helvetica;sans-serif" w:hAnsi="Arial;Helvetica;sans-serif"/>
                <w:b/>
                <w:color w:val="FFFFFF"/>
                <w:sz w:val="28"/>
              </w:rPr>
              <w:t>RECOMMENDATION</w:t>
            </w:r>
          </w:p>
          <w:p>
            <w:pPr>
              <w:pStyle w:val="TableContents"/>
              <w:bidi w:val="0"/>
              <w:spacing w:lineRule="auto" w:line="285" w:before="0" w:after="200"/>
              <w:ind w:left="0" w:right="0" w:hanging="0"/>
              <w:jc w:val="both"/>
              <w:rPr>
                <w:rFonts w:ascii="Arial;Helvetica;sans-serif" w:hAnsi="Arial;Helvetica;sans-serif"/>
                <w:sz w:val="20"/>
              </w:rPr>
            </w:pPr>
            <w:r>
              <w:rPr>
                <w:rFonts w:ascii="Arial;Helvetica;sans-serif" w:hAnsi="Arial;Helvetica;sans-serif"/>
                <w:color w:val="F2F2F2"/>
                <w:sz w:val="20"/>
              </w:rPr>
              <w:t xml:space="preserve">The Board of Directors recommends that you vote </w:t>
            </w:r>
            <w:r>
              <w:rPr>
                <w:rFonts w:ascii="Arial;Helvetica;sans-serif" w:hAnsi="Arial;Helvetica;sans-serif"/>
                <w:b/>
                <w:color w:val="F2F2F2"/>
                <w:sz w:val="20"/>
              </w:rPr>
              <w:t>FOR</w:t>
            </w:r>
            <w:r>
              <w:rPr>
                <w:rFonts w:ascii="Arial;Helvetica;sans-serif" w:hAnsi="Arial;Helvetica;sans-serif"/>
                <w:color w:val="F2F2F2"/>
                <w:sz w:val="20"/>
              </w:rPr>
              <w:t xml:space="preserve"> this Agenda Item 11B.</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P-54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200"/>
        <w:ind w:left="0" w:right="0" w:hanging="0"/>
        <w:jc w:val="both"/>
        <w:rPr>
          <w:rFonts w:ascii="Arial;Helvetica;sans-serif" w:hAnsi="Arial;Helvetica;sans-serif"/>
          <w:b/>
          <w:color w:val="ECA44A"/>
          <w:sz w:val="40"/>
        </w:rPr>
      </w:pPr>
      <w:bookmarkStart w:id="110" w:name="CORPORATEGOVERNANCE"/>
      <w:bookmarkStart w:id="111" w:name="_37eeae68_2047_41e7_8bae_b4742c4cb92f"/>
      <w:bookmarkEnd w:id="110"/>
      <w:bookmarkEnd w:id="111"/>
      <w:r>
        <w:rPr>
          <w:rFonts w:ascii="Arial;Helvetica;sans-serif" w:hAnsi="Arial;Helvetica;sans-serif"/>
          <w:b/>
          <w:color w:val="ECA44A"/>
          <w:sz w:val="40"/>
        </w:rPr>
        <w:t>CORPORATE GOVERNANCE</w:t>
      </w:r>
    </w:p>
    <w:p>
      <w:pPr>
        <w:pStyle w:val="TextBody"/>
        <w:bidi w:val="0"/>
        <w:spacing w:lineRule="auto" w:line="285" w:before="0" w:after="200"/>
        <w:ind w:left="0" w:right="0" w:hanging="0"/>
        <w:jc w:val="both"/>
        <w:rPr>
          <w:rFonts w:ascii="Arial;Helvetica;sans-serif" w:hAnsi="Arial;Helvetica;sans-serif"/>
          <w:b/>
          <w:color w:val="005670"/>
          <w:sz w:val="20"/>
        </w:rPr>
      </w:pPr>
      <w:r>
        <w:rPr>
          <w:rFonts w:ascii="Arial;Helvetica;sans-serif" w:hAnsi="Arial;Helvetica;sans-serif"/>
          <w:b/>
          <w:color w:val="005670"/>
          <w:sz w:val="20"/>
        </w:rPr>
        <w:t>WE ARE COMMITTED TO UPHOLDING HIGH STANDARDS OF CORPORATE GOVERNANCE AND BUSINESS CONDUCT AND BELIEVE THAT OUR ACTIONS HAVE REFLECTED OUR LONG-STANDING ADHERENCE TO THOSE HIGH STANDARDS.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periodically review and, as necessary, update our Corporate Governance Guidelines and our Code of Integrity.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conduct online mandatory training for our employees and officers on our Code of Integrity and other relevant ethics and compliance topics.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also require all of our officers and managerial and supervisory employees to certify compliance with our Code of Integrity each year and to proactively report any non-compliance they may discover.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Management and the Board of Directors solicit and are responsive to shareholder feedback that informs our governance practices.</w:t>
            </w:r>
          </w:p>
        </w:tc>
      </w:tr>
    </w:tbl>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The Governance, Safety &amp; Environment Committee of the Board of Directors evaluates the Company’s and the Board of Directors’ governance practices and formally reviews, at least annually, all committee charters, with recommendations from the various committees of the Board of Directors, and the Board of Directors’ governance principles. The Governance, Safety &amp; Environment Committee receives updates at each meeting regarding new developments and regulatory trends in the corporate governance arena. Our Corporate Governance Guidelines and committee charters also require, among other things, that each committee and the Board of Directors annually conduct a self-evaluation of their own performance. The evaluation provides an opportunity for an assessment of each member of the Board of Directors.</w:t>
      </w:r>
    </w:p>
    <w:p>
      <w:pPr>
        <w:pStyle w:val="TextBody"/>
        <w:bidi w:val="0"/>
        <w:spacing w:lineRule="auto" w:line="285" w:before="0" w:after="160"/>
        <w:ind w:left="0" w:right="0" w:hanging="0"/>
        <w:jc w:val="both"/>
        <w:rPr>
          <w:rFonts w:ascii="Arial;Helvetica;sans-serif" w:hAnsi="Arial;Helvetica;sans-serif"/>
          <w:sz w:val="32"/>
        </w:rPr>
      </w:pPr>
      <w:r>
        <w:rPr>
          <w:rFonts w:ascii="Arial;Helvetica;sans-serif" w:hAnsi="Arial;Helvetica;sans-serif"/>
          <w:sz w:val="32"/>
        </w:rPr>
        <w:t>Director Shareholding Requirement</w:t>
      </w:r>
    </w:p>
    <w:tbl>
      <w:tblPr>
        <w:tblW w:w="4367" w:type="dxa"/>
        <w:jc w:val="left"/>
        <w:tblInd w:w="0" w:type="dxa"/>
        <w:tblLayout w:type="fixed"/>
        <w:tblCellMar>
          <w:top w:w="0" w:type="dxa"/>
          <w:left w:w="0" w:type="dxa"/>
          <w:bottom w:w="0" w:type="dxa"/>
          <w:right w:w="0" w:type="dxa"/>
        </w:tblCellMar>
      </w:tblPr>
      <w:tblGrid>
        <w:gridCol w:w="2041"/>
        <w:gridCol w:w="2326"/>
      </w:tblGrid>
      <w:tr>
        <w:trPr/>
        <w:tc>
          <w:tcPr>
            <w:tcW w:w="2041" w:type="dxa"/>
            <w:tcBorders/>
            <w:shd w:fill="F2F2F2"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296035" cy="226060"/>
                      <wp:effectExtent l="0" t="0" r="0" b="0"/>
                      <wp:wrapNone/>
                      <wp:docPr id="146" name="Frame53"/>
                      <a:graphic xmlns:a="http://schemas.openxmlformats.org/drawingml/2006/main">
                        <a:graphicData uri="http://schemas.microsoft.com/office/word/2010/wordprocessingShape">
                          <wps:wsp>
                            <wps:cNvSpPr txBox="1"/>
                            <wps:spPr>
                              <a:xfrm>
                                <a:off x="0" y="0"/>
                                <a:ext cx="1296035" cy="226060"/>
                              </a:xfrm>
                              <a:prstGeom prst="rect"/>
                              <a:solidFill>
                                <a:srgbClr val="FFFFFF"/>
                              </a:solidFill>
                            </wps:spPr>
                            <wps:txbx>
                              <w:txbxContent>
                                <w:p>
                                  <w:pPr>
                                    <w:pStyle w:val="TableContents"/>
                                    <w:bidi w:val="0"/>
                                    <w:spacing w:lineRule="auto" w:line="285" w:before="8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7.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80" w:after="0"/>
                              <w:ind w:left="0" w:right="0" w:hanging="0"/>
                              <w:jc w:val="both"/>
                              <w:rPr/>
                            </w:pPr>
                            <w:r>
                              <w:rPr/>
                              <w:t>​</w:t>
                            </w:r>
                          </w:p>
                        </w:txbxContent>
                      </v:textbox>
                      <w10:wrap type="none"/>
                    </v:rect>
                  </w:pict>
                </mc:Fallback>
              </mc:AlternateContent>
            </w:r>
          </w:p>
        </w:tc>
        <w:tc>
          <w:tcPr>
            <w:tcW w:w="2326" w:type="dxa"/>
            <w:tcBorders/>
            <w:shd w:fill="F2F2F2"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477010" cy="226060"/>
                      <wp:effectExtent l="0" t="0" r="0" b="0"/>
                      <wp:wrapNone/>
                      <wp:docPr id="147" name="Frame54"/>
                      <a:graphic xmlns:a="http://schemas.openxmlformats.org/drawingml/2006/main">
                        <a:graphicData uri="http://schemas.microsoft.com/office/word/2010/wordprocessingShape">
                          <wps:wsp>
                            <wps:cNvSpPr txBox="1"/>
                            <wps:spPr>
                              <a:xfrm>
                                <a:off x="0" y="0"/>
                                <a:ext cx="1477010" cy="226060"/>
                              </a:xfrm>
                              <a:prstGeom prst="rect"/>
                              <a:solidFill>
                                <a:srgbClr val="FFFFFF"/>
                              </a:solidFill>
                            </wps:spPr>
                            <wps:txbx>
                              <w:txbxContent>
                                <w:p>
                                  <w:pPr>
                                    <w:pStyle w:val="TableContents"/>
                                    <w:bidi w:val="0"/>
                                    <w:spacing w:lineRule="auto" w:line="285" w:before="8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7.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80" w:after="0"/>
                              <w:ind w:left="0" w:right="0" w:hanging="0"/>
                              <w:jc w:val="both"/>
                              <w:rPr/>
                            </w:pPr>
                            <w:r>
                              <w:rPr/>
                              <w:t>​</w:t>
                            </w:r>
                          </w:p>
                        </w:txbxContent>
                      </v:textbox>
                      <w10:wrap type="none"/>
                    </v:rect>
                  </w:pict>
                </mc:Fallback>
              </mc:AlternateContent>
            </w:r>
          </w:p>
        </w:tc>
      </w:tr>
      <w:tr>
        <w:trPr/>
        <w:tc>
          <w:tcPr>
            <w:tcW w:w="2041" w:type="dxa"/>
            <w:tcBorders/>
            <w:shd w:fill="F2F2F2" w:val="clear"/>
            <w:vAlign w:val="center"/>
          </w:tcPr>
          <w:p>
            <w:pPr>
              <w:pStyle w:val="TableContents"/>
              <w:bidi w:val="0"/>
              <w:spacing w:lineRule="auto" w:line="285" w:before="80" w:after="0"/>
              <w:ind w:left="0" w:right="0" w:hanging="0"/>
              <w:jc w:val="left"/>
              <w:rPr>
                <w:rFonts w:ascii="Arial;Helvetica;sans-serif" w:hAnsi="Arial;Helvetica;sans-serif"/>
                <w:sz w:val="18"/>
              </w:rPr>
            </w:pPr>
            <w:r>
              <w:rPr>
                <w:rFonts w:ascii="Arial;Helvetica;sans-serif" w:hAnsi="Arial;Helvetica;sans-serif"/>
                <w:sz w:val="18"/>
              </w:rPr>
              <w:t>Non-Employee Director</w:t>
            </w:r>
          </w:p>
        </w:tc>
        <w:tc>
          <w:tcPr>
            <w:tcW w:w="2326" w:type="dxa"/>
            <w:tcBorders/>
            <w:shd w:fill="F2F2F2" w:val="clear"/>
            <w:vAlign w:val="center"/>
          </w:tcPr>
          <w:p>
            <w:pPr>
              <w:pStyle w:val="TableContents"/>
              <w:bidi w:val="0"/>
              <w:spacing w:lineRule="auto" w:line="285" w:before="80" w:after="0"/>
              <w:ind w:left="0" w:right="0" w:hanging="0"/>
              <w:jc w:val="left"/>
              <w:rPr>
                <w:rFonts w:ascii="Arial;Helvetica;sans-serif" w:hAnsi="Arial;Helvetica;sans-serif"/>
                <w:sz w:val="18"/>
              </w:rPr>
            </w:pPr>
            <w:r>
              <w:rPr>
                <w:rFonts w:ascii="Arial;Helvetica;sans-serif" w:hAnsi="Arial;Helvetica;sans-serif"/>
                <w:color w:val="005670"/>
                <w:sz w:val="28"/>
              </w:rPr>
              <w:t>5x</w:t>
            </w:r>
            <w:r>
              <w:rPr>
                <w:rFonts w:ascii="Arial;Helvetica;sans-serif" w:hAnsi="Arial;Helvetica;sans-serif"/>
                <w:sz w:val="18"/>
              </w:rPr>
              <w:t xml:space="preserve"> Annual Cash Retainer</w:t>
            </w:r>
          </w:p>
        </w:tc>
      </w:tr>
      <w:tr>
        <w:trPr/>
        <w:tc>
          <w:tcPr>
            <w:tcW w:w="2041" w:type="dxa"/>
            <w:tcBorders/>
            <w:shd w:fill="F2F2F2" w:val="clear"/>
            <w:vAlign w:val="center"/>
          </w:tcPr>
          <w:p>
            <w:pPr>
              <w:pStyle w:val="TableContents"/>
              <w:bidi w:val="0"/>
              <w:spacing w:lineRule="auto" w:line="285" w:before="80" w:after="0"/>
              <w:ind w:left="0" w:right="0" w:hanging="0"/>
              <w:jc w:val="left"/>
              <w:rPr>
                <w:rFonts w:ascii="Arial;Helvetica;sans-serif" w:hAnsi="Arial;Helvetica;sans-serif"/>
                <w:sz w:val="18"/>
              </w:rPr>
            </w:pPr>
            <w:r>
              <w:rPr>
                <w:rFonts w:ascii="Arial;Helvetica;sans-serif" w:hAnsi="Arial;Helvetica;sans-serif"/>
                <w:sz w:val="18"/>
              </w:rPr>
              <w:t>Chief Executive Officer</w:t>
            </w:r>
          </w:p>
          <w:p>
            <w:pPr>
              <w:pStyle w:val="TableContents"/>
              <w:bidi w:val="0"/>
              <w:spacing w:lineRule="auto" w:line="285" w:before="0" w:after="80"/>
              <w:ind w:left="0" w:right="0" w:hanging="0"/>
              <w:jc w:val="left"/>
              <w:rPr>
                <w:rFonts w:ascii="Arial;Helvetica;sans-serif" w:hAnsi="Arial;Helvetica;sans-serif"/>
                <w:sz w:val="18"/>
              </w:rPr>
            </w:pPr>
            <w:r>
              <w:rPr>
                <w:rFonts w:ascii="Arial;Helvetica;sans-serif" w:hAnsi="Arial;Helvetica;sans-serif"/>
                <w:sz w:val="18"/>
              </w:rPr>
              <w:t>Executive Chair</w:t>
            </w:r>
          </w:p>
        </w:tc>
        <w:tc>
          <w:tcPr>
            <w:tcW w:w="2326" w:type="dxa"/>
            <w:tcBorders/>
            <w:shd w:fill="F2F2F2" w:val="clear"/>
            <w:vAlign w:val="center"/>
          </w:tcPr>
          <w:p>
            <w:pPr>
              <w:pStyle w:val="TableContents"/>
              <w:bidi w:val="0"/>
              <w:spacing w:lineRule="auto" w:line="285" w:before="80" w:after="0"/>
              <w:ind w:left="0" w:right="0" w:hanging="0"/>
              <w:jc w:val="left"/>
              <w:rPr>
                <w:rFonts w:ascii="Arial;Helvetica;sans-serif" w:hAnsi="Arial;Helvetica;sans-serif"/>
                <w:sz w:val="18"/>
              </w:rPr>
            </w:pPr>
            <w:r>
              <w:rPr>
                <w:rFonts w:ascii="Arial;Helvetica;sans-serif" w:hAnsi="Arial;Helvetica;sans-serif"/>
                <w:color w:val="005670"/>
                <w:sz w:val="28"/>
              </w:rPr>
              <w:t>6x</w:t>
            </w:r>
            <w:r>
              <w:rPr>
                <w:rFonts w:ascii="Arial;Helvetica;sans-serif" w:hAnsi="Arial;Helvetica;sans-serif"/>
                <w:sz w:val="18"/>
              </w:rPr>
              <w:t xml:space="preserve"> Base Pay</w:t>
            </w:r>
          </w:p>
        </w:tc>
      </w:tr>
    </w:tbl>
    <w:p>
      <w:pPr>
        <w:pStyle w:val="TextBody"/>
        <w:bidi w:val="0"/>
        <w:spacing w:lineRule="auto" w:line="285" w:before="0" w:after="0"/>
        <w:ind w:left="0" w:right="0" w:hanging="0"/>
        <w:jc w:val="both"/>
        <w:rPr/>
      </w:pPr>
      <w:r>
        <w:rPr/>
        <w:t>​</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We have equity ownership guidelines for directors that require each current non-employee director to acquire and retain a number of our shares and/or restricted units at least equal in value to an amount five times the director’s annual cash retainer. Each new director is required to acquire and retain such number of shares, and/or restricted units during his or her initial five years as a director. Our Chief Executive Officer and Executive Chair are subject to separate officer share ownership guidelines providing for a more stringent requirement of six times their base pay. In connection with such ownership requirement, the Board of Directors currently grants restricted share units to each of our non-employee directors. See Compensation Discussion and Analysis for more information about these guidelines.</w:t>
      </w:r>
    </w:p>
    <w:p>
      <w:pPr>
        <w:pStyle w:val="TextBody"/>
        <w:bidi w:val="0"/>
        <w:spacing w:lineRule="auto" w:line="285" w:before="0" w:after="160"/>
        <w:ind w:left="0" w:right="0" w:hanging="0"/>
        <w:jc w:val="both"/>
        <w:rPr>
          <w:rFonts w:ascii="Arial;Helvetica;sans-serif" w:hAnsi="Arial;Helvetica;sans-serif"/>
          <w:sz w:val="32"/>
        </w:rPr>
      </w:pPr>
      <w:r>
        <w:rPr>
          <w:rFonts w:ascii="Arial;Helvetica;sans-serif" w:hAnsi="Arial;Helvetica;sans-serif"/>
          <w:sz w:val="32"/>
        </w:rPr>
        <w:t>Trading, Hedging and Pledging</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 xml:space="preserve">We maintain an insider trading policy (the “Insider Trading Policy”) governing the purchase, sale and other dispositions of our securities by our directors, officers and employees, including family members and other individuals living in their respective households and procedures for the Company itself that we believe are reasonably designed to promote compliance with insider trading laws, rules and regulations, as well as applicable NYSE listing standards. Our Insider Trading Policy prohibits such persons, including their respective wholly-owned businesses, from pledging, hedging or holding Company securities in a margin account. In addition, with regard to the Company’s trading in its own securities, it is the Company’s policy to comply with the federal securities laws and applicable NYSE listing standards. </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Company’s Insider Trading Policy is attached as an exhibit to the Company’s Annual Report on Form 10-K filed with the SEC on February 23, 2026.</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P-55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2945" w:type="dxa"/>
        <w:jc w:val="left"/>
        <w:tblInd w:w="0" w:type="dxa"/>
        <w:tblLayout w:type="fixed"/>
        <w:tblCellMar>
          <w:top w:w="0" w:type="dxa"/>
          <w:left w:w="0" w:type="dxa"/>
          <w:bottom w:w="0" w:type="dxa"/>
          <w:right w:w="0" w:type="dxa"/>
        </w:tblCellMar>
      </w:tblPr>
      <w:tblGrid>
        <w:gridCol w:w="2791"/>
        <w:gridCol w:w="154"/>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279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CORPORATE GOVERNANCE</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32"/>
        </w:rPr>
      </w:pPr>
      <w:bookmarkStart w:id="112" w:name="_06217cde_949d_4ad3_9e5a_c5a6c01c80fd"/>
      <w:bookmarkEnd w:id="112"/>
      <w:r>
        <w:rPr>
          <w:rFonts w:ascii="Arial;Helvetica;sans-serif" w:hAnsi="Arial;Helvetica;sans-serif"/>
          <w:sz w:val="32"/>
        </w:rPr>
        <w:t>Governance Documents</w:t>
      </w:r>
    </w:p>
    <w:p>
      <w:pPr>
        <w:pStyle w:val="TextBody"/>
        <w:bidi w:val="0"/>
        <w:spacing w:lineRule="auto" w:line="285" w:before="0" w:after="100"/>
        <w:ind w:left="0" w:right="0" w:hanging="0"/>
        <w:jc w:val="both"/>
        <w:rPr>
          <w:rFonts w:ascii="Arial;Helvetica;sans-serif" w:hAnsi="Arial;Helvetica;sans-serif"/>
          <w:sz w:val="20"/>
        </w:rPr>
      </w:pPr>
      <w:r>
        <w:rPr>
          <w:rFonts w:ascii="Arial;Helvetica;sans-serif" w:hAnsi="Arial;Helvetica;sans-serif"/>
          <w:sz w:val="20"/>
        </w:rPr>
        <w:t xml:space="preserve">Our current governance documents may be found on our website at </w:t>
      </w:r>
      <w:r>
        <w:rPr>
          <w:rFonts w:ascii="Arial;Helvetica;sans-serif" w:hAnsi="Arial;Helvetica;sans-serif"/>
          <w:color w:val="005670"/>
          <w:sz w:val="20"/>
        </w:rPr>
        <w:t>www.deepwater.com</w:t>
      </w:r>
      <w:r>
        <w:rPr>
          <w:rFonts w:ascii="Arial;Helvetica;sans-serif" w:hAnsi="Arial;Helvetica;sans-serif"/>
          <w:sz w:val="20"/>
        </w:rPr>
        <w:t xml:space="preserve"> by selecting the Governance page in the Investors section dropdown</w:t>
      </w:r>
      <w:r>
        <w:rPr>
          <w:rFonts w:ascii="Arial;Helvetica;sans-serif" w:hAnsi="Arial;Helvetica;sans-serif"/>
          <w:i/>
          <w:sz w:val="20"/>
        </w:rPr>
        <w:t>.</w:t>
      </w:r>
      <w:r>
        <w:rPr>
          <w:rFonts w:ascii="Arial;Helvetica;sans-serif" w:hAnsi="Arial;Helvetica;sans-serif"/>
          <w:sz w:val="20"/>
        </w:rPr>
        <w:t xml:space="preserve"> Among the information you can find there is the following:</w:t>
      </w:r>
    </w:p>
    <w:tbl>
      <w:tblPr>
        <w:tblW w:w="10205" w:type="dxa"/>
        <w:jc w:val="left"/>
        <w:tblInd w:w="0" w:type="dxa"/>
        <w:tblLayout w:type="fixed"/>
        <w:tblCellMar>
          <w:top w:w="0" w:type="dxa"/>
          <w:left w:w="0" w:type="dxa"/>
          <w:bottom w:w="28" w:type="dxa"/>
          <w:right w:w="0" w:type="dxa"/>
        </w:tblCellMar>
      </w:tblPr>
      <w:tblGrid>
        <w:gridCol w:w="4391"/>
        <w:gridCol w:w="109"/>
        <w:gridCol w:w="2796"/>
        <w:gridCol w:w="109"/>
        <w:gridCol w:w="2800"/>
      </w:tblGrid>
      <w:tr>
        <w:trPr/>
        <w:tc>
          <w:tcPr>
            <w:tcW w:w="4391" w:type="dxa"/>
            <w:tcBorders>
              <w:bottom w:val="single" w:sz="12" w:space="0" w:color="ECA44A"/>
            </w:tcBorders>
            <w:vAlign w:val="center"/>
          </w:tcPr>
          <w:p>
            <w:pPr>
              <w:pStyle w:val="TableContents"/>
              <w:bidi w:val="0"/>
              <w:spacing w:lineRule="auto" w:line="285" w:before="0" w:after="0"/>
              <w:ind w:left="0" w:right="0" w:hanging="0"/>
              <w:jc w:val="center"/>
              <w:rPr>
                <w:color w:val="4B4F54"/>
              </w:rPr>
            </w:pPr>
            <w:r>
              <w:rPr>
                <w:color w:val="4B4F54"/>
              </w:rPr>
              <w:t>​</w:t>
            </w:r>
          </w:p>
        </w:tc>
        <w:tc>
          <w:tcPr>
            <w:tcW w:w="109" w:type="dxa"/>
            <w:tcBorders/>
            <w:tcMar>
              <w:bottom w:w="0" w:type="dxa"/>
            </w:tcMar>
            <w:vAlign w:val="center"/>
          </w:tcPr>
          <w:p>
            <w:pPr>
              <w:pStyle w:val="TableContents"/>
              <w:bidi w:val="0"/>
              <w:spacing w:lineRule="auto" w:line="285" w:before="0" w:after="0"/>
              <w:ind w:left="0" w:right="0" w:hanging="0"/>
              <w:jc w:val="center"/>
              <w:rPr>
                <w:color w:val="4B4F54"/>
              </w:rPr>
            </w:pPr>
            <w:r>
              <w:rPr>
                <w:color w:val="4B4F54"/>
              </w:rPr>
              <w:t>​</w:t>
            </w:r>
          </w:p>
        </w:tc>
        <w:tc>
          <w:tcPr>
            <w:tcW w:w="2796" w:type="dxa"/>
            <w:tcBorders>
              <w:bottom w:val="single" w:sz="12" w:space="0" w:color="ECA44A"/>
            </w:tcBorders>
            <w:vAlign w:val="center"/>
          </w:tcPr>
          <w:p>
            <w:pPr>
              <w:pStyle w:val="TableContents"/>
              <w:bidi w:val="0"/>
              <w:spacing w:lineRule="auto" w:line="285" w:before="0" w:after="0"/>
              <w:ind w:left="0" w:right="0" w:hanging="0"/>
              <w:jc w:val="center"/>
              <w:rPr>
                <w:color w:val="4B4F54"/>
              </w:rPr>
            </w:pPr>
            <w:r>
              <w:rPr>
                <w:color w:val="4B4F54"/>
              </w:rPr>
              <w:t>​</w:t>
            </w:r>
          </w:p>
        </w:tc>
        <w:tc>
          <w:tcPr>
            <w:tcW w:w="109" w:type="dxa"/>
            <w:tcBorders/>
            <w:tcMar>
              <w:bottom w:w="0" w:type="dxa"/>
            </w:tcMar>
            <w:vAlign w:val="center"/>
          </w:tcPr>
          <w:p>
            <w:pPr>
              <w:pStyle w:val="TableContents"/>
              <w:bidi w:val="0"/>
              <w:spacing w:lineRule="auto" w:line="285" w:before="0" w:after="0"/>
              <w:ind w:left="0" w:right="0" w:hanging="0"/>
              <w:jc w:val="center"/>
              <w:rPr>
                <w:color w:val="4B4F54"/>
              </w:rPr>
            </w:pPr>
            <w:r>
              <w:rPr>
                <w:color w:val="4B4F54"/>
              </w:rPr>
              <w:t>​</w:t>
            </w:r>
          </w:p>
        </w:tc>
        <w:tc>
          <w:tcPr>
            <w:tcW w:w="2800" w:type="dxa"/>
            <w:tcBorders>
              <w:bottom w:val="single" w:sz="12" w:space="0" w:color="ECA44A"/>
            </w:tcBorders>
            <w:vAlign w:val="center"/>
          </w:tcPr>
          <w:p>
            <w:pPr>
              <w:pStyle w:val="TableContents"/>
              <w:bidi w:val="0"/>
              <w:spacing w:lineRule="auto" w:line="285" w:before="0" w:after="0"/>
              <w:ind w:left="0" w:right="0" w:hanging="0"/>
              <w:jc w:val="center"/>
              <w:rPr>
                <w:color w:val="4B4F54"/>
              </w:rPr>
            </w:pPr>
            <w:r>
              <w:rPr>
                <w:color w:val="4B4F54"/>
              </w:rPr>
              <w:t>​</w:t>
            </w:r>
          </w:p>
        </w:tc>
      </w:tr>
      <w:tr>
        <w:trPr/>
        <w:tc>
          <w:tcPr>
            <w:tcW w:w="4391" w:type="dxa"/>
            <w:tcBorders>
              <w:top w:val="single" w:sz="12" w:space="0" w:color="ECA44A"/>
              <w:bottom w:val="single" w:sz="2" w:space="0" w:color="000000"/>
            </w:tcBorders>
            <w:tcMar>
              <w:top w:w="28" w:type="dxa"/>
            </w:tcMar>
            <w:vAlign w:val="center"/>
          </w:tcPr>
          <w:p>
            <w:pPr>
              <w:pStyle w:val="TableContents"/>
              <w:bidi w:val="0"/>
              <w:spacing w:lineRule="auto" w:line="285" w:before="80" w:after="80"/>
              <w:ind w:left="0" w:right="0" w:hanging="0"/>
              <w:jc w:val="left"/>
              <w:rPr>
                <w:rFonts w:ascii="Arial;Helvetica;sans-serif" w:hAnsi="Arial;Helvetica;sans-serif"/>
                <w:sz w:val="20"/>
              </w:rPr>
            </w:pPr>
            <w:r>
              <w:rPr>
                <w:rFonts w:ascii="Arial;Helvetica;sans-serif" w:hAnsi="Arial;Helvetica;sans-serif"/>
                <w:sz w:val="20"/>
              </w:rPr>
              <w:t>Articles of Association</w:t>
            </w:r>
          </w:p>
        </w:tc>
        <w:tc>
          <w:tcPr>
            <w:tcW w:w="109" w:type="dxa"/>
            <w:tcBorders/>
            <w:tcMar>
              <w:bottom w:w="0" w:type="dxa"/>
            </w:tcMar>
            <w:vAlign w:val="center"/>
          </w:tcPr>
          <w:p>
            <w:pPr>
              <w:pStyle w:val="TableContents"/>
              <w:bidi w:val="0"/>
              <w:spacing w:lineRule="auto" w:line="285" w:before="0" w:after="0"/>
              <w:ind w:left="0" w:right="0" w:hanging="0"/>
              <w:jc w:val="left"/>
              <w:rPr/>
            </w:pPr>
            <w:r>
              <w:rPr/>
              <w:t>​</w:t>
            </w:r>
          </w:p>
        </w:tc>
        <w:tc>
          <w:tcPr>
            <w:tcW w:w="2796" w:type="dxa"/>
            <w:tcBorders>
              <w:top w:val="single" w:sz="12" w:space="0" w:color="ECA44A"/>
              <w:bottom w:val="single" w:sz="2" w:space="0" w:color="000000"/>
            </w:tcBorders>
            <w:tcMar>
              <w:top w:w="28" w:type="dxa"/>
            </w:tcMar>
            <w:vAlign w:val="center"/>
          </w:tcPr>
          <w:p>
            <w:pPr>
              <w:pStyle w:val="TableContents"/>
              <w:bidi w:val="0"/>
              <w:spacing w:lineRule="auto" w:line="285" w:before="80" w:after="80"/>
              <w:ind w:left="0" w:right="0" w:hanging="0"/>
              <w:jc w:val="left"/>
              <w:rPr>
                <w:rFonts w:ascii="Arial;Helvetica;sans-serif" w:hAnsi="Arial;Helvetica;sans-serif"/>
                <w:sz w:val="20"/>
              </w:rPr>
            </w:pPr>
            <w:r>
              <w:rPr>
                <w:rFonts w:ascii="Arial;Helvetica;sans-serif" w:hAnsi="Arial;Helvetica;sans-serif"/>
                <w:sz w:val="20"/>
              </w:rPr>
              <w:t>Organizational Regulations</w:t>
            </w:r>
          </w:p>
        </w:tc>
        <w:tc>
          <w:tcPr>
            <w:tcW w:w="109" w:type="dxa"/>
            <w:tcBorders/>
            <w:tcMar>
              <w:bottom w:w="0" w:type="dxa"/>
            </w:tcMar>
            <w:vAlign w:val="center"/>
          </w:tcPr>
          <w:p>
            <w:pPr>
              <w:pStyle w:val="TableContents"/>
              <w:bidi w:val="0"/>
              <w:spacing w:lineRule="auto" w:line="285" w:before="0" w:after="0"/>
              <w:ind w:left="0" w:right="0" w:hanging="0"/>
              <w:jc w:val="left"/>
              <w:rPr/>
            </w:pPr>
            <w:r>
              <w:rPr/>
              <w:t>​</w:t>
            </w:r>
          </w:p>
        </w:tc>
        <w:tc>
          <w:tcPr>
            <w:tcW w:w="2800" w:type="dxa"/>
            <w:tcBorders>
              <w:top w:val="single" w:sz="12" w:space="0" w:color="ECA44A"/>
              <w:bottom w:val="single" w:sz="2" w:space="0" w:color="000000"/>
            </w:tcBorders>
            <w:tcMar>
              <w:top w:w="28" w:type="dxa"/>
            </w:tcMar>
            <w:vAlign w:val="center"/>
          </w:tcPr>
          <w:p>
            <w:pPr>
              <w:pStyle w:val="TableContents"/>
              <w:bidi w:val="0"/>
              <w:spacing w:lineRule="auto" w:line="285" w:before="80" w:after="80"/>
              <w:ind w:left="0" w:right="0" w:hanging="0"/>
              <w:jc w:val="left"/>
              <w:rPr>
                <w:rFonts w:ascii="Arial;Helvetica;sans-serif" w:hAnsi="Arial;Helvetica;sans-serif"/>
                <w:sz w:val="20"/>
              </w:rPr>
            </w:pPr>
            <w:r>
              <w:rPr>
                <w:rFonts w:ascii="Arial;Helvetica;sans-serif" w:hAnsi="Arial;Helvetica;sans-serif"/>
                <w:sz w:val="20"/>
              </w:rPr>
              <w:t>Corporate Governance Guidelines</w:t>
            </w:r>
          </w:p>
        </w:tc>
      </w:tr>
      <w:tr>
        <w:trPr/>
        <w:tc>
          <w:tcPr>
            <w:tcW w:w="4391" w:type="dxa"/>
            <w:tcBorders>
              <w:top w:val="single" w:sz="2" w:space="0" w:color="000000"/>
              <w:bottom w:val="single" w:sz="2" w:space="0" w:color="000000"/>
            </w:tcBorders>
            <w:tcMar>
              <w:top w:w="28" w:type="dxa"/>
            </w:tcMar>
            <w:vAlign w:val="center"/>
          </w:tcPr>
          <w:p>
            <w:pPr>
              <w:pStyle w:val="TableContents"/>
              <w:bidi w:val="0"/>
              <w:spacing w:lineRule="auto" w:line="285" w:before="80" w:after="80"/>
              <w:ind w:left="0" w:right="0" w:hanging="0"/>
              <w:jc w:val="left"/>
              <w:rPr>
                <w:rFonts w:ascii="Arial;Helvetica;sans-serif" w:hAnsi="Arial;Helvetica;sans-serif"/>
                <w:sz w:val="20"/>
              </w:rPr>
            </w:pPr>
            <w:r>
              <w:rPr>
                <w:rFonts w:ascii="Arial;Helvetica;sans-serif" w:hAnsi="Arial;Helvetica;sans-serif"/>
                <w:sz w:val="20"/>
              </w:rPr>
              <w:t>Audit Committee Charter</w:t>
            </w:r>
          </w:p>
        </w:tc>
        <w:tc>
          <w:tcPr>
            <w:tcW w:w="109" w:type="dxa"/>
            <w:tcBorders/>
            <w:tcMar>
              <w:bottom w:w="0" w:type="dxa"/>
            </w:tcMar>
            <w:vAlign w:val="center"/>
          </w:tcPr>
          <w:p>
            <w:pPr>
              <w:pStyle w:val="TableContents"/>
              <w:bidi w:val="0"/>
              <w:spacing w:lineRule="auto" w:line="285" w:before="0" w:after="0"/>
              <w:ind w:left="0" w:right="0" w:hanging="0"/>
              <w:jc w:val="left"/>
              <w:rPr/>
            </w:pPr>
            <w:r>
              <w:rPr/>
              <w:t>​</w:t>
            </w:r>
          </w:p>
        </w:tc>
        <w:tc>
          <w:tcPr>
            <w:tcW w:w="2796" w:type="dxa"/>
            <w:tcBorders>
              <w:top w:val="single" w:sz="2" w:space="0" w:color="000000"/>
              <w:bottom w:val="single" w:sz="2" w:space="0" w:color="000000"/>
            </w:tcBorders>
            <w:tcMar>
              <w:top w:w="28" w:type="dxa"/>
            </w:tcMar>
            <w:vAlign w:val="center"/>
          </w:tcPr>
          <w:p>
            <w:pPr>
              <w:pStyle w:val="TableContents"/>
              <w:bidi w:val="0"/>
              <w:spacing w:lineRule="auto" w:line="285" w:before="80" w:after="80"/>
              <w:ind w:left="0" w:right="0" w:hanging="0"/>
              <w:jc w:val="left"/>
              <w:rPr>
                <w:rFonts w:ascii="Arial;Helvetica;sans-serif" w:hAnsi="Arial;Helvetica;sans-serif"/>
                <w:sz w:val="20"/>
              </w:rPr>
            </w:pPr>
            <w:r>
              <w:rPr>
                <w:rFonts w:ascii="Arial;Helvetica;sans-serif" w:hAnsi="Arial;Helvetica;sans-serif"/>
                <w:sz w:val="20"/>
              </w:rPr>
              <w:t>Compensation Committee Charter</w:t>
            </w:r>
          </w:p>
        </w:tc>
        <w:tc>
          <w:tcPr>
            <w:tcW w:w="109" w:type="dxa"/>
            <w:tcBorders/>
            <w:tcMar>
              <w:bottom w:w="0" w:type="dxa"/>
            </w:tcMar>
            <w:vAlign w:val="center"/>
          </w:tcPr>
          <w:p>
            <w:pPr>
              <w:pStyle w:val="TableContents"/>
              <w:bidi w:val="0"/>
              <w:spacing w:lineRule="auto" w:line="285" w:before="0" w:after="0"/>
              <w:ind w:left="0" w:right="0" w:hanging="0"/>
              <w:jc w:val="left"/>
              <w:rPr/>
            </w:pPr>
            <w:r>
              <w:rPr/>
              <w:t>​</w:t>
            </w:r>
          </w:p>
        </w:tc>
        <w:tc>
          <w:tcPr>
            <w:tcW w:w="2800" w:type="dxa"/>
            <w:tcBorders>
              <w:top w:val="single" w:sz="2" w:space="0" w:color="000000"/>
              <w:bottom w:val="single" w:sz="2" w:space="0" w:color="000000"/>
            </w:tcBorders>
            <w:tcMar>
              <w:top w:w="28" w:type="dxa"/>
            </w:tcMar>
            <w:vAlign w:val="center"/>
          </w:tcPr>
          <w:p>
            <w:pPr>
              <w:pStyle w:val="TableContents"/>
              <w:bidi w:val="0"/>
              <w:spacing w:lineRule="auto" w:line="285" w:before="80" w:after="80"/>
              <w:ind w:left="0" w:right="0" w:hanging="0"/>
              <w:jc w:val="left"/>
              <w:rPr>
                <w:rFonts w:ascii="Arial;Helvetica;sans-serif" w:hAnsi="Arial;Helvetica;sans-serif"/>
                <w:sz w:val="20"/>
              </w:rPr>
            </w:pPr>
            <w:r>
              <w:rPr>
                <w:rFonts w:ascii="Arial;Helvetica;sans-serif" w:hAnsi="Arial;Helvetica;sans-serif"/>
                <w:sz w:val="20"/>
              </w:rPr>
              <w:t>Finance Committee Charter</w:t>
            </w:r>
          </w:p>
        </w:tc>
      </w:tr>
      <w:tr>
        <w:trPr/>
        <w:tc>
          <w:tcPr>
            <w:tcW w:w="4391" w:type="dxa"/>
            <w:tcBorders>
              <w:top w:val="single" w:sz="2" w:space="0" w:color="000000"/>
              <w:bottom w:val="single" w:sz="2" w:space="0" w:color="000000"/>
            </w:tcBorders>
            <w:tcMar>
              <w:top w:w="28" w:type="dxa"/>
            </w:tcMar>
            <w:vAlign w:val="center"/>
          </w:tcPr>
          <w:p>
            <w:pPr>
              <w:pStyle w:val="TableContents"/>
              <w:bidi w:val="0"/>
              <w:spacing w:lineRule="auto" w:line="285" w:before="80" w:after="80"/>
              <w:ind w:left="0" w:right="0" w:hanging="0"/>
              <w:jc w:val="left"/>
              <w:rPr>
                <w:rFonts w:ascii="Arial;Helvetica;sans-serif" w:hAnsi="Arial;Helvetica;sans-serif"/>
                <w:sz w:val="20"/>
              </w:rPr>
            </w:pPr>
            <w:r>
              <w:rPr>
                <w:rFonts w:ascii="Arial;Helvetica;sans-serif" w:hAnsi="Arial;Helvetica;sans-serif"/>
                <w:sz w:val="20"/>
              </w:rPr>
              <w:t>Governance, Safety &amp; Environment Committee Charter</w:t>
            </w:r>
          </w:p>
        </w:tc>
        <w:tc>
          <w:tcPr>
            <w:tcW w:w="109" w:type="dxa"/>
            <w:tcBorders/>
            <w:tcMar>
              <w:bottom w:w="0" w:type="dxa"/>
            </w:tcMar>
            <w:vAlign w:val="center"/>
          </w:tcPr>
          <w:p>
            <w:pPr>
              <w:pStyle w:val="TableContents"/>
              <w:bidi w:val="0"/>
              <w:spacing w:lineRule="auto" w:line="285" w:before="0" w:after="0"/>
              <w:ind w:left="0" w:right="0" w:hanging="0"/>
              <w:jc w:val="left"/>
              <w:rPr/>
            </w:pPr>
            <w:r>
              <w:rPr/>
              <w:t>​</w:t>
            </w:r>
          </w:p>
        </w:tc>
        <w:tc>
          <w:tcPr>
            <w:tcW w:w="2796" w:type="dxa"/>
            <w:tcBorders>
              <w:top w:val="single" w:sz="2" w:space="0" w:color="000000"/>
              <w:bottom w:val="single" w:sz="2" w:space="0" w:color="000000"/>
            </w:tcBorders>
            <w:tcMar>
              <w:top w:w="28" w:type="dxa"/>
            </w:tcMar>
            <w:vAlign w:val="center"/>
          </w:tcPr>
          <w:p>
            <w:pPr>
              <w:pStyle w:val="TableContents"/>
              <w:bidi w:val="0"/>
              <w:spacing w:lineRule="auto" w:line="285" w:before="80" w:after="80"/>
              <w:ind w:left="0" w:right="0" w:hanging="0"/>
              <w:jc w:val="left"/>
              <w:rPr>
                <w:rFonts w:ascii="Arial;Helvetica;sans-serif" w:hAnsi="Arial;Helvetica;sans-serif"/>
                <w:sz w:val="20"/>
              </w:rPr>
            </w:pPr>
            <w:r>
              <w:rPr>
                <w:rFonts w:ascii="Arial;Helvetica;sans-serif" w:hAnsi="Arial;Helvetica;sans-serif"/>
                <w:sz w:val="20"/>
              </w:rPr>
              <w:t>Code of Integrity</w:t>
            </w:r>
          </w:p>
        </w:tc>
        <w:tc>
          <w:tcPr>
            <w:tcW w:w="109" w:type="dxa"/>
            <w:tcBorders/>
            <w:tcMar>
              <w:bottom w:w="0" w:type="dxa"/>
            </w:tcMar>
            <w:vAlign w:val="center"/>
          </w:tcPr>
          <w:p>
            <w:pPr>
              <w:pStyle w:val="TableContents"/>
              <w:bidi w:val="0"/>
              <w:spacing w:lineRule="auto" w:line="285" w:before="0" w:after="0"/>
              <w:ind w:left="0" w:right="0" w:hanging="0"/>
              <w:jc w:val="left"/>
              <w:rPr/>
            </w:pPr>
            <w:r>
              <w:rPr/>
              <w:t>​</w:t>
            </w:r>
          </w:p>
        </w:tc>
        <w:tc>
          <w:tcPr>
            <w:tcW w:w="2800" w:type="dxa"/>
            <w:tcBorders>
              <w:top w:val="single" w:sz="2" w:space="0" w:color="000000"/>
              <w:bottom w:val="single" w:sz="2" w:space="0" w:color="000000"/>
            </w:tcBorders>
            <w:tcMar>
              <w:top w:w="28" w:type="dxa"/>
            </w:tcMar>
            <w:vAlign w:val="center"/>
          </w:tcPr>
          <w:p>
            <w:pPr>
              <w:pStyle w:val="TableContents"/>
              <w:bidi w:val="0"/>
              <w:spacing w:lineRule="auto" w:line="285" w:before="80" w:after="80"/>
              <w:ind w:left="0" w:right="0" w:hanging="0"/>
              <w:jc w:val="left"/>
              <w:rPr>
                <w:rFonts w:ascii="Arial;Helvetica;sans-serif" w:hAnsi="Arial;Helvetica;sans-serif"/>
                <w:sz w:val="20"/>
              </w:rPr>
            </w:pPr>
            <w:r>
              <w:rPr>
                <w:rFonts w:ascii="Arial;Helvetica;sans-serif" w:hAnsi="Arial;Helvetica;sans-serif"/>
                <w:sz w:val="20"/>
              </w:rPr>
              <w:t xml:space="preserve">FIRST </w:t>
            </w:r>
            <w:r>
              <w:rPr>
                <w:rFonts w:ascii="Arial;Helvetica;sans-serif" w:hAnsi="Arial;Helvetica;sans-serif"/>
                <w:i/>
                <w:sz w:val="20"/>
              </w:rPr>
              <w:t>Shared Values</w:t>
            </w:r>
          </w:p>
        </w:tc>
      </w:tr>
      <w:tr>
        <w:trPr/>
        <w:tc>
          <w:tcPr>
            <w:tcW w:w="4391" w:type="dxa"/>
            <w:tcBorders>
              <w:top w:val="single" w:sz="2" w:space="0" w:color="000000"/>
              <w:bottom w:val="single" w:sz="2" w:space="0" w:color="000000"/>
            </w:tcBorders>
            <w:tcMar>
              <w:top w:w="28" w:type="dxa"/>
            </w:tcMar>
            <w:vAlign w:val="center"/>
          </w:tcPr>
          <w:p>
            <w:pPr>
              <w:pStyle w:val="TableContents"/>
              <w:bidi w:val="0"/>
              <w:spacing w:lineRule="auto" w:line="285" w:before="80" w:after="80"/>
              <w:ind w:left="0" w:right="0" w:hanging="0"/>
              <w:jc w:val="left"/>
              <w:rPr>
                <w:rFonts w:ascii="Arial;Helvetica;sans-serif" w:hAnsi="Arial;Helvetica;sans-serif"/>
                <w:sz w:val="20"/>
              </w:rPr>
            </w:pPr>
            <w:r>
              <w:rPr>
                <w:rFonts w:ascii="Arial;Helvetica;sans-serif" w:hAnsi="Arial;Helvetica;sans-serif"/>
                <w:sz w:val="20"/>
              </w:rPr>
              <w:t>Mission Statement</w:t>
            </w:r>
          </w:p>
        </w:tc>
        <w:tc>
          <w:tcPr>
            <w:tcW w:w="109" w:type="dxa"/>
            <w:tcBorders/>
            <w:tcMar>
              <w:bottom w:w="0" w:type="dxa"/>
            </w:tcMar>
            <w:vAlign w:val="center"/>
          </w:tcPr>
          <w:p>
            <w:pPr>
              <w:pStyle w:val="TableContents"/>
              <w:bidi w:val="0"/>
              <w:spacing w:lineRule="auto" w:line="285" w:before="0" w:after="0"/>
              <w:ind w:left="0" w:right="0" w:hanging="0"/>
              <w:jc w:val="left"/>
              <w:rPr/>
            </w:pPr>
            <w:r>
              <w:rPr/>
              <w:t>​</w:t>
            </w:r>
          </w:p>
        </w:tc>
        <w:tc>
          <w:tcPr>
            <w:tcW w:w="2796" w:type="dxa"/>
            <w:tcBorders>
              <w:top w:val="single" w:sz="2" w:space="0" w:color="000000"/>
              <w:bottom w:val="single" w:sz="2" w:space="0" w:color="000000"/>
            </w:tcBorders>
            <w:tcMar>
              <w:top w:w="28" w:type="dxa"/>
            </w:tcMar>
            <w:vAlign w:val="center"/>
          </w:tcPr>
          <w:p>
            <w:pPr>
              <w:pStyle w:val="TableContents"/>
              <w:bidi w:val="0"/>
              <w:spacing w:lineRule="auto" w:line="285" w:before="80" w:after="80"/>
              <w:ind w:left="0" w:right="0" w:hanging="0"/>
              <w:jc w:val="left"/>
              <w:rPr>
                <w:rFonts w:ascii="Arial;Helvetica;sans-serif" w:hAnsi="Arial;Helvetica;sans-serif"/>
                <w:sz w:val="20"/>
              </w:rPr>
            </w:pPr>
            <w:r>
              <w:rPr>
                <w:rFonts w:ascii="Arial;Helvetica;sans-serif" w:hAnsi="Arial;Helvetica;sans-serif"/>
                <w:sz w:val="20"/>
              </w:rPr>
              <w:t>HSES Policy Statement</w:t>
            </w:r>
          </w:p>
        </w:tc>
        <w:tc>
          <w:tcPr>
            <w:tcW w:w="109" w:type="dxa"/>
            <w:tcBorders/>
            <w:tcMar>
              <w:bottom w:w="0" w:type="dxa"/>
            </w:tcMar>
            <w:vAlign w:val="center"/>
          </w:tcPr>
          <w:p>
            <w:pPr>
              <w:pStyle w:val="TableContents"/>
              <w:bidi w:val="0"/>
              <w:spacing w:lineRule="auto" w:line="285" w:before="0" w:after="0"/>
              <w:ind w:left="0" w:right="0" w:hanging="0"/>
              <w:jc w:val="left"/>
              <w:rPr/>
            </w:pPr>
            <w:r>
              <w:rPr/>
              <w:t>​</w:t>
            </w:r>
          </w:p>
        </w:tc>
        <w:tc>
          <w:tcPr>
            <w:tcW w:w="2800" w:type="dxa"/>
            <w:tcBorders>
              <w:top w:val="single" w:sz="2" w:space="0" w:color="000000"/>
              <w:bottom w:val="single" w:sz="2" w:space="0" w:color="000000"/>
            </w:tcBorders>
            <w:tcMar>
              <w:top w:w="28" w:type="dxa"/>
            </w:tcMar>
            <w:vAlign w:val="center"/>
          </w:tcPr>
          <w:p>
            <w:pPr>
              <w:pStyle w:val="TableContents"/>
              <w:bidi w:val="0"/>
              <w:spacing w:lineRule="auto" w:line="285" w:before="80" w:after="80"/>
              <w:ind w:left="0" w:right="0" w:hanging="0"/>
              <w:jc w:val="left"/>
              <w:rPr>
                <w:rFonts w:ascii="Arial;Helvetica;sans-serif" w:hAnsi="Arial;Helvetica;sans-serif"/>
                <w:sz w:val="20"/>
              </w:rPr>
            </w:pPr>
            <w:r>
              <w:rPr>
                <w:rFonts w:ascii="Arial;Helvetica;sans-serif" w:hAnsi="Arial;Helvetica;sans-serif"/>
                <w:sz w:val="20"/>
              </w:rPr>
              <w:t>Human Rights Report</w:t>
            </w:r>
          </w:p>
        </w:tc>
      </w:tr>
      <w:tr>
        <w:trPr/>
        <w:tc>
          <w:tcPr>
            <w:tcW w:w="4391" w:type="dxa"/>
            <w:tcBorders>
              <w:top w:val="single" w:sz="2" w:space="0" w:color="000000"/>
              <w:bottom w:val="single" w:sz="12" w:space="0" w:color="005670"/>
            </w:tcBorders>
            <w:tcMar>
              <w:top w:w="28" w:type="dxa"/>
            </w:tcMar>
            <w:vAlign w:val="center"/>
          </w:tcPr>
          <w:p>
            <w:pPr>
              <w:pStyle w:val="TableContents"/>
              <w:bidi w:val="0"/>
              <w:spacing w:lineRule="auto" w:line="285" w:before="80" w:after="80"/>
              <w:ind w:left="0" w:right="0" w:hanging="0"/>
              <w:jc w:val="left"/>
              <w:rPr>
                <w:rFonts w:ascii="Arial;Helvetica;sans-serif" w:hAnsi="Arial;Helvetica;sans-serif"/>
                <w:sz w:val="20"/>
              </w:rPr>
            </w:pPr>
            <w:r>
              <w:rPr>
                <w:rFonts w:ascii="Arial;Helvetica;sans-serif" w:hAnsi="Arial;Helvetica;sans-serif"/>
                <w:sz w:val="20"/>
              </w:rPr>
              <w:t>Human Rights Policy Statement</w:t>
            </w:r>
          </w:p>
        </w:tc>
        <w:tc>
          <w:tcPr>
            <w:tcW w:w="109" w:type="dxa"/>
            <w:tcBorders/>
            <w:tcMar>
              <w:bottom w:w="0" w:type="dxa"/>
            </w:tcMar>
            <w:vAlign w:val="center"/>
          </w:tcPr>
          <w:p>
            <w:pPr>
              <w:pStyle w:val="TableContents"/>
              <w:bidi w:val="0"/>
              <w:spacing w:lineRule="auto" w:line="285" w:before="0" w:after="0"/>
              <w:ind w:left="0" w:right="0" w:hanging="0"/>
              <w:jc w:val="left"/>
              <w:rPr/>
            </w:pPr>
            <w:r>
              <w:rPr/>
              <w:t>​</w:t>
            </w:r>
          </w:p>
        </w:tc>
        <w:tc>
          <w:tcPr>
            <w:tcW w:w="2796" w:type="dxa"/>
            <w:tcBorders>
              <w:top w:val="single" w:sz="2" w:space="0" w:color="000000"/>
              <w:bottom w:val="single" w:sz="12" w:space="0" w:color="005670"/>
            </w:tcBorders>
            <w:tcMar>
              <w:top w:w="28" w:type="dxa"/>
            </w:tcMar>
            <w:vAlign w:val="center"/>
          </w:tcPr>
          <w:p>
            <w:pPr>
              <w:pStyle w:val="TableContents"/>
              <w:bidi w:val="0"/>
              <w:spacing w:lineRule="auto" w:line="285" w:before="80" w:after="80"/>
              <w:ind w:left="0" w:right="0" w:hanging="0"/>
              <w:jc w:val="left"/>
              <w:rPr>
                <w:rFonts w:ascii="Arial;Helvetica;sans-serif" w:hAnsi="Arial;Helvetica;sans-serif"/>
                <w:sz w:val="20"/>
              </w:rPr>
            </w:pPr>
            <w:r>
              <w:rPr>
                <w:rFonts w:ascii="Arial;Helvetica;sans-serif" w:hAnsi="Arial;Helvetica;sans-serif"/>
                <w:sz w:val="20"/>
              </w:rPr>
              <w:t>Quality Policy Statement</w:t>
            </w:r>
          </w:p>
        </w:tc>
        <w:tc>
          <w:tcPr>
            <w:tcW w:w="109" w:type="dxa"/>
            <w:tcBorders/>
            <w:tcMar>
              <w:bottom w:w="0" w:type="dxa"/>
            </w:tcMar>
            <w:vAlign w:val="center"/>
          </w:tcPr>
          <w:p>
            <w:pPr>
              <w:pStyle w:val="TableContents"/>
              <w:bidi w:val="0"/>
              <w:spacing w:lineRule="auto" w:line="285" w:before="0" w:after="0"/>
              <w:ind w:left="0" w:right="0" w:hanging="0"/>
              <w:jc w:val="left"/>
              <w:rPr/>
            </w:pPr>
            <w:r>
              <w:rPr/>
              <w:t>​</w:t>
            </w:r>
          </w:p>
        </w:tc>
        <w:tc>
          <w:tcPr>
            <w:tcW w:w="2800" w:type="dxa"/>
            <w:tcBorders>
              <w:top w:val="single" w:sz="2" w:space="0" w:color="000000"/>
              <w:bottom w:val="single" w:sz="12" w:space="0" w:color="005670"/>
            </w:tcBorders>
            <w:tcMar>
              <w:top w:w="28" w:type="dxa"/>
            </w:tcMar>
            <w:vAlign w:val="center"/>
          </w:tcPr>
          <w:p>
            <w:pPr>
              <w:pStyle w:val="TableContents"/>
              <w:bidi w:val="0"/>
              <w:spacing w:lineRule="auto" w:line="285" w:before="80" w:after="80"/>
              <w:ind w:left="0" w:right="0" w:hanging="0"/>
              <w:jc w:val="left"/>
              <w:rPr>
                <w:rFonts w:ascii="Arial;Helvetica;sans-serif" w:hAnsi="Arial;Helvetica;sans-serif"/>
                <w:sz w:val="20"/>
              </w:rPr>
            </w:pPr>
            <w:r>
              <w:rPr>
                <w:rFonts w:ascii="Arial;Helvetica;sans-serif" w:hAnsi="Arial;Helvetica;sans-serif"/>
                <w:sz w:val="20"/>
              </w:rPr>
              <w:t>Tax Principles Statement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Information contained on our website is not part of this proxy statement.</w:t>
      </w:r>
    </w:p>
    <w:p>
      <w:pPr>
        <w:pStyle w:val="TextBody"/>
        <w:bidi w:val="0"/>
        <w:spacing w:lineRule="auto" w:line="285" w:before="0" w:after="200"/>
        <w:ind w:left="0" w:right="0" w:hanging="0"/>
        <w:jc w:val="both"/>
        <w:rPr>
          <w:rFonts w:ascii="Arial;Helvetica;sans-serif" w:hAnsi="Arial;Helvetica;sans-serif"/>
          <w:sz w:val="32"/>
        </w:rPr>
      </w:pPr>
      <w:r>
        <w:rPr>
          <w:rFonts w:ascii="Arial;Helvetica;sans-serif" w:hAnsi="Arial;Helvetica;sans-serif"/>
          <w:sz w:val="32"/>
        </w:rPr>
        <w:t>Sustainability</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As a business in the energy industry, we must operate with integrity, discipline and an unconditional respect for our people, our communities and our environment. Our Chief Legal Officer partners with our other functional leadership to manage and execute our sustainability program, including investments in: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Technologies, including artificial intelligence technologies, which improve</w:t>
            </w:r>
            <w:r>
              <w:rPr>
                <w:caps w:val="false"/>
                <w:smallCaps w:val="false"/>
              </w:rPr>
              <w:t xml:space="preserve"> </w:t>
            </w:r>
            <w:r>
              <w:rPr>
                <w:rFonts w:ascii="Arial;Helvetica;sans-serif" w:hAnsi="Arial;Helvetica;sans-serif"/>
                <w:b w:val="false"/>
                <w:i w:val="false"/>
                <w:caps w:val="false"/>
                <w:smallCaps w:val="false"/>
                <w:sz w:val="20"/>
              </w:rPr>
              <w:t>the safety, reliability and efficiency of our assets and to reduce the impact our operations have on the environment.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Safety and training programs and tools to protect our people, assets and the environments in which we operate.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Recruiting, developing, retaining and motivating the industry’s most talented and geographically diverse workforce.</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6286"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Benefits to</w:t>
            </w:r>
            <w:r>
              <w:rPr>
                <w:caps w:val="false"/>
                <w:smallCaps w:val="false"/>
              </w:rPr>
              <w:t xml:space="preserve"> </w:t>
            </w:r>
            <w:r>
              <w:rPr>
                <w:rFonts w:ascii="Arial;Helvetica;sans-serif" w:hAnsi="Arial;Helvetica;sans-serif"/>
                <w:b w:val="false"/>
                <w:i w:val="false"/>
                <w:caps w:val="false"/>
                <w:smallCaps w:val="false"/>
                <w:sz w:val="20"/>
              </w:rPr>
              <w:t>promote employee health, well-being and financial security.</w:t>
            </w:r>
          </w:p>
        </w:tc>
      </w:tr>
    </w:tbl>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5821"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Programs</w:t>
            </w:r>
            <w:r>
              <w:rPr>
                <w:caps w:val="false"/>
                <w:smallCaps w:val="false"/>
              </w:rPr>
              <w:t xml:space="preserve"> </w:t>
            </w:r>
            <w:r>
              <w:rPr>
                <w:rFonts w:ascii="Arial;Helvetica;sans-serif" w:hAnsi="Arial;Helvetica;sans-serif"/>
                <w:b w:val="false"/>
                <w:i w:val="false"/>
                <w:caps w:val="false"/>
                <w:smallCaps w:val="false"/>
                <w:sz w:val="20"/>
              </w:rPr>
              <w:t>to support the global communities in which we operate.</w:t>
            </w:r>
          </w:p>
        </w:tc>
      </w:tr>
    </w:tbl>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 xml:space="preserve">Our Board of Directors provides oversight of the Company’s sustainability practices. The Board of Directors’ Governance, Safety &amp; Environment Committee assists the Board of Directors in fulfilling its oversight of the Company’s management of risk in the areas of governance, safety and environment. The Board of Directors’ Audit Committee is responsible for reviewing with Company management the environmental, social and governance (“ESG”) disclosures requiring external assurance and the adequacy and effectiveness of internal controls related to those disclosures. The Board of Directors’ Governance, Safety &amp; Environment Committee reviews updates from Company management regarding the Company’s sustainability activities. </w:t>
      </w:r>
    </w:p>
    <w:p>
      <w:pPr>
        <w:pStyle w:val="TextBody"/>
        <w:bidi w:val="0"/>
        <w:spacing w:lineRule="auto" w:line="285" w:before="0" w:after="200"/>
        <w:ind w:left="0" w:right="0" w:hanging="0"/>
        <w:jc w:val="both"/>
        <w:rPr>
          <w:rFonts w:ascii="Arial;Helvetica;sans-serif" w:hAnsi="Arial;Helvetica;sans-serif"/>
          <w:sz w:val="32"/>
        </w:rPr>
      </w:pPr>
      <w:r>
        <w:rPr>
          <w:rFonts w:ascii="Arial;Helvetica;sans-serif" w:hAnsi="Arial;Helvetica;sans-serif"/>
          <w:sz w:val="32"/>
        </w:rPr>
        <w:t>Environmental Stewardship</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Our approach to managing and minimizing our environmental impact is driven by our commitment to work safely and in pursuit of operational excellence. We maintain a global Environmental Management System (“EMS”), which applies to all Transocean facilities onshore and offshore. These policies govern our management of waste, water and other resources in our facilities, aid in our compliance with all regulatory requirements, and guide the evaluation of our environmental performance. Our EMS, paired with our Company Management System, sets forth the standards and processes for how our teams identify, consider and mitigate potential </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P-56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13" w:name="_77df4882_a7f4_4d02_8e07_236f11f2befe"/>
      <w:bookmarkStart w:id="114" w:name="_77df4882_a7f4_4d02_8e07_236f11f2befe"/>
      <w:bookmarkEnd w:id="114"/>
    </w:p>
    <w:tbl>
      <w:tblPr>
        <w:tblW w:w="2945" w:type="dxa"/>
        <w:jc w:val="left"/>
        <w:tblInd w:w="0" w:type="dxa"/>
        <w:tblLayout w:type="fixed"/>
        <w:tblCellMar>
          <w:top w:w="0" w:type="dxa"/>
          <w:left w:w="0" w:type="dxa"/>
          <w:bottom w:w="0" w:type="dxa"/>
          <w:right w:w="0" w:type="dxa"/>
        </w:tblCellMar>
      </w:tblPr>
      <w:tblGrid>
        <w:gridCol w:w="124"/>
        <w:gridCol w:w="2821"/>
      </w:tblGrid>
      <w:tr>
        <w:trPr/>
        <w:tc>
          <w:tcPr>
            <w:tcW w:w="124" w:type="dxa"/>
            <w:tcBorders/>
            <w:vAlign w:val="center"/>
          </w:tcPr>
          <w:p>
            <w:pPr>
              <w:pStyle w:val="TableContents"/>
              <w:bidi w:val="0"/>
              <w:spacing w:lineRule="auto" w:line="285" w:before="0" w:after="0"/>
              <w:ind w:left="0" w:right="0" w:hanging="0"/>
              <w:jc w:val="both"/>
              <w:rPr/>
            </w:pPr>
            <w:r>
              <w:rPr/>
              <w:t>​</w:t>
            </w:r>
          </w:p>
        </w:tc>
        <w:tc>
          <w:tcPr>
            <w:tcW w:w="2821" w:type="dxa"/>
            <w:tcBorders/>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82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CORPORATE GOVERNANCE</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environmental impacts when planning and executing our operations. Consistent with our internal policies, all active rigs maintain individual rig energy management plans, which are aligned with ISO 50001 and International Maritime Organization (IMO) SEEMP frameworks.</w:t>
      </w:r>
    </w:p>
    <w:p>
      <w:pPr>
        <w:pStyle w:val="TextBody"/>
        <w:bidi w:val="0"/>
        <w:spacing w:lineRule="auto" w:line="285" w:before="0" w:after="200"/>
        <w:ind w:left="0" w:right="0" w:hanging="0"/>
        <w:jc w:val="both"/>
        <w:rPr>
          <w:rFonts w:ascii="Arial;Helvetica;sans-serif" w:hAnsi="Arial;Helvetica;sans-serif"/>
          <w:sz w:val="32"/>
        </w:rPr>
      </w:pPr>
      <w:r>
        <w:rPr>
          <w:rFonts w:ascii="Arial;Helvetica;sans-serif" w:hAnsi="Arial;Helvetica;sans-serif"/>
          <w:sz w:val="32"/>
        </w:rPr>
        <w:t>Our Workforce and Our Community</w:t>
      </w:r>
    </w:p>
    <w:p>
      <w:pPr>
        <w:pStyle w:val="TextBody"/>
        <w:bidi w:val="0"/>
        <w:spacing w:lineRule="auto" w:line="285" w:before="0" w:after="200"/>
        <w:ind w:left="0" w:right="0" w:hanging="0"/>
        <w:jc w:val="both"/>
        <w:rPr>
          <w:rFonts w:ascii="Arial;Helvetica;sans-serif" w:hAnsi="Arial;Helvetica;sans-serif"/>
          <w:i/>
          <w:sz w:val="28"/>
        </w:rPr>
      </w:pPr>
      <w:r>
        <w:rPr>
          <w:rFonts w:ascii="Arial;Helvetica;sans-serif" w:hAnsi="Arial;Helvetica;sans-serif"/>
          <w:i/>
          <w:sz w:val="28"/>
        </w:rPr>
        <w:t>Respectful and Safe Workplace</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We endeavor to provide those who work at Transocean with a safe and respectful environment in which they can flourish. We periodically assess our workplace and adapt our practices and policies to ensure that our approach reflects contemporary norms and meets the needs and expectations of current and future talent. Our aim is to recruit, develop, and retain the best workforce in the offshore drilling industry. As a company with customers and operations around the world, our multinational workforce is key to our success.</w:t>
      </w:r>
    </w:p>
    <w:p>
      <w:pPr>
        <w:pStyle w:val="TextBody"/>
        <w:bidi w:val="0"/>
        <w:spacing w:lineRule="auto" w:line="285" w:before="0" w:after="200"/>
        <w:ind w:left="0" w:right="0" w:hanging="0"/>
        <w:jc w:val="both"/>
        <w:rPr>
          <w:rFonts w:ascii="Arial;Helvetica;sans-serif" w:hAnsi="Arial;Helvetica;sans-serif"/>
          <w:i/>
          <w:sz w:val="28"/>
        </w:rPr>
      </w:pPr>
      <w:r>
        <w:rPr>
          <w:rFonts w:ascii="Arial;Helvetica;sans-serif" w:hAnsi="Arial;Helvetica;sans-serif"/>
          <w:i/>
          <w:sz w:val="28"/>
        </w:rPr>
        <w:t>Safety</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Our safety program focuses on three key components: personal safety, process safety and occupational health. We conduct our business while prioritizing both the health and safety of our people and the integrity of our operations. Our safety vision is to conduct our operations in an incident-free workplace, all the time, everywhere. Underpinning this vision is our robust Company Management System, which details the requirements and tools employed by our teams to complete their work safely, efficiently, and effectively. In 2025, our Company TRIR, which represents the number of recordable work-related injuries or illnesses for every 200,000 hours worked, of 0.19, demonstrates the consistency of our execution and prioritization of safety in all our operations. Over the past few years, we have extended our safety program to focus on leading indicators of safety performance, and in particular, workplace assurance and verification conversations, branded as WorkSight. By monitoring the frequency and quality of these conversations, our HSE team proactively provides additional coaching and support to our offshore rig teams, and we are seeing positive trends in our safety performance, such as a decline in the severity of incidents.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For more information on our safety performance, please see our Compensation Discussion and Analysis.</w:t>
      </w:r>
    </w:p>
    <w:p>
      <w:pPr>
        <w:pStyle w:val="TextBody"/>
        <w:bidi w:val="0"/>
        <w:spacing w:lineRule="auto" w:line="285" w:before="0" w:after="200"/>
        <w:ind w:left="0" w:right="0" w:hanging="0"/>
        <w:jc w:val="both"/>
        <w:rPr>
          <w:rFonts w:ascii="Arial;Helvetica;sans-serif" w:hAnsi="Arial;Helvetica;sans-serif"/>
          <w:i/>
          <w:sz w:val="28"/>
        </w:rPr>
      </w:pPr>
      <w:r>
        <w:rPr>
          <w:rFonts w:ascii="Arial;Helvetica;sans-serif" w:hAnsi="Arial;Helvetica;sans-serif"/>
          <w:i/>
          <w:sz w:val="28"/>
        </w:rPr>
        <w:t>Training</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Our offshore Competency Assurance Management System is accredited by the Offshore Petroleum Industry Training Organization (OPITO). Our Competency Assurance Management System establishes a systematic and comprehensive framework for the effective assessment, development, and maintenance of the competence and skills of our personnel. This standard aims to enhance workforce capability, performance, and safety, ultimately contributing to achieving organizational goals and compliance with industry regulations. Competency Assessment Programs and training requirements are specified on our corporate training matrix, which is reviewed and approved by our internal training board bi-annually. Personnel are regularly trained in accordance with our matrix and assessed on the knowledge required to safely and effectively execute job duties. Compliance with the training matrix is managed and tracked to make sure employee skillsets and competencies remain current.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Training requirements are addressed in an effective and pragmatic manner through a variety of mechanisms, including formal training courses, e-learning, virtual training simulations and supervised on-the-job training modules. Our training simulators at our Houston facility enhance crew education on the management of complex drilling, engineering and dynamic positioning scenarios. The training simulators also offer training on advanced well control techniques and facilitate the assessment of the competencies and knowledge of our crews in a zero-risk environment.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i/>
          <w:sz w:val="28"/>
        </w:rPr>
        <w:t>Social Responsibility/Community Partnership</w:t>
      </w:r>
      <w:r>
        <w:rPr>
          <w:rFonts w:ascii="Arial;Helvetica;sans-serif" w:hAnsi="Arial;Helvetica;sans-serif"/>
          <w:sz w:val="20"/>
        </w:rPr>
        <w:t xml:space="preserve"> </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We embrace our role as a global corporate citizen, and we aim to positively impact communities where we live and operate. Our support focuses on education, health and well-being and environmental conservation and </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P-57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2945" w:type="dxa"/>
        <w:jc w:val="left"/>
        <w:tblInd w:w="0" w:type="dxa"/>
        <w:tblLayout w:type="fixed"/>
        <w:tblCellMar>
          <w:top w:w="0" w:type="dxa"/>
          <w:left w:w="0" w:type="dxa"/>
          <w:bottom w:w="0" w:type="dxa"/>
          <w:right w:w="0" w:type="dxa"/>
        </w:tblCellMar>
      </w:tblPr>
      <w:tblGrid>
        <w:gridCol w:w="2791"/>
        <w:gridCol w:w="154"/>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279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CORPORATE GOVERNANCE</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 xml:space="preserve">restoration. Some examples of the community organizations with which we have partnered include the Galveston Bay Foundation, Spindletop Community Impact Partners, Houston Food Bank, Udaan Foundation (India), and Texas Children’s Hospital Heart Center (Global Programs). </w:t>
      </w:r>
    </w:p>
    <w:p>
      <w:pPr>
        <w:pStyle w:val="TextBody"/>
        <w:bidi w:val="0"/>
        <w:spacing w:lineRule="auto" w:line="285" w:before="0" w:after="200"/>
        <w:ind w:left="0" w:right="0" w:hanging="0"/>
        <w:jc w:val="both"/>
        <w:rPr>
          <w:rFonts w:ascii="Arial;Helvetica;sans-serif" w:hAnsi="Arial;Helvetica;sans-serif"/>
          <w:sz w:val="32"/>
        </w:rPr>
      </w:pPr>
      <w:r>
        <w:rPr>
          <w:rFonts w:ascii="Arial;Helvetica;sans-serif" w:hAnsi="Arial;Helvetica;sans-serif"/>
          <w:sz w:val="32"/>
        </w:rPr>
        <w:t>Industry Leadership</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As an industry leader, we are mindful of our responsibility in influencing and setting the standards that guide best practices. We continue to actively participate on committees and in events sponsored by:</w:t>
      </w:r>
    </w:p>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American Critical Minerals Association</w:t>
            </w:r>
          </w:p>
        </w:tc>
      </w:tr>
    </w:tbl>
    <w:tbl>
      <w:tblPr>
        <w:tblW w:w="3066" w:type="dxa"/>
        <w:jc w:val="left"/>
        <w:tblInd w:w="0" w:type="dxa"/>
        <w:tblLayout w:type="fixed"/>
        <w:tblCellMar>
          <w:top w:w="28" w:type="dxa"/>
          <w:left w:w="28" w:type="dxa"/>
          <w:bottom w:w="28" w:type="dxa"/>
          <w:right w:w="28" w:type="dxa"/>
        </w:tblCellMar>
      </w:tblPr>
      <w:tblGrid>
        <w:gridCol w:w="124"/>
        <w:gridCol w:w="256"/>
        <w:gridCol w:w="2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2686"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American Petroleum</w:t>
            </w:r>
            <w:r>
              <w:rPr>
                <w:caps w:val="false"/>
                <w:smallCaps w:val="false"/>
              </w:rPr>
              <w:t xml:space="preserve"> </w:t>
            </w:r>
            <w:r>
              <w:rPr>
                <w:rFonts w:ascii="Arial;Helvetica;sans-serif" w:hAnsi="Arial;Helvetica;sans-serif"/>
                <w:b w:val="false"/>
                <w:i w:val="false"/>
                <w:caps w:val="false"/>
                <w:smallCaps w:val="false"/>
                <w:sz w:val="20"/>
              </w:rPr>
              <w:t>Institute</w:t>
            </w:r>
          </w:p>
        </w:tc>
      </w:tr>
    </w:tbl>
    <w:tbl>
      <w:tblPr>
        <w:tblW w:w="3096" w:type="dxa"/>
        <w:jc w:val="left"/>
        <w:tblInd w:w="0" w:type="dxa"/>
        <w:tblLayout w:type="fixed"/>
        <w:tblCellMar>
          <w:top w:w="28" w:type="dxa"/>
          <w:left w:w="28" w:type="dxa"/>
          <w:bottom w:w="28" w:type="dxa"/>
          <w:right w:w="28" w:type="dxa"/>
        </w:tblCellMar>
      </w:tblPr>
      <w:tblGrid>
        <w:gridCol w:w="124"/>
        <w:gridCol w:w="256"/>
        <w:gridCol w:w="2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27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Energy Education Foundation</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International Association of Drilling Contractors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International Marine Contractors Association</w:t>
            </w:r>
          </w:p>
        </w:tc>
      </w:tr>
    </w:tbl>
    <w:tbl>
      <w:tblPr>
        <w:tblW w:w="1971" w:type="dxa"/>
        <w:jc w:val="left"/>
        <w:tblInd w:w="0" w:type="dxa"/>
        <w:tblLayout w:type="fixed"/>
        <w:tblCellMar>
          <w:top w:w="28" w:type="dxa"/>
          <w:left w:w="28" w:type="dxa"/>
          <w:bottom w:w="28" w:type="dxa"/>
          <w:right w:w="28" w:type="dxa"/>
        </w:tblCellMar>
      </w:tblPr>
      <w:tblGrid>
        <w:gridCol w:w="124"/>
        <w:gridCol w:w="256"/>
        <w:gridCol w:w="1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15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Ion Houston</w:t>
            </w:r>
          </w:p>
        </w:tc>
      </w:tr>
    </w:tbl>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26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Greater Houston Partnership</w:t>
            </w:r>
          </w:p>
        </w:tc>
      </w:tr>
    </w:tbl>
    <w:tbl>
      <w:tblPr>
        <w:tblW w:w="3861" w:type="dxa"/>
        <w:jc w:val="left"/>
        <w:tblInd w:w="0" w:type="dxa"/>
        <w:tblLayout w:type="fixed"/>
        <w:tblCellMar>
          <w:top w:w="28" w:type="dxa"/>
          <w:left w:w="28" w:type="dxa"/>
          <w:bottom w:w="28" w:type="dxa"/>
          <w:right w:w="28" w:type="dxa"/>
        </w:tblCellMar>
      </w:tblPr>
      <w:tblGrid>
        <w:gridCol w:w="124"/>
        <w:gridCol w:w="256"/>
        <w:gridCol w:w="3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34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National Ocean Industries Association</w:t>
            </w:r>
          </w:p>
        </w:tc>
      </w:tr>
    </w:tbl>
    <w:tbl>
      <w:tblPr>
        <w:tblW w:w="2436" w:type="dxa"/>
        <w:jc w:val="left"/>
        <w:tblInd w:w="0" w:type="dxa"/>
        <w:tblLayout w:type="fixed"/>
        <w:tblCellMar>
          <w:top w:w="28" w:type="dxa"/>
          <w:left w:w="28" w:type="dxa"/>
          <w:bottom w:w="28" w:type="dxa"/>
          <w:right w:w="28" w:type="dxa"/>
        </w:tblCellMar>
      </w:tblPr>
      <w:tblGrid>
        <w:gridCol w:w="124"/>
        <w:gridCol w:w="256"/>
        <w:gridCol w:w="2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Offshore Energies UK</w:t>
            </w:r>
          </w:p>
        </w:tc>
      </w:tr>
    </w:tbl>
    <w:tbl>
      <w:tblPr>
        <w:tblW w:w="7131" w:type="dxa"/>
        <w:jc w:val="left"/>
        <w:tblInd w:w="0" w:type="dxa"/>
        <w:tblLayout w:type="fixed"/>
        <w:tblCellMar>
          <w:top w:w="28" w:type="dxa"/>
          <w:left w:w="28" w:type="dxa"/>
          <w:bottom w:w="28" w:type="dxa"/>
          <w:right w:w="28" w:type="dxa"/>
        </w:tblCellMar>
      </w:tblPr>
      <w:tblGrid>
        <w:gridCol w:w="124"/>
        <w:gridCol w:w="256"/>
        <w:gridCol w:w="6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67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Rice University’s Baker Institute for Public Policy Center for Energy Studies</w:t>
            </w:r>
          </w:p>
        </w:tc>
      </w:tr>
    </w:tbl>
    <w:tbl>
      <w:tblPr>
        <w:tblW w:w="3291" w:type="dxa"/>
        <w:jc w:val="left"/>
        <w:tblInd w:w="0" w:type="dxa"/>
        <w:tblLayout w:type="fixed"/>
        <w:tblCellMar>
          <w:top w:w="28" w:type="dxa"/>
          <w:left w:w="28" w:type="dxa"/>
          <w:bottom w:w="28" w:type="dxa"/>
          <w:right w:w="28"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29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Society of Petroleum Engineers</w:t>
            </w:r>
          </w:p>
        </w:tc>
      </w:tr>
    </w:tbl>
    <w:p>
      <w:pPr>
        <w:pStyle w:val="TextBody"/>
        <w:bidi w:val="0"/>
        <w:spacing w:lineRule="auto" w:line="285" w:before="0" w:after="200"/>
        <w:ind w:left="0" w:right="0" w:hanging="0"/>
        <w:jc w:val="both"/>
        <w:rPr>
          <w:rFonts w:ascii="Arial;Helvetica;sans-serif" w:hAnsi="Arial;Helvetica;sans-serif"/>
          <w:sz w:val="32"/>
        </w:rPr>
      </w:pPr>
      <w:r>
        <w:rPr>
          <w:rFonts w:ascii="Arial;Helvetica;sans-serif" w:hAnsi="Arial;Helvetica;sans-serif"/>
          <w:sz w:val="32"/>
        </w:rPr>
        <w:t>Data Privacy and Information Security</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Transocean’s information security and safety culture includes a commitment to following cybersecurity best practices with both personal and business data. We have established protocols and technology focused on maintaining the privacy of personal information disclosed to us by employees, their families and other sources and multiple levels of oversight as part of our approach to cybersecurity risk management. We are also committed to maintaining the security and integrity of personal data regarding contractors, directors, shareholders and customers.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We maintain strong information security, cybersecurity principles and governance support to protect our rigs and the data and digital assets processed within our enterprise. Our Audit Committee meets quarterly with the Company’s Vice President, Information Technology to review any material cybersecurity matters that may affect the Company, and thereafter provides regular updates to the Board of Directors, as appropriate. Our principles and technologies enhance the resiliency of our operations and protect our business moving forward. For additional information about our cybersecurity program, see “Item 1C. Cybersecurity” of our annual report on Form 10-K for the year ended December 31, 2025.</w:t>
      </w:r>
    </w:p>
    <w:p>
      <w:pPr>
        <w:pStyle w:val="TextBody"/>
        <w:bidi w:val="0"/>
        <w:spacing w:lineRule="auto" w:line="285" w:before="0" w:after="200"/>
        <w:ind w:left="0" w:right="0" w:hanging="0"/>
        <w:jc w:val="both"/>
        <w:rPr>
          <w:rFonts w:ascii="Arial;Helvetica;sans-serif" w:hAnsi="Arial;Helvetica;sans-serif"/>
          <w:sz w:val="32"/>
        </w:rPr>
      </w:pPr>
      <w:r>
        <w:rPr>
          <w:rFonts w:ascii="Arial;Helvetica;sans-serif" w:hAnsi="Arial;Helvetica;sans-serif"/>
          <w:sz w:val="32"/>
        </w:rPr>
        <w:t>Risk Management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Executive management is responsible for the day-to-day management of the risks the Company faces, while our Board of Directors, including through its various committees, has responsibility for the oversight of risk management for the Company. Through its oversight role and review of management’s active role, the Board of Directors seeks to ensure that (1) the risk management processes designed and implemented by management (as more particularly described below) are adapted to and integrated with the Company’s corporate strategy, (2) that those processes are functioning as designed, and (3) that steps are taken to foster a culture in which each employee understands his or her impact on the assessment and management of risk, his or her responsibility for acting within appropriate limits, and his or her ultimate accountability.</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P-58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2945" w:type="dxa"/>
        <w:jc w:val="left"/>
        <w:tblInd w:w="0" w:type="dxa"/>
        <w:tblLayout w:type="fixed"/>
        <w:tblCellMar>
          <w:top w:w="0" w:type="dxa"/>
          <w:left w:w="0" w:type="dxa"/>
          <w:bottom w:w="0" w:type="dxa"/>
          <w:right w:w="0" w:type="dxa"/>
        </w:tblCellMar>
      </w:tblPr>
      <w:tblGrid>
        <w:gridCol w:w="124"/>
        <w:gridCol w:w="2821"/>
      </w:tblGrid>
      <w:tr>
        <w:trPr/>
        <w:tc>
          <w:tcPr>
            <w:tcW w:w="124" w:type="dxa"/>
            <w:tcBorders/>
            <w:vAlign w:val="center"/>
          </w:tcPr>
          <w:p>
            <w:pPr>
              <w:pStyle w:val="TableContents"/>
              <w:bidi w:val="0"/>
              <w:spacing w:lineRule="auto" w:line="285" w:before="0" w:after="0"/>
              <w:ind w:left="0" w:right="0" w:hanging="0"/>
              <w:jc w:val="both"/>
              <w:rPr/>
            </w:pPr>
            <w:r>
              <w:rPr/>
              <w:t>​</w:t>
            </w:r>
          </w:p>
        </w:tc>
        <w:tc>
          <w:tcPr>
            <w:tcW w:w="2821" w:type="dxa"/>
            <w:tcBorders/>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82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CORPORATE GOVERNANCE</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 xml:space="preserve">The Company has an Enterprise Risk Management process and framework, which includes an Executive Risk Management Committee and a Risk Committee Working Group. The Executive Risk Management Committee is composed of members of senior management, including our Chief Executive Officer and other members of management in key functions of the Company. The Risk Committee Working Group is composed of representatives of all key functions of the Company. The duties of the Executive Risk Management Committee and the Risk Committee Working Group include the following: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Reviewing and approving appropriate changes to the Company’s policies and procedures regarding enterprise risk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Identifying and assessing operational, commercial, strategic, financial, information security, cybersecurity, governance, macroeconomic and geopolitical risks facing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Identifying risks and taking corrective actions, within their respective functions, if appropriate; monitoring key indicators to assess the effectiveness and adequacy of the Company’s risk management activities; and</w:t>
            </w:r>
          </w:p>
        </w:tc>
      </w:tr>
    </w:tbl>
    <w:tbl>
      <w:tblPr>
        <w:tblW w:w="8991" w:type="dxa"/>
        <w:jc w:val="left"/>
        <w:tblInd w:w="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Communicating with the Board of Directors at least once a year with respect to risk management.</w:t>
            </w:r>
          </w:p>
        </w:tc>
      </w:tr>
    </w:tbl>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Executive Risk Management Committee and/or members of management present reports on risk management activities to the Board of Directors at least annually. The Risk Committee Working Group assesses risks facing the Company, and associated preventive and mitigating controls and then makes recommendations for improvement opportunities to senior management, as appropriate. Our management and Board of Directors continue to assess and respond to various risks that affect our industry, our Company and our employees, including but not limited to, operational offshore drilling risks, public health threats, information security, market fluctuations among commodities and the costs and accessibility of goods and services procured throughout our supply chain.</w:t>
      </w:r>
    </w:p>
    <w:p>
      <w:pPr>
        <w:pStyle w:val="TextBody"/>
        <w:bidi w:val="0"/>
        <w:spacing w:lineRule="auto" w:line="285" w:before="0" w:after="200"/>
        <w:ind w:left="0" w:right="0" w:hanging="0"/>
        <w:jc w:val="both"/>
        <w:rPr>
          <w:rFonts w:ascii="Arial;Helvetica;sans-serif" w:hAnsi="Arial;Helvetica;sans-serif"/>
          <w:sz w:val="32"/>
        </w:rPr>
      </w:pPr>
      <w:r>
        <w:rPr>
          <w:rFonts w:ascii="Arial;Helvetica;sans-serif" w:hAnsi="Arial;Helvetica;sans-serif"/>
          <w:sz w:val="32"/>
        </w:rPr>
        <w:t>Compensation and Risk</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We regularly assess risks related to our compensation programs, including our executive compensation programs. The Compensation Committee reviews information and solicits input from an independent compensation consultant regarding compensation factors, which could mitigate or encourage excessive risk-taking. In its review in 2025, the Compensation Committee considered the attributes of our programs, including the metrics used to determine incentive awards, the weight of each metric, the timing and processes for setting performance targets and validating results, the performance measurement periods and time horizons, the total mix of pay and the maximum compensation and incentive award payout opportunities. Based on its assessment, the Compensation Committee believes that the risks arising from our compensation policies and practices are not reasonably likely to have a material adverse change on the Company.</w:t>
      </w:r>
    </w:p>
    <w:p>
      <w:pPr>
        <w:pStyle w:val="TextBody"/>
        <w:bidi w:val="0"/>
        <w:spacing w:lineRule="auto" w:line="285" w:before="0" w:after="200"/>
        <w:ind w:left="0" w:right="0" w:hanging="0"/>
        <w:jc w:val="both"/>
        <w:rPr>
          <w:rFonts w:ascii="Arial;Helvetica;sans-serif" w:hAnsi="Arial;Helvetica;sans-serif"/>
          <w:sz w:val="32"/>
        </w:rPr>
      </w:pPr>
      <w:r>
        <w:rPr>
          <w:rFonts w:ascii="Arial;Helvetica;sans-serif" w:hAnsi="Arial;Helvetica;sans-serif"/>
          <w:sz w:val="32"/>
        </w:rPr>
        <w:t>Independence of Our Board of Directors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Our Corporate Governance Guidelines require that at least a majority of the members of the Board of Directors meet the independence standards set by the NYSE. In order to meet the NYSE’s independence standards, a member of the Board of Directors must not have a relationship with the Company that falls within certain objective categories established by the NYSE. In addition, the Board of Directors must then affirmatively determine, with respect to each director and nominee, that he or she did not otherwise have a material relationship with the Company. There is no family relationship between any of our directors or executive officers.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Board of Directors has determined that its current members and nominees, with the exception of Messrs. Adamson (the Company’s President and Chief Executive Officer) and Thigpen (the Company’s Executive Chair), are independent and meet the applicable independence standards set by the NYSE, the SEC and our guidelines. Additionally, our Compensation, Audit and Governance, Safety &amp; Environment Committees are composed solely of directors who meet the applicable NYSE and SEC independence standards for membership on these committees, including the enhanced independence standards required for Compensation and Audit Committees, as applicable.</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P-59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2945" w:type="dxa"/>
        <w:jc w:val="left"/>
        <w:tblInd w:w="0" w:type="dxa"/>
        <w:tblLayout w:type="fixed"/>
        <w:tblCellMar>
          <w:top w:w="0" w:type="dxa"/>
          <w:left w:w="0" w:type="dxa"/>
          <w:bottom w:w="0" w:type="dxa"/>
          <w:right w:w="0" w:type="dxa"/>
        </w:tblCellMar>
      </w:tblPr>
      <w:tblGrid>
        <w:gridCol w:w="2791"/>
        <w:gridCol w:w="154"/>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279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CORPORATE GOVERNANCE</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 making its independence determinations, the Board of Directors considered the fact that certain current and former directors, as described below, are or within the past three years have been directors or officers of, or have had relationships with, companies with which we conduct business in the ordinary course.</w:t>
      </w:r>
    </w:p>
    <w:p>
      <w:pPr>
        <w:pStyle w:val="TextBody"/>
        <w:bidi w:val="0"/>
        <w:spacing w:lineRule="auto" w:line="285" w:before="0" w:after="180"/>
        <w:ind w:left="0" w:right="0" w:hanging="0"/>
        <w:jc w:val="both"/>
        <w:rPr>
          <w:rFonts w:ascii="Arial;Helvetica;sans-serif" w:hAnsi="Arial;Helvetica;sans-serif"/>
          <w:sz w:val="20"/>
        </w:rPr>
      </w:pPr>
      <w:r>
        <w:rPr>
          <w:rFonts w:ascii="Arial;Helvetica;sans-serif" w:hAnsi="Arial;Helvetica;sans-serif"/>
          <w:sz w:val="20"/>
        </w:rPr>
        <w:t>The Board of Directors also considered the transactions with these companies and believes they were on arm’s-length terms that were reasonable and competitive.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Since 2016, Mr. Curado has been a non-executive director of ABB Ltd., from which the Company has purchased rig-related products and equipment.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Curado’s son began working in the corporate audit department of General Electric Company (“GE”) in 2017. GE sold its interest in Baker Hughes in 2019, and his son worked as a finance manager for Baker Hughes until departing the company in April 2024. Baker Hughes has provided services or products to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Dell’Osso’s cousin works as an executive director for Lazard, which has provided professional services to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of March 2026, Mr. Mohn was the beneficial owner of approximately 96.9 million Company shares, corresponding to approximately 8.8% of the Company’s outstanding shares. The Board of Directors evaluated Mr. Mohn’s overall beneficial ownership of shares and concluded that his ownership of shares would not affect his independence or service as a director of the Company, and that he meets the standards for independence adopted by the SEC and the NYSE.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of November 2022, Mr. Mohn owned a non-controlling 13.33% interest in Liquila Ventures Ltd. (“Liquila”), a joint venture between Lime Rock Partners, Perestroika A.S., and a subsidiary of the Company formed to acquire Deepwater Aquila (an ultra-deepwater drillship), following Perestroika A.S.’s $10 million investment in Liquila. On September 15, 2023, the Company issued approximately 2.0 million Company shares with an aggregate value of approximately $16.4 million to Perestroika (Cyprus) Ltd., an entity affiliated with Mr. Mohn that beneficially owns approximately 8.8% of Company shares (“Perestroika”), to acquire Perestroika’s 13.33% ownership interest in Liquila. As a result, Liquila became a wholly owned subsidiary of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September 2025, Perestroika purchased 4.0 million Company shares with an aggregate value of approximately $12.2 million in connection with a registered public offering of Company shares by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of June 30, 2025, Perestroika A.S. owned a 5.4% interest in Scana ASA, from which the Company has purchased rig-related parts and equipment.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Ms. Øvrum serves as a director of Harbour Energy plc, a customer of the Company, and TechnipFMC plc, from which the Company has purchased rig-related products and services. Ms. Øvrum completed her service on the Board of Directors following the 2025 Annual General Meeting.</w:t>
            </w:r>
          </w:p>
        </w:tc>
      </w:tr>
    </w:tbl>
    <w:p>
      <w:pPr>
        <w:pStyle w:val="TextBody"/>
        <w:bidi w:val="0"/>
        <w:spacing w:lineRule="auto" w:line="285" w:before="0" w:after="180"/>
        <w:ind w:left="0" w:right="0" w:hanging="0"/>
        <w:jc w:val="both"/>
        <w:rPr>
          <w:rFonts w:ascii="Arial;Helvetica;sans-serif" w:hAnsi="Arial;Helvetica;sans-serif"/>
          <w:sz w:val="20"/>
        </w:rPr>
      </w:pPr>
      <w:r>
        <w:rPr>
          <w:rFonts w:ascii="Arial;Helvetica;sans-serif" w:hAnsi="Arial;Helvetica;sans-serif"/>
          <w:sz w:val="20"/>
        </w:rPr>
        <w:t>Accordingly, the Board of Directors concluded that the relationships described above have no effect on the independence of these directors. Because of our extensive operations, transactions, and director relationships, transactions of this nature are expected to take place in the ordinary course of business in the future.</w:t>
      </w:r>
    </w:p>
    <w:p>
      <w:pPr>
        <w:pStyle w:val="TextBody"/>
        <w:bidi w:val="0"/>
        <w:spacing w:lineRule="auto" w:line="285" w:before="0" w:after="200"/>
        <w:ind w:left="0" w:right="0" w:hanging="0"/>
        <w:jc w:val="both"/>
        <w:rPr>
          <w:rFonts w:ascii="Arial;Helvetica;sans-serif" w:hAnsi="Arial;Helvetica;sans-serif"/>
          <w:sz w:val="32"/>
        </w:rPr>
      </w:pPr>
      <w:r>
        <w:rPr>
          <w:rFonts w:ascii="Arial;Helvetica;sans-serif" w:hAnsi="Arial;Helvetica;sans-serif"/>
          <w:sz w:val="32"/>
        </w:rPr>
        <w:t>Board Retirement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Pursuant to our Corporate Governance Guidelines, each member of our Board of Directors is expected to retire from the Board of Directors at the annual general meeting following (i) his or her 75th birthday or (ii) his or her completion of 15 years serving on the Board of Directors, whichever occurs first.</w:t>
      </w:r>
    </w:p>
    <w:p>
      <w:pPr>
        <w:pStyle w:val="TextBody"/>
        <w:bidi w:val="0"/>
        <w:spacing w:lineRule="auto" w:line="285" w:before="0" w:after="200"/>
        <w:ind w:left="0" w:right="0" w:hanging="0"/>
        <w:jc w:val="both"/>
        <w:rPr>
          <w:rFonts w:ascii="Arial;Helvetica;sans-serif" w:hAnsi="Arial;Helvetica;sans-serif"/>
          <w:sz w:val="32"/>
        </w:rPr>
      </w:pPr>
      <w:r>
        <w:rPr>
          <w:rFonts w:ascii="Arial;Helvetica;sans-serif" w:hAnsi="Arial;Helvetica;sans-serif"/>
          <w:sz w:val="32"/>
        </w:rPr>
        <w:t xml:space="preserve">Executive and Director Compensation Process </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Our Compensation Committee has established an annual process for reviewing and establishing executive compensation levels. An outside consultant, Pay Governance LLC (“Pay Governance”), retained by the Compensation Committee has provided the Compensation Committee with relevant market data and </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P-60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2945" w:type="dxa"/>
        <w:jc w:val="left"/>
        <w:tblInd w:w="0" w:type="dxa"/>
        <w:tblLayout w:type="fixed"/>
        <w:tblCellMar>
          <w:top w:w="0" w:type="dxa"/>
          <w:left w:w="0" w:type="dxa"/>
          <w:bottom w:w="0" w:type="dxa"/>
          <w:right w:w="0" w:type="dxa"/>
        </w:tblCellMar>
      </w:tblPr>
      <w:tblGrid>
        <w:gridCol w:w="124"/>
        <w:gridCol w:w="2821"/>
      </w:tblGrid>
      <w:tr>
        <w:trPr/>
        <w:tc>
          <w:tcPr>
            <w:tcW w:w="124" w:type="dxa"/>
            <w:tcBorders/>
            <w:vAlign w:val="center"/>
          </w:tcPr>
          <w:p>
            <w:pPr>
              <w:pStyle w:val="TableContents"/>
              <w:bidi w:val="0"/>
              <w:spacing w:lineRule="auto" w:line="285" w:before="0" w:after="0"/>
              <w:ind w:left="0" w:right="0" w:hanging="0"/>
              <w:jc w:val="both"/>
              <w:rPr/>
            </w:pPr>
            <w:r>
              <w:rPr/>
              <w:t>​</w:t>
            </w:r>
          </w:p>
        </w:tc>
        <w:tc>
          <w:tcPr>
            <w:tcW w:w="2821" w:type="dxa"/>
            <w:tcBorders/>
            <w:vAlign w:val="center"/>
          </w:tcPr>
          <w:p>
            <w:pPr>
              <w:pStyle w:val="TableContents"/>
              <w:bidi w:val="0"/>
              <w:spacing w:lineRule="auto" w:line="285" w:before="0" w:after="0"/>
              <w:ind w:left="0" w:right="0" w:hanging="0"/>
              <w:jc w:val="both"/>
              <w:rPr/>
            </w:pPr>
            <w:r>
              <w:rPr/>
              <w:t>​</w:t>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82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CORPORATE GOVERNANCE</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alternatives to consider in determining appropriate compensation levels for each of our executive officers. Pay Governance has served as the Compensation Committee’s outside consultant since February 2011. Our Chief Executive Officer also assists the Compensation Committee in the process of setting the compensation for executives other than himself and the Executive Chair. For a more thorough discussion of the roles, responsibilities and process we use for setting executive compensation, see “Compensation Discussion and Analysis.”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Director compensation is set by the Board of Directors upon a recommendation from the Compensation Committee. Since 2015, director compensation is also subject to shareholder approval at the Company’s annual general meetings. Each calendar year, the Compensation Committee reviews the compensation paid to our directors to ensure it is competitive to attract and retain qualified directors. Pay Governance has gathered data regarding director compensation at (1) certain similarly sized companies in the general industry, as well as (2) the same peer group of companies generally utilized in the consideration of executive compensation, each of which, among other data points, are considered in determining appropriate compensation levels for director compensation, as further described in the Compensation Discussion and Analysis.</w:t>
      </w:r>
    </w:p>
    <w:p>
      <w:pPr>
        <w:pStyle w:val="TextBody"/>
        <w:bidi w:val="0"/>
        <w:spacing w:lineRule="auto" w:line="285" w:before="0" w:after="200"/>
        <w:ind w:left="0" w:right="0" w:hanging="0"/>
        <w:jc w:val="both"/>
        <w:rPr>
          <w:rFonts w:ascii="Arial;Helvetica;sans-serif" w:hAnsi="Arial;Helvetica;sans-serif"/>
          <w:sz w:val="32"/>
        </w:rPr>
      </w:pPr>
      <w:r>
        <w:rPr>
          <w:rFonts w:ascii="Arial;Helvetica;sans-serif" w:hAnsi="Arial;Helvetica;sans-serif"/>
          <w:sz w:val="32"/>
        </w:rPr>
        <w:t>Process for Communication by Shareholders and Interested Parties with the Board of Directors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Board of Directors has established a process whereby interested parties may communicate with the Board of Directors and/or with any individual director. Interested parties, including shareholders, may send communications in writing, addressed to the Board of Directors or an individual director, to:</w:t>
      </w:r>
    </w:p>
    <w:tbl>
      <w:tblPr>
        <w:tblW w:w="3431" w:type="dxa"/>
        <w:jc w:val="left"/>
        <w:tblInd w:w="0" w:type="dxa"/>
        <w:tblLayout w:type="fixed"/>
        <w:tblCellMar>
          <w:top w:w="0" w:type="dxa"/>
          <w:left w:w="0" w:type="dxa"/>
          <w:bottom w:w="0" w:type="dxa"/>
          <w:right w:w="0" w:type="dxa"/>
        </w:tblCellMar>
      </w:tblPr>
      <w:tblGrid>
        <w:gridCol w:w="595"/>
        <w:gridCol w:w="2836"/>
      </w:tblGrid>
      <w:tr>
        <w:trPr/>
        <w:tc>
          <w:tcPr>
            <w:tcW w:w="595" w:type="dxa"/>
            <w:tcBorders/>
            <w:vAlign w:val="center"/>
          </w:tcPr>
          <w:p>
            <w:pPr>
              <w:pStyle w:val="TableContents"/>
              <w:bidi w:val="0"/>
              <w:spacing w:lineRule="auto" w:line="285" w:before="0" w:after="0"/>
              <w:ind w:left="0" w:right="0" w:hanging="0"/>
              <w:jc w:val="both"/>
              <w:rPr/>
            </w:pPr>
            <w:r>
              <w:rPr/>
              <w:t>​</w:t>
            </w:r>
          </w:p>
        </w:tc>
        <w:tc>
          <w:tcPr>
            <w:tcW w:w="2836" w:type="dxa"/>
            <w:tcBorders/>
            <w:vAlign w:val="center"/>
          </w:tcPr>
          <w:p>
            <w:pPr>
              <w:pStyle w:val="TableContents"/>
              <w:bidi w:val="0"/>
              <w:spacing w:lineRule="auto" w:line="285" w:before="0" w:after="0"/>
              <w:ind w:left="0" w:right="0" w:hanging="0"/>
              <w:jc w:val="both"/>
              <w:rPr/>
            </w:pPr>
            <w:r>
              <w:rPr/>
              <w:t>​</w:t>
            </w:r>
          </w:p>
        </w:tc>
      </w:tr>
      <w:tr>
        <w:trPr/>
        <w:tc>
          <w:tcPr>
            <w:tcW w:w="595" w:type="dxa"/>
            <w:tcBorders/>
            <w:vAlign w:val="center"/>
          </w:tcPr>
          <w:p>
            <w:pPr>
              <w:pStyle w:val="TableContents"/>
              <w:bidi w:val="0"/>
              <w:spacing w:lineRule="auto" w:line="285" w:before="0" w:after="200"/>
              <w:ind w:left="0" w:right="0" w:hanging="0"/>
              <w:jc w:val="both"/>
              <w:rPr/>
            </w:pPr>
            <w:r>
              <w:rPr/>
              <w:drawing>
                <wp:inline distT="0" distB="0" distL="0" distR="0">
                  <wp:extent cx="313690" cy="301625"/>
                  <wp:effectExtent l="0" t="0" r="0" b="0"/>
                  <wp:docPr id="14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94" descr=""/>
                          <pic:cNvPicPr>
                            <a:picLocks noChangeAspect="1" noChangeArrowheads="1"/>
                          </pic:cNvPicPr>
                        </pic:nvPicPr>
                        <pic:blipFill>
                          <a:blip r:embed="rId95"/>
                          <a:stretch>
                            <a:fillRect/>
                          </a:stretch>
                        </pic:blipFill>
                        <pic:spPr bwMode="auto">
                          <a:xfrm>
                            <a:off x="0" y="0"/>
                            <a:ext cx="313690" cy="301625"/>
                          </a:xfrm>
                          <a:prstGeom prst="rect">
                            <a:avLst/>
                          </a:prstGeom>
                        </pic:spPr>
                      </pic:pic>
                    </a:graphicData>
                  </a:graphic>
                </wp:inline>
              </w:drawing>
            </w:r>
          </w:p>
        </w:tc>
        <w:tc>
          <w:tcPr>
            <w:tcW w:w="28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Transocean Ltd.</w:t>
              <w:br/>
              <w:t>Attention: Corporate Secretary</w:t>
              <w:br/>
              <w:t>Turmstrasse 30</w:t>
              <w:br/>
              <w:t>6312 Steinhausen, Switzerland</w:t>
            </w:r>
          </w:p>
        </w:tc>
      </w:tr>
    </w:tbl>
    <w:p>
      <w:pPr>
        <w:pStyle w:val="TextBody"/>
        <w:bidi w:val="0"/>
        <w:spacing w:lineRule="auto" w:line="285" w:before="0" w:after="20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Corporate Secretary will forward these communications, as appropriate, to the addressee depending on the facts and circumstances outlined in the communication. The Board of Directors has directed the Corporate Secretary not to forward certain items, such as: spam, junk mailings, product inquiries, resumes and other forms of job inquiries, surveys and business solicitations. Additionally, the Board of Directors has advised the Corporate Secretary not to forward material that is illegal or threatening, but to make the Board of Directors aware of such material, and may request it be forwarded, retained or destroyed at the Board of Directors’ discretion.</w:t>
      </w:r>
    </w:p>
    <w:p>
      <w:pPr>
        <w:pStyle w:val="TextBody"/>
        <w:bidi w:val="0"/>
        <w:spacing w:lineRule="auto" w:line="285" w:before="0" w:after="200"/>
        <w:ind w:left="0" w:right="0" w:hanging="0"/>
        <w:jc w:val="both"/>
        <w:rPr>
          <w:rFonts w:ascii="Arial;Helvetica;sans-serif" w:hAnsi="Arial;Helvetica;sans-serif"/>
          <w:sz w:val="32"/>
        </w:rPr>
      </w:pPr>
      <w:r>
        <w:rPr>
          <w:rFonts w:ascii="Arial;Helvetica;sans-serif" w:hAnsi="Arial;Helvetica;sans-serif"/>
          <w:sz w:val="32"/>
        </w:rPr>
        <w:t>Policies and Procedures for Approval of Transactions with Related Persons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Board of Directors has a written policy with respect to related person transactions pursuant to which such transactions are reviewed, approved or ratified. The policy applies to any transaction in which:</w:t>
      </w:r>
    </w:p>
    <w:tbl>
      <w:tblPr>
        <w:tblW w:w="3216" w:type="dxa"/>
        <w:jc w:val="left"/>
        <w:tblInd w:w="0" w:type="dxa"/>
        <w:tblLayout w:type="fixed"/>
        <w:tblCellMar>
          <w:top w:w="28" w:type="dxa"/>
          <w:left w:w="28" w:type="dxa"/>
          <w:bottom w:w="28" w:type="dxa"/>
          <w:right w:w="28" w:type="dxa"/>
        </w:tblCellMar>
      </w:tblPr>
      <w:tblGrid>
        <w:gridCol w:w="124"/>
        <w:gridCol w:w="331"/>
        <w:gridCol w:w="276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27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is a participant,</w:t>
            </w:r>
          </w:p>
        </w:tc>
      </w:tr>
    </w:tbl>
    <w:tbl>
      <w:tblPr>
        <w:tblW w:w="6126" w:type="dxa"/>
        <w:jc w:val="left"/>
        <w:tblInd w:w="0" w:type="dxa"/>
        <w:tblLayout w:type="fixed"/>
        <w:tblCellMar>
          <w:top w:w="28" w:type="dxa"/>
          <w:left w:w="28" w:type="dxa"/>
          <w:bottom w:w="28" w:type="dxa"/>
          <w:right w:w="28" w:type="dxa"/>
        </w:tblCellMar>
      </w:tblPr>
      <w:tblGrid>
        <w:gridCol w:w="124"/>
        <w:gridCol w:w="331"/>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5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related person has a direct or indirect material interest, and</w:t>
            </w:r>
          </w:p>
        </w:tc>
      </w:tr>
    </w:tbl>
    <w:tbl>
      <w:tblPr>
        <w:tblW w:w="10205" w:type="dxa"/>
        <w:jc w:val="left"/>
        <w:tblInd w:w="0" w:type="dxa"/>
        <w:tblLayout w:type="fixed"/>
        <w:tblCellMar>
          <w:top w:w="28" w:type="dxa"/>
          <w:left w:w="28" w:type="dxa"/>
          <w:bottom w:w="28" w:type="dxa"/>
          <w:right w:w="28" w:type="dxa"/>
        </w:tblCellMar>
      </w:tblPr>
      <w:tblGrid>
        <w:gridCol w:w="124"/>
        <w:gridCol w:w="291"/>
        <w:gridCol w:w="9790"/>
      </w:tblGrid>
      <w:tr>
        <w:trPr/>
        <w:tc>
          <w:tcPr>
            <w:tcW w:w="124" w:type="dxa"/>
            <w:tcBorders/>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790"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amount involved exceeds $120,000, but excludes any transaction that does not require disclosure under Item 404(a) of Regulation S-K. The Audit Committee, with assistance from the Company’s Chief Legal Officer, is responsible for reviewing, approving and/or ratifying any related person transaction.</w:t>
            </w:r>
          </w:p>
        </w:tc>
      </w:tr>
    </w:tbl>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To identify related person transactions, each year we distribute and require our directors and executive officers to complete questionnaires identifying, among other things, transactions with us in which the executive officer or director or their immediate family members have an interest. Quarterly, our directors and executive officers must re-affirm in writing that the information previously provided in their questionnaires remains accurate and complete, and provide updates regarding any related person relationships that may have arisen. Our Code of </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P-61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2945" w:type="dxa"/>
        <w:jc w:val="left"/>
        <w:tblInd w:w="0" w:type="dxa"/>
        <w:tblLayout w:type="fixed"/>
        <w:tblCellMar>
          <w:top w:w="0" w:type="dxa"/>
          <w:left w:w="0" w:type="dxa"/>
          <w:bottom w:w="0" w:type="dxa"/>
          <w:right w:w="0" w:type="dxa"/>
        </w:tblCellMar>
      </w:tblPr>
      <w:tblGrid>
        <w:gridCol w:w="2791"/>
        <w:gridCol w:w="154"/>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279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CORPORATE GOVERNANCE</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Integrity further requires that an executive officer inform the Company when the executive officer’s private interest interferes or appears to interfere in any way with our interests. In addition, the Board of Directors’ Corporate Governance Guidelines require that a director must immediately inform the Board of Directors or the Chair of the Board of Directors in the event that a director believes he or she has an actual or potential conflict with our interests. Furthermore, under our Organizational Regulations, a director must disclose and abstain from voting with respect to matters that feature unresolved conflicts of interest.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Under our related persons transaction policy, the Audit Committee considers all relevant facts and circumstances available, including the related persons involved, their relationship to the Company, their interest and role in the transaction, the proposed terms of the transaction (including expected aggregate value and value to be derived by the related person), the benefits to the Company, the availability to the Company of alternative means or transactions to obtain like benefits and the terms that would prevail in a similar transaction with an unaffiliated third party. For related person transactions that do not receive prior approval from the Audit Committee, the transactions are submitted to the Audit Committee to consider all relevant facts and circumstances and, based on its conclusions, evaluate all options, including, but not limited to, ratification, amendment or termination of the transaction. Since the beginning of 2025, there were no related person transactions where such policies and procedures were not followed.</w:t>
      </w:r>
    </w:p>
    <w:p>
      <w:pPr>
        <w:pStyle w:val="TextBody"/>
        <w:bidi w:val="0"/>
        <w:spacing w:lineRule="auto" w:line="285" w:before="0" w:after="200"/>
        <w:ind w:left="0" w:right="0" w:hanging="0"/>
        <w:jc w:val="both"/>
        <w:rPr>
          <w:rFonts w:ascii="Arial;Helvetica;sans-serif" w:hAnsi="Arial;Helvetica;sans-serif"/>
          <w:sz w:val="32"/>
        </w:rPr>
      </w:pPr>
      <w:r>
        <w:rPr>
          <w:rFonts w:ascii="Arial;Helvetica;sans-serif" w:hAnsi="Arial;Helvetica;sans-serif"/>
          <w:sz w:val="32"/>
        </w:rPr>
        <w:t>Certain Relationships and Related Party Transactions</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In connection with our acquisition of Songa in 2018, Mr. Mohn acquired beneficial ownership of $355,813,000 aggregate principal amount of Transocean Inc.’s 0.5% Exchangeable Senior Bonds due 2023 (the “2023 Exchangeable Bonds”), including 2023 Exchangeable Bonds acquired by Perestroika AS (an entity affiliated with Mr. Mohn) as part of our private exchange offers undertaken to refinance certain of Songa’s previously outstanding indebtedness. All outstanding 2023 Exchangeable Bonds were repaid at their maturity as of January 30, 2023. In connection with our acquisition of Songa, we also entered into a registration rights agreement with Perestroika AS. This registration rights agreement provided certain customary registration rights over the 2023 Exchangeable Bonds received as part of our private exchange offers undertaken to refinance certain of Songa’s previously outstanding indebtedness and provides similar customary registration rights over any shares that Perestroika AS received in the acquisition as a former shareholder of Songa or that it may acquire in the future.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In August 2020, we completed a private exchange of $355,611,000 aggregate principal amount of 2023 Exchangeable Bonds owned by Mr. Mohn, including 2023 Exchangeable Bonds owned by Perestroika AS, for $213,367,000 original principal amount of Transocean Inc.’s 2.50% Senior Guaranteed Exchangeable Bonds due 2027 (the “2027 Exchangeable Bonds”). In connection with the completion of this private exchange, we also entered into an amendment to the existing registration rights agreement with Perestroika AS to reflect, among other things, that certain of the Company’s shares issuable upon the exchange of the 2027 Exchangeable Bonds would be subject to registration rights.</w:t>
      </w:r>
    </w:p>
    <w:p>
      <w:pPr>
        <w:pStyle w:val="TextBody"/>
        <w:bidi w:val="0"/>
        <w:spacing w:lineRule="auto" w:line="285" w:before="0" w:after="200"/>
        <w:ind w:left="0" w:right="0" w:hanging="0"/>
        <w:jc w:val="both"/>
        <w:rPr/>
      </w:pPr>
      <w:r>
        <w:rPr/>
        <w:t>​</w:t>
      </w:r>
    </w:p>
    <w:p>
      <w:pPr>
        <w:pStyle w:val="TextBody"/>
        <w:bidi w:val="0"/>
        <w:spacing w:lineRule="auto" w:line="285" w:before="0" w:after="20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P-62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rFonts w:ascii="Arial;Helvetica;sans-serif" w:hAnsi="Arial;Helvetica;sans-serif"/>
          <w:b/>
          <w:color w:val="ECA44A"/>
          <w:sz w:val="40"/>
        </w:rPr>
      </w:pPr>
      <w:bookmarkStart w:id="115" w:name="BOARDMEETINGSANDCOMMITTEES"/>
      <w:bookmarkStart w:id="116" w:name="_c8466abc_cf46_42a0_aa06_177b46d397c0"/>
      <w:bookmarkStart w:id="117" w:name="_Board_Meetings_and"/>
      <w:bookmarkEnd w:id="115"/>
      <w:bookmarkEnd w:id="116"/>
      <w:bookmarkEnd w:id="117"/>
      <w:r>
        <w:rPr>
          <w:rFonts w:ascii="Arial;Helvetica;sans-serif" w:hAnsi="Arial;Helvetica;sans-serif"/>
          <w:b/>
          <w:color w:val="ECA44A"/>
          <w:sz w:val="40"/>
        </w:rPr>
        <w:t>BOARD MEETINGS AND COMMITTEES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During 2025, the Board of Directors held four meetings. The Board of Directors, and the committees of the Board of Directors, met at least once a quarter, and such quarterly meetings generally occurred over a period of one to two days. Each of our directors attended 100% of the Board of Directors’ meetings and meetings of committees on which he or she served during 2025.</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 xml:space="preserve">The Board of Directors has the following standing committees: Audit, Compensation, Finance, and Governance, Safety &amp; Environment. As noted above, the charters for these committees may be found on our website at: </w:t>
      </w:r>
      <w:r>
        <w:rPr>
          <w:rFonts w:ascii="Arial;Helvetica;sans-serif" w:hAnsi="Arial;Helvetica;sans-serif"/>
          <w:color w:val="005670"/>
          <w:sz w:val="20"/>
        </w:rPr>
        <w:t>www.deepwater.com</w:t>
      </w:r>
      <w:r>
        <w:rPr>
          <w:rFonts w:ascii="Arial;Helvetica;sans-serif" w:hAnsi="Arial;Helvetica;sans-serif"/>
          <w:sz w:val="20"/>
        </w:rPr>
        <w:t xml:space="preserve"> by selecting the Governance page in the Investors section dropdown. In addition, the Board of Directors may from time to time form special committees to consider particular matters that arise. Following the 2026 Annual General Meeting, the Board of Directors expects to complete its annual review of committee assignments.</w:t>
      </w:r>
    </w:p>
    <w:tbl>
      <w:tblPr>
        <w:tblW w:w="10205" w:type="dxa"/>
        <w:jc w:val="left"/>
        <w:tblInd w:w="0" w:type="dxa"/>
        <w:tblLayout w:type="fixed"/>
        <w:tblCellMar>
          <w:top w:w="0" w:type="dxa"/>
          <w:left w:w="0" w:type="dxa"/>
          <w:bottom w:w="0" w:type="dxa"/>
          <w:right w:w="0" w:type="dxa"/>
        </w:tblCellMar>
      </w:tblPr>
      <w:tblGrid>
        <w:gridCol w:w="2007"/>
        <w:gridCol w:w="226"/>
        <w:gridCol w:w="1276"/>
        <w:gridCol w:w="226"/>
        <w:gridCol w:w="627"/>
        <w:gridCol w:w="226"/>
        <w:gridCol w:w="1456"/>
        <w:gridCol w:w="226"/>
        <w:gridCol w:w="841"/>
        <w:gridCol w:w="226"/>
        <w:gridCol w:w="1289"/>
        <w:gridCol w:w="1314"/>
        <w:gridCol w:w="109"/>
        <w:gridCol w:w="156"/>
      </w:tblGrid>
      <w:tr>
        <w:trPr/>
        <w:tc>
          <w:tcPr>
            <w:tcW w:w="2007"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both"/>
              <w:rPr/>
            </w:pPr>
            <w:r>
              <w:rPr/>
              <w:t>​</w:t>
            </w:r>
          </w:p>
        </w:tc>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both"/>
              <w:rPr/>
            </w:pPr>
            <w:r>
              <w:rPr/>
              <w:t>​</w:t>
            </w:r>
          </w:p>
        </w:tc>
        <w:tc>
          <w:tcPr>
            <w:tcW w:w="627"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both"/>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both"/>
              <w:rPr/>
            </w:pPr>
            <w:r>
              <w:rPr/>
              <w:t>​</w:t>
            </w:r>
          </w:p>
        </w:tc>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both"/>
              <w:rPr/>
            </w:pPr>
            <w:r>
              <w:rPr/>
              <w:t>​</w:t>
            </w:r>
          </w:p>
        </w:tc>
        <w:tc>
          <w:tcPr>
            <w:tcW w:w="2603"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007"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502" w:type="dxa"/>
            <w:gridSpan w:val="2"/>
            <w:tcBorders/>
            <w:vAlign w:val="center"/>
          </w:tcPr>
          <w:p>
            <w:pPr>
              <w:pStyle w:val="TableContents"/>
              <w:bidi w:val="0"/>
              <w:spacing w:lineRule="auto" w:line="285" w:before="0" w:after="0"/>
              <w:ind w:left="0" w:right="0" w:hanging="0"/>
              <w:jc w:val="center"/>
              <w:rPr>
                <w:color w:val="4B4F54"/>
              </w:rPr>
            </w:pPr>
            <w:r>
              <w:rPr>
                <w:color w:val="4B4F54"/>
              </w:rPr>
              <w:t>​</w:t>
            </w:r>
          </w:p>
        </w:tc>
        <w:tc>
          <w:tcPr>
            <w:tcW w:w="4891" w:type="dxa"/>
            <w:gridSpan w:val="7"/>
            <w:tcBorders>
              <w:bottom w:val="single" w:sz="2" w:space="0" w:color="D9D9D9"/>
            </w:tcBorders>
            <w:tcMar>
              <w:bottom w:w="30"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COMMITTEES FOR 2025 AGM TO 2026 AGM</w:t>
            </w:r>
          </w:p>
        </w:tc>
        <w:tc>
          <w:tcPr>
            <w:tcW w:w="1423" w:type="dxa"/>
            <w:gridSpan w:val="2"/>
            <w:tcBorders/>
            <w:vAlign w:val="center"/>
          </w:tcPr>
          <w:p>
            <w:pPr>
              <w:pStyle w:val="TableContents"/>
              <w:bidi w:val="0"/>
              <w:spacing w:before="0" w:after="283"/>
              <w:ind w:left="0" w:right="0" w:hanging="0"/>
              <w:jc w:val="left"/>
              <w:rPr>
                <w:sz w:val="4"/>
                <w:szCs w:val="4"/>
              </w:rPr>
            </w:pPr>
            <w:r>
              <w:rPr>
                <w:sz w:val="4"/>
                <w:szCs w:val="4"/>
              </w:rPr>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007" w:type="dxa"/>
            <w:tcBorders>
              <w:bottom w:val="single" w:sz="12" w:space="0" w:color="F6BE00"/>
            </w:tcBorders>
            <w:tcMar>
              <w:bottom w:w="30"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6"/>
              </w:rPr>
            </w:pPr>
            <w:r>
              <w:rPr>
                <w:rFonts w:ascii="Arial;Helvetica;sans-serif" w:hAnsi="Arial;Helvetica;sans-serif"/>
                <w:b/>
                <w:color w:val="4B4F54"/>
                <w:sz w:val="16"/>
              </w:rPr>
              <w:t>DIRECTOR</w:t>
            </w:r>
          </w:p>
        </w:tc>
        <w:tc>
          <w:tcPr>
            <w:tcW w:w="226" w:type="dxa"/>
            <w:tcBorders>
              <w:bottom w:val="single" w:sz="12" w:space="0" w:color="000000"/>
            </w:tcBorders>
            <w:tcMar>
              <w:bottom w:w="30" w:type="dxa"/>
            </w:tcMar>
            <w:vAlign w:val="center"/>
          </w:tcPr>
          <w:p>
            <w:pPr>
              <w:pStyle w:val="TableContents"/>
              <w:bidi w:val="0"/>
              <w:spacing w:lineRule="auto" w:line="285" w:before="0" w:after="0"/>
              <w:ind w:left="0" w:right="0" w:hanging="0"/>
              <w:jc w:val="center"/>
              <w:rPr>
                <w:color w:val="4B4F54"/>
              </w:rPr>
            </w:pPr>
            <w:r>
              <w:rPr>
                <w:color w:val="4B4F54"/>
              </w:rPr>
              <w:t>  ​</w:t>
            </w:r>
          </w:p>
        </w:tc>
        <w:tc>
          <w:tcPr>
            <w:tcW w:w="1276" w:type="dxa"/>
            <w:tcBorders>
              <w:bottom w:val="single" w:sz="12" w:space="0" w:color="F6BE00"/>
            </w:tcBorders>
            <w:tcMar>
              <w:bottom w:w="30"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INDEPENDENT</w:t>
            </w:r>
          </w:p>
        </w:tc>
        <w:tc>
          <w:tcPr>
            <w:tcW w:w="226" w:type="dxa"/>
            <w:tcBorders>
              <w:right w:val="single" w:sz="2" w:space="0" w:color="D9D9D9"/>
            </w:tcBorders>
            <w:tcMar>
              <w:right w:w="28" w:type="dxa"/>
            </w:tcMar>
            <w:vAlign w:val="center"/>
          </w:tcPr>
          <w:p>
            <w:pPr>
              <w:pStyle w:val="TableContents"/>
              <w:bidi w:val="0"/>
              <w:spacing w:lineRule="auto" w:line="285" w:before="0" w:after="0"/>
              <w:ind w:left="0" w:right="0" w:hanging="0"/>
              <w:jc w:val="both"/>
              <w:rPr/>
            </w:pPr>
            <w:r>
              <w:rPr/>
              <w:t>  ​</w:t>
            </w:r>
          </w:p>
        </w:tc>
        <w:tc>
          <w:tcPr>
            <w:tcW w:w="627" w:type="dxa"/>
            <w:tcBorders>
              <w:top w:val="single" w:sz="2" w:space="0" w:color="D9D9D9"/>
              <w:left w:val="single" w:sz="2" w:space="0" w:color="D9D9D9"/>
              <w:bottom w:val="single" w:sz="12" w:space="0" w:color="F6BE00"/>
            </w:tcBorders>
            <w:tcMar>
              <w:top w:w="30" w:type="dxa"/>
              <w:left w:w="28" w:type="dxa"/>
              <w:bottom w:w="30"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AUDIT</w:t>
            </w:r>
          </w:p>
        </w:tc>
        <w:tc>
          <w:tcPr>
            <w:tcW w:w="226" w:type="dxa"/>
            <w:tcBorders>
              <w:top w:val="single" w:sz="2" w:space="0" w:color="D9D9D9"/>
            </w:tcBorders>
            <w:tcMar>
              <w:top w:w="30" w:type="dxa"/>
            </w:tcMar>
            <w:vAlign w:val="center"/>
          </w:tcPr>
          <w:p>
            <w:pPr>
              <w:pStyle w:val="TableContents"/>
              <w:bidi w:val="0"/>
              <w:spacing w:lineRule="auto" w:line="285" w:before="0" w:after="0"/>
              <w:ind w:left="0" w:right="0" w:hanging="0"/>
              <w:jc w:val="both"/>
              <w:rPr/>
            </w:pPr>
            <w:r>
              <w:rPr/>
              <w:t>  ​</w:t>
            </w:r>
          </w:p>
        </w:tc>
        <w:tc>
          <w:tcPr>
            <w:tcW w:w="1456" w:type="dxa"/>
            <w:tcBorders>
              <w:top w:val="single" w:sz="2" w:space="0" w:color="D9D9D9"/>
              <w:bottom w:val="single" w:sz="12" w:space="0" w:color="F6BE00"/>
            </w:tcBorders>
            <w:tcMar>
              <w:top w:w="30" w:type="dxa"/>
              <w:bottom w:w="30"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COMPENSATION</w:t>
            </w:r>
          </w:p>
        </w:tc>
        <w:tc>
          <w:tcPr>
            <w:tcW w:w="226" w:type="dxa"/>
            <w:tcBorders>
              <w:top w:val="single" w:sz="2" w:space="0" w:color="D9D9D9"/>
            </w:tcBorders>
            <w:tcMar>
              <w:top w:w="30" w:type="dxa"/>
            </w:tcMar>
            <w:vAlign w:val="center"/>
          </w:tcPr>
          <w:p>
            <w:pPr>
              <w:pStyle w:val="TableContents"/>
              <w:bidi w:val="0"/>
              <w:spacing w:lineRule="auto" w:line="285" w:before="0" w:after="0"/>
              <w:ind w:left="0" w:right="0" w:hanging="0"/>
              <w:jc w:val="both"/>
              <w:rPr/>
            </w:pPr>
            <w:r>
              <w:rPr/>
              <w:t>  ​</w:t>
            </w:r>
          </w:p>
        </w:tc>
        <w:tc>
          <w:tcPr>
            <w:tcW w:w="841" w:type="dxa"/>
            <w:tcBorders>
              <w:top w:val="single" w:sz="2" w:space="0" w:color="D9D9D9"/>
              <w:bottom w:val="single" w:sz="12" w:space="0" w:color="F6BE00"/>
            </w:tcBorders>
            <w:tcMar>
              <w:top w:w="30" w:type="dxa"/>
              <w:bottom w:w="30"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FINANCE</w:t>
            </w:r>
          </w:p>
        </w:tc>
        <w:tc>
          <w:tcPr>
            <w:tcW w:w="226" w:type="dxa"/>
            <w:tcBorders>
              <w:top w:val="single" w:sz="2" w:space="0" w:color="D9D9D9"/>
            </w:tcBorders>
            <w:tcMar>
              <w:top w:w="30" w:type="dxa"/>
            </w:tcMar>
            <w:vAlign w:val="center"/>
          </w:tcPr>
          <w:p>
            <w:pPr>
              <w:pStyle w:val="TableContents"/>
              <w:bidi w:val="0"/>
              <w:spacing w:lineRule="auto" w:line="285" w:before="0" w:after="0"/>
              <w:ind w:left="0" w:right="0" w:hanging="0"/>
              <w:jc w:val="both"/>
              <w:rPr/>
            </w:pPr>
            <w:r>
              <w:rPr/>
              <w:t>  ​</w:t>
            </w:r>
          </w:p>
        </w:tc>
        <w:tc>
          <w:tcPr>
            <w:tcW w:w="2603" w:type="dxa"/>
            <w:gridSpan w:val="2"/>
            <w:tcBorders>
              <w:top w:val="single" w:sz="2" w:space="0" w:color="D9D9D9"/>
              <w:bottom w:val="single" w:sz="12" w:space="0" w:color="F6BE00"/>
            </w:tcBorders>
            <w:tcMar>
              <w:top w:w="30" w:type="dxa"/>
              <w:bottom w:w="30"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GOVERNANCE, SAFETY &amp; ENVIRONMENT</w:t>
            </w:r>
          </w:p>
        </w:tc>
        <w:tc>
          <w:tcPr>
            <w:tcW w:w="109" w:type="dxa"/>
            <w:vMerge w:val="restart"/>
            <w:tcBorders/>
            <w:vAlign w:val="center"/>
          </w:tcPr>
          <w:p>
            <w:pPr>
              <w:pStyle w:val="TableContents"/>
              <w:bidi w:val="0"/>
              <w:spacing w:lineRule="auto" w:line="285" w:before="0" w:after="0"/>
              <w:ind w:left="0" w:right="0" w:hanging="0"/>
              <w:jc w:val="both"/>
              <w:rPr>
                <w:caps w:val="false"/>
                <w:smallCaps w:val="false"/>
                <w:color w:val="000000"/>
              </w:rPr>
            </w:pPr>
            <w:r>
              <w:rPr>
                <w:caps w:val="false"/>
                <w:smallCaps w:val="false"/>
                <w:color w:val="000000"/>
              </w:rPr>
              <w:t>​</w:t>
            </w:r>
          </w:p>
          <w:p>
            <w:pPr>
              <w:pStyle w:val="TableContents"/>
              <w:bidi w:val="0"/>
              <w:spacing w:lineRule="auto" w:line="285" w:before="0" w:after="0"/>
              <w:ind w:left="0" w:right="0" w:hanging="0"/>
              <w:jc w:val="both"/>
              <w:rPr>
                <w:caps w:val="false"/>
                <w:smallCaps w:val="false"/>
                <w:color w:val="4B4F54"/>
              </w:rPr>
            </w:pPr>
            <w:r>
              <w:rPr>
                <w:caps w:val="false"/>
                <w:smallCaps w:val="false"/>
                <w:color w:val="4B4F54"/>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007" w:type="dxa"/>
            <w:tcBorders>
              <w:bottom w:val="single" w:sz="2" w:space="0" w:color="D9D9D9"/>
            </w:tcBorders>
            <w:tcMar>
              <w:bottom w:w="30"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Keelan I. Adamson</w:t>
            </w:r>
          </w:p>
        </w:tc>
        <w:tc>
          <w:tcPr>
            <w:tcW w:w="226" w:type="dxa"/>
            <w:tcBorders>
              <w:bottom w:val="single" w:sz="2" w:space="0" w:color="D9D9D9"/>
            </w:tcBorders>
            <w:tcMar>
              <w:bottom w:w="30" w:type="dxa"/>
            </w:tcMar>
            <w:vAlign w:val="center"/>
          </w:tcPr>
          <w:p>
            <w:pPr>
              <w:pStyle w:val="TableContents"/>
              <w:bidi w:val="0"/>
              <w:spacing w:lineRule="auto" w:line="285" w:before="0" w:after="0"/>
              <w:ind w:left="0" w:right="0" w:hanging="0"/>
              <w:jc w:val="center"/>
              <w:rPr>
                <w:color w:val="4B4F54"/>
              </w:rPr>
            </w:pPr>
            <w:r>
              <w:rPr>
                <w:color w:val="4B4F54"/>
              </w:rPr>
              <w:t>​</w:t>
            </w:r>
          </w:p>
        </w:tc>
        <w:tc>
          <w:tcPr>
            <w:tcW w:w="1276" w:type="dxa"/>
            <w:tcBorders>
              <w:bottom w:val="single" w:sz="2" w:space="0" w:color="D9D9D9"/>
            </w:tcBorders>
            <w:tcMar>
              <w:bottom w:w="30" w:type="dxa"/>
            </w:tcMar>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bottom w:val="single" w:sz="2" w:space="0" w:color="D9D9D9"/>
            </w:tcBorders>
            <w:tcMar>
              <w:bottom w:w="30" w:type="dxa"/>
            </w:tcMar>
            <w:vAlign w:val="center"/>
          </w:tcPr>
          <w:p>
            <w:pPr>
              <w:pStyle w:val="TableContents"/>
              <w:bidi w:val="0"/>
              <w:spacing w:lineRule="auto" w:line="285" w:before="0" w:after="0"/>
              <w:ind w:left="0" w:right="0" w:hanging="0"/>
              <w:jc w:val="both"/>
              <w:rPr/>
            </w:pPr>
            <w:r>
              <w:rPr/>
              <w:t>​</w:t>
            </w:r>
          </w:p>
        </w:tc>
        <w:tc>
          <w:tcPr>
            <w:tcW w:w="62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45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841"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2603" w:type="dxa"/>
            <w:gridSpan w:val="2"/>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color w:val="4B4F54"/>
              </w:rPr>
            </w:pPr>
            <w:r>
              <w:rPr>
                <w:color w:val="4B4F54"/>
              </w:rPr>
              <w:t>​</w:t>
            </w:r>
          </w:p>
        </w:tc>
        <w:tc>
          <w:tcPr>
            <w:tcW w:w="109" w:type="dxa"/>
            <w:vMerge w:val="continue"/>
            <w:tcBorders/>
            <w:vAlign w:val="center"/>
          </w:tcPr>
          <w:p>
            <w:pPr>
              <w:pStyle w:val="Normal"/>
              <w:bidi w:val="0"/>
              <w:jc w:val="left"/>
              <w:rPr/>
            </w:pPr>
            <w:r>
              <w:rPr/>
            </w:r>
          </w:p>
        </w:tc>
        <w:tc>
          <w:tcPr>
            <w:tcW w:w="156" w:type="dxa"/>
            <w:tcBorders>
              <w:top w:val="single" w:sz="2" w:space="0" w:color="D9D9D9"/>
              <w:bottom w:val="single" w:sz="2" w:space="0" w:color="000000"/>
              <w:right w:val="single" w:sz="2" w:space="0" w:color="D9D9D9"/>
            </w:tcBorders>
            <w:tcMar>
              <w:top w:w="30" w:type="dxa"/>
              <w:bottom w:w="30" w:type="dxa"/>
              <w:right w:w="28" w:type="dxa"/>
            </w:tcMar>
            <w:vAlign w:val="center"/>
          </w:tcPr>
          <w:p>
            <w:pPr>
              <w:pStyle w:val="TableContents"/>
              <w:bidi w:val="0"/>
              <w:spacing w:lineRule="auto" w:line="285" w:before="0" w:after="0"/>
              <w:ind w:left="0" w:right="0" w:hanging="0"/>
              <w:jc w:val="both"/>
              <w:rPr/>
            </w:pPr>
            <w:r>
              <w:rPr/>
              <w:t>​</w:t>
            </w:r>
          </w:p>
        </w:tc>
      </w:tr>
      <w:tr>
        <w:trPr/>
        <w:tc>
          <w:tcPr>
            <w:tcW w:w="200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Glyn A. Barker</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27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color w:val="005670"/>
              </w:rPr>
            </w:pPr>
            <w:r>
              <w:rPr>
                <w:color w:val="005670"/>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62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drawing>
                <wp:inline distT="0" distB="0" distL="0" distR="0">
                  <wp:extent cx="146050" cy="146050"/>
                  <wp:effectExtent l="0" t="0" r="0" b="0"/>
                  <wp:docPr id="14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95" descr=""/>
                          <pic:cNvPicPr>
                            <a:picLocks noChangeAspect="1" noChangeArrowheads="1"/>
                          </pic:cNvPicPr>
                        </pic:nvPicPr>
                        <pic:blipFill>
                          <a:blip r:embed="rId96"/>
                          <a:stretch>
                            <a:fillRect/>
                          </a:stretch>
                        </pic:blipFill>
                        <pic:spPr bwMode="auto">
                          <a:xfrm>
                            <a:off x="0" y="0"/>
                            <a:ext cx="146050" cy="146050"/>
                          </a:xfrm>
                          <a:prstGeom prst="rect">
                            <a:avLst/>
                          </a:prstGeom>
                        </pic:spPr>
                      </pic:pic>
                    </a:graphicData>
                  </a:graphic>
                </wp:inline>
              </w:drawing>
            </w:r>
            <w:r>
              <w:rPr/>
              <w:t xml:space="preserve"> </w:t>
            </w:r>
            <w:r>
              <w:rPr/>
              <w:drawing>
                <wp:inline distT="0" distB="0" distL="0" distR="0">
                  <wp:extent cx="137160" cy="191770"/>
                  <wp:effectExtent l="0" t="0" r="0" b="0"/>
                  <wp:docPr id="15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96" descr=""/>
                          <pic:cNvPicPr>
                            <a:picLocks noChangeAspect="1" noChangeArrowheads="1"/>
                          </pic:cNvPicPr>
                        </pic:nvPicPr>
                        <pic:blipFill>
                          <a:blip r:embed="rId97"/>
                          <a:stretch>
                            <a:fillRect/>
                          </a:stretch>
                        </pic:blipFill>
                        <pic:spPr bwMode="auto">
                          <a:xfrm>
                            <a:off x="0" y="0"/>
                            <a:ext cx="137160" cy="191770"/>
                          </a:xfrm>
                          <a:prstGeom prst="rect">
                            <a:avLst/>
                          </a:prstGeom>
                        </pic:spPr>
                      </pic:pic>
                    </a:graphicData>
                  </a:graphic>
                </wp:inline>
              </w:drawing>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45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drawing>
                <wp:inline distT="0" distB="0" distL="0" distR="0">
                  <wp:extent cx="173990" cy="173990"/>
                  <wp:effectExtent l="0" t="0" r="0" b="0"/>
                  <wp:docPr id="15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97" descr=""/>
                          <pic:cNvPicPr>
                            <a:picLocks noChangeAspect="1" noChangeArrowheads="1"/>
                          </pic:cNvPicPr>
                        </pic:nvPicPr>
                        <pic:blipFill>
                          <a:blip r:embed="rId98"/>
                          <a:stretch>
                            <a:fillRect/>
                          </a:stretch>
                        </pic:blipFill>
                        <pic:spPr bwMode="auto">
                          <a:xfrm>
                            <a:off x="0" y="0"/>
                            <a:ext cx="173990" cy="173990"/>
                          </a:xfrm>
                          <a:prstGeom prst="rect">
                            <a:avLst/>
                          </a:prstGeom>
                        </pic:spPr>
                      </pic:pic>
                    </a:graphicData>
                  </a:graphic>
                </wp:inline>
              </w:drawing>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841" w:type="dxa"/>
            <w:tcBorders>
              <w:top w:val="single" w:sz="2" w:space="0" w:color="D9D9D9"/>
              <w:bottom w:val="single" w:sz="2" w:space="0" w:color="D9D9D9"/>
            </w:tcBorders>
            <w:tcMar>
              <w:top w:w="30" w:type="dxa"/>
              <w:bottom w:w="30" w:type="dxa"/>
            </w:tcMar>
            <w:vAlign w:val="center"/>
          </w:tcPr>
          <w:p>
            <w:pPr>
              <w:pStyle w:val="TableContents"/>
              <w:bidi w:val="0"/>
              <w:spacing w:before="0" w:after="283"/>
              <w:ind w:left="0" w:right="0" w:hanging="0"/>
              <w:jc w:val="left"/>
              <w:rPr>
                <w:sz w:val="4"/>
                <w:szCs w:val="4"/>
              </w:rPr>
            </w:pPr>
            <w:r>
              <w:rPr>
                <w:sz w:val="4"/>
                <w:szCs w:val="4"/>
              </w:rPr>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2603" w:type="dxa"/>
            <w:gridSpan w:val="2"/>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t>​</w:t>
            </w:r>
          </w:p>
        </w:tc>
        <w:tc>
          <w:tcPr>
            <w:tcW w:w="109" w:type="dxa"/>
            <w:vMerge w:val="continue"/>
            <w:tcBorders/>
            <w:vAlign w:val="center"/>
          </w:tcPr>
          <w:p>
            <w:pPr>
              <w:pStyle w:val="Normal"/>
              <w:bidi w:val="0"/>
              <w:jc w:val="left"/>
              <w:rPr/>
            </w:pPr>
            <w:r>
              <w:rPr/>
            </w:r>
          </w:p>
        </w:tc>
        <w:tc>
          <w:tcPr>
            <w:tcW w:w="156" w:type="dxa"/>
            <w:tcBorders>
              <w:right w:val="single" w:sz="2" w:space="0" w:color="D9D9D9"/>
            </w:tcBorders>
            <w:tcMar>
              <w:right w:w="28" w:type="dxa"/>
            </w:tcMar>
            <w:vAlign w:val="center"/>
          </w:tcPr>
          <w:p>
            <w:pPr>
              <w:pStyle w:val="TableContents"/>
              <w:bidi w:val="0"/>
              <w:spacing w:lineRule="auto" w:line="285" w:before="0" w:after="0"/>
              <w:ind w:left="0" w:right="0" w:hanging="0"/>
              <w:jc w:val="center"/>
              <w:rPr/>
            </w:pPr>
            <w:r>
              <w:rPr/>
              <w:t>​</w:t>
            </w:r>
          </w:p>
        </w:tc>
      </w:tr>
      <w:tr>
        <w:trPr/>
        <w:tc>
          <w:tcPr>
            <w:tcW w:w="200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Vanessa C.L. Chang</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27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color w:val="005670"/>
              </w:rPr>
            </w:pPr>
            <w:r>
              <w:rPr>
                <w:color w:val="005670"/>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62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drawing>
                <wp:inline distT="0" distB="0" distL="0" distR="0">
                  <wp:extent cx="173990" cy="173990"/>
                  <wp:effectExtent l="0" t="0" r="0" b="0"/>
                  <wp:docPr id="15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98" descr=""/>
                          <pic:cNvPicPr>
                            <a:picLocks noChangeAspect="1" noChangeArrowheads="1"/>
                          </pic:cNvPicPr>
                        </pic:nvPicPr>
                        <pic:blipFill>
                          <a:blip r:embed="rId99"/>
                          <a:stretch>
                            <a:fillRect/>
                          </a:stretch>
                        </pic:blipFill>
                        <pic:spPr bwMode="auto">
                          <a:xfrm>
                            <a:off x="0" y="0"/>
                            <a:ext cx="173990" cy="173990"/>
                          </a:xfrm>
                          <a:prstGeom prst="rect">
                            <a:avLst/>
                          </a:prstGeom>
                        </pic:spPr>
                      </pic:pic>
                    </a:graphicData>
                  </a:graphic>
                </wp:inline>
              </w:drawing>
            </w:r>
            <w:r>
              <w:rPr/>
              <w:t xml:space="preserve"> </w:t>
            </w:r>
            <w:r>
              <w:rPr/>
              <w:drawing>
                <wp:inline distT="0" distB="0" distL="0" distR="0">
                  <wp:extent cx="137160" cy="191770"/>
                  <wp:effectExtent l="0" t="0" r="0" b="0"/>
                  <wp:docPr id="15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99" descr=""/>
                          <pic:cNvPicPr>
                            <a:picLocks noChangeAspect="1" noChangeArrowheads="1"/>
                          </pic:cNvPicPr>
                        </pic:nvPicPr>
                        <pic:blipFill>
                          <a:blip r:embed="rId100"/>
                          <a:stretch>
                            <a:fillRect/>
                          </a:stretch>
                        </pic:blipFill>
                        <pic:spPr bwMode="auto">
                          <a:xfrm>
                            <a:off x="0" y="0"/>
                            <a:ext cx="137160" cy="191770"/>
                          </a:xfrm>
                          <a:prstGeom prst="rect">
                            <a:avLst/>
                          </a:prstGeom>
                        </pic:spPr>
                      </pic:pic>
                    </a:graphicData>
                  </a:graphic>
                </wp:inline>
              </w:drawing>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45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drawing>
                <wp:inline distT="0" distB="0" distL="0" distR="0">
                  <wp:extent cx="146050" cy="146050"/>
                  <wp:effectExtent l="0" t="0" r="0" b="0"/>
                  <wp:docPr id="15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00" descr=""/>
                          <pic:cNvPicPr>
                            <a:picLocks noChangeAspect="1" noChangeArrowheads="1"/>
                          </pic:cNvPicPr>
                        </pic:nvPicPr>
                        <pic:blipFill>
                          <a:blip r:embed="rId101"/>
                          <a:stretch>
                            <a:fillRect/>
                          </a:stretch>
                        </pic:blipFill>
                        <pic:spPr bwMode="auto">
                          <a:xfrm>
                            <a:off x="0" y="0"/>
                            <a:ext cx="146050" cy="146050"/>
                          </a:xfrm>
                          <a:prstGeom prst="rect">
                            <a:avLst/>
                          </a:prstGeom>
                        </pic:spPr>
                      </pic:pic>
                    </a:graphicData>
                  </a:graphic>
                </wp:inline>
              </w:drawing>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841" w:type="dxa"/>
            <w:tcBorders>
              <w:top w:val="single" w:sz="2" w:space="0" w:color="D9D9D9"/>
              <w:bottom w:val="single" w:sz="2" w:space="0" w:color="D9D9D9"/>
            </w:tcBorders>
            <w:tcMar>
              <w:top w:w="30" w:type="dxa"/>
              <w:bottom w:w="30" w:type="dxa"/>
            </w:tcMar>
            <w:vAlign w:val="center"/>
          </w:tcPr>
          <w:p>
            <w:pPr>
              <w:pStyle w:val="TableContents"/>
              <w:bidi w:val="0"/>
              <w:spacing w:before="0" w:after="283"/>
              <w:ind w:left="0" w:right="0" w:hanging="0"/>
              <w:jc w:val="left"/>
              <w:rPr>
                <w:sz w:val="4"/>
                <w:szCs w:val="4"/>
              </w:rPr>
            </w:pPr>
            <w:r>
              <w:rPr>
                <w:sz w:val="4"/>
                <w:szCs w:val="4"/>
              </w:rPr>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2603" w:type="dxa"/>
            <w:gridSpan w:val="2"/>
            <w:tcBorders>
              <w:top w:val="single" w:sz="2" w:space="0" w:color="D9D9D9"/>
              <w:bottom w:val="single" w:sz="2" w:space="0" w:color="D9D9D9"/>
            </w:tcBorders>
            <w:tcMar>
              <w:top w:w="30" w:type="dxa"/>
              <w:bottom w:w="30" w:type="dxa"/>
            </w:tcMar>
            <w:vAlign w:val="center"/>
          </w:tcPr>
          <w:p>
            <w:pPr>
              <w:pStyle w:val="TableContents"/>
              <w:bidi w:val="0"/>
              <w:spacing w:before="0" w:after="283"/>
              <w:ind w:left="0" w:right="0" w:hanging="0"/>
              <w:jc w:val="left"/>
              <w:rPr>
                <w:sz w:val="4"/>
                <w:szCs w:val="4"/>
              </w:rPr>
            </w:pPr>
            <w:r>
              <w:rPr>
                <w:sz w:val="4"/>
                <w:szCs w:val="4"/>
              </w:rPr>
            </w:r>
          </w:p>
        </w:tc>
        <w:tc>
          <w:tcPr>
            <w:tcW w:w="109" w:type="dxa"/>
            <w:vMerge w:val="continue"/>
            <w:tcBorders/>
            <w:vAlign w:val="center"/>
          </w:tcPr>
          <w:p>
            <w:pPr>
              <w:pStyle w:val="Normal"/>
              <w:bidi w:val="0"/>
              <w:jc w:val="left"/>
              <w:rPr/>
            </w:pPr>
            <w:r>
              <w:rPr/>
            </w:r>
          </w:p>
        </w:tc>
        <w:tc>
          <w:tcPr>
            <w:tcW w:w="156" w:type="dxa"/>
            <w:tcBorders>
              <w:right w:val="single" w:sz="2" w:space="0" w:color="D9D9D9"/>
            </w:tcBorders>
            <w:tcMar>
              <w:right w:w="28" w:type="dxa"/>
            </w:tcMar>
            <w:vAlign w:val="center"/>
          </w:tcPr>
          <w:p>
            <w:pPr>
              <w:pStyle w:val="TableContents"/>
              <w:bidi w:val="0"/>
              <w:spacing w:lineRule="auto" w:line="285" w:before="0" w:after="0"/>
              <w:ind w:left="0" w:right="0" w:hanging="0"/>
              <w:jc w:val="center"/>
              <w:rPr/>
            </w:pPr>
            <w:r>
              <w:rPr/>
              <w:t>​</w:t>
            </w:r>
          </w:p>
        </w:tc>
      </w:tr>
      <w:tr>
        <w:trPr/>
        <w:tc>
          <w:tcPr>
            <w:tcW w:w="200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Frederico F. Curado</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27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color w:val="005670"/>
              </w:rPr>
            </w:pPr>
            <w:r>
              <w:rPr>
                <w:color w:val="005670"/>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62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45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drawing>
                <wp:inline distT="0" distB="0" distL="0" distR="0">
                  <wp:extent cx="146050" cy="146050"/>
                  <wp:effectExtent l="0" t="0" r="0" b="0"/>
                  <wp:docPr id="15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01" descr=""/>
                          <pic:cNvPicPr>
                            <a:picLocks noChangeAspect="1" noChangeArrowheads="1"/>
                          </pic:cNvPicPr>
                        </pic:nvPicPr>
                        <pic:blipFill>
                          <a:blip r:embed="rId102"/>
                          <a:stretch>
                            <a:fillRect/>
                          </a:stretch>
                        </pic:blipFill>
                        <pic:spPr bwMode="auto">
                          <a:xfrm>
                            <a:off x="0" y="0"/>
                            <a:ext cx="146050" cy="146050"/>
                          </a:xfrm>
                          <a:prstGeom prst="rect">
                            <a:avLst/>
                          </a:prstGeom>
                        </pic:spPr>
                      </pic:pic>
                    </a:graphicData>
                  </a:graphic>
                </wp:inline>
              </w:drawing>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841"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2603" w:type="dxa"/>
            <w:gridSpan w:val="2"/>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drawing>
                <wp:inline distT="0" distB="0" distL="0" distR="0">
                  <wp:extent cx="173990" cy="173990"/>
                  <wp:effectExtent l="0" t="0" r="0" b="0"/>
                  <wp:docPr id="15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02" descr=""/>
                          <pic:cNvPicPr>
                            <a:picLocks noChangeAspect="1" noChangeArrowheads="1"/>
                          </pic:cNvPicPr>
                        </pic:nvPicPr>
                        <pic:blipFill>
                          <a:blip r:embed="rId103"/>
                          <a:stretch>
                            <a:fillRect/>
                          </a:stretch>
                        </pic:blipFill>
                        <pic:spPr bwMode="auto">
                          <a:xfrm>
                            <a:off x="0" y="0"/>
                            <a:ext cx="173990" cy="173990"/>
                          </a:xfrm>
                          <a:prstGeom prst="rect">
                            <a:avLst/>
                          </a:prstGeom>
                        </pic:spPr>
                      </pic:pic>
                    </a:graphicData>
                  </a:graphic>
                </wp:inline>
              </w:drawing>
            </w:r>
          </w:p>
        </w:tc>
        <w:tc>
          <w:tcPr>
            <w:tcW w:w="109" w:type="dxa"/>
            <w:vMerge w:val="continue"/>
            <w:tcBorders/>
            <w:vAlign w:val="center"/>
          </w:tcPr>
          <w:p>
            <w:pPr>
              <w:pStyle w:val="Normal"/>
              <w:bidi w:val="0"/>
              <w:jc w:val="left"/>
              <w:rPr/>
            </w:pPr>
            <w:r>
              <w:rPr/>
            </w:r>
          </w:p>
        </w:tc>
        <w:tc>
          <w:tcPr>
            <w:tcW w:w="156" w:type="dxa"/>
            <w:tcBorders>
              <w:right w:val="single" w:sz="2" w:space="0" w:color="D9D9D9"/>
            </w:tcBorders>
            <w:tcMar>
              <w:right w:w="28" w:type="dxa"/>
            </w:tcMar>
            <w:vAlign w:val="center"/>
          </w:tcPr>
          <w:p>
            <w:pPr>
              <w:pStyle w:val="TableContents"/>
              <w:bidi w:val="0"/>
              <w:spacing w:lineRule="auto" w:line="285" w:before="0" w:after="0"/>
              <w:ind w:left="0" w:right="0" w:hanging="0"/>
              <w:jc w:val="center"/>
              <w:rPr/>
            </w:pPr>
            <w:r>
              <w:rPr/>
              <w:t>​</w:t>
            </w:r>
          </w:p>
        </w:tc>
      </w:tr>
      <w:tr>
        <w:trPr/>
        <w:tc>
          <w:tcPr>
            <w:tcW w:w="200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Chadwick C. Deaton</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27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color w:val="005670"/>
              </w:rPr>
            </w:pPr>
            <w:r>
              <w:rPr>
                <w:color w:val="005670"/>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627" w:type="dxa"/>
            <w:tcBorders>
              <w:top w:val="single" w:sz="2" w:space="0" w:color="D9D9D9"/>
              <w:bottom w:val="single" w:sz="2" w:space="0" w:color="D9D9D9"/>
            </w:tcBorders>
            <w:tcMar>
              <w:top w:w="30" w:type="dxa"/>
              <w:bottom w:w="30" w:type="dxa"/>
            </w:tcMar>
            <w:vAlign w:val="center"/>
          </w:tcPr>
          <w:p>
            <w:pPr>
              <w:pStyle w:val="TableContents"/>
              <w:bidi w:val="0"/>
              <w:spacing w:before="0" w:after="283"/>
              <w:ind w:left="0" w:right="0" w:hanging="0"/>
              <w:jc w:val="left"/>
              <w:rPr>
                <w:sz w:val="4"/>
                <w:szCs w:val="4"/>
              </w:rPr>
            </w:pPr>
            <w:r>
              <w:rPr>
                <w:sz w:val="4"/>
                <w:szCs w:val="4"/>
              </w:rPr>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45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841"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2603" w:type="dxa"/>
            <w:gridSpan w:val="2"/>
            <w:tcBorders>
              <w:top w:val="single" w:sz="2" w:space="0" w:color="D9D9D9"/>
              <w:bottom w:val="single" w:sz="2" w:space="0" w:color="D9D9D9"/>
            </w:tcBorders>
            <w:tcMar>
              <w:top w:w="30" w:type="dxa"/>
              <w:bottom w:w="30" w:type="dxa"/>
            </w:tcMar>
            <w:vAlign w:val="center"/>
          </w:tcPr>
          <w:p>
            <w:pPr>
              <w:pStyle w:val="TableContents"/>
              <w:bidi w:val="0"/>
              <w:spacing w:before="0" w:after="283"/>
              <w:ind w:left="0" w:right="0" w:hanging="0"/>
              <w:jc w:val="left"/>
              <w:rPr>
                <w:sz w:val="4"/>
                <w:szCs w:val="4"/>
              </w:rPr>
            </w:pPr>
            <w:r>
              <w:rPr>
                <w:sz w:val="4"/>
                <w:szCs w:val="4"/>
              </w:rPr>
            </w:r>
          </w:p>
        </w:tc>
        <w:tc>
          <w:tcPr>
            <w:tcW w:w="109" w:type="dxa"/>
            <w:vMerge w:val="continue"/>
            <w:tcBorders/>
            <w:vAlign w:val="center"/>
          </w:tcPr>
          <w:p>
            <w:pPr>
              <w:pStyle w:val="Normal"/>
              <w:bidi w:val="0"/>
              <w:jc w:val="left"/>
              <w:rPr/>
            </w:pPr>
            <w:r>
              <w:rPr/>
            </w:r>
          </w:p>
        </w:tc>
        <w:tc>
          <w:tcPr>
            <w:tcW w:w="156" w:type="dxa"/>
            <w:tcBorders>
              <w:right w:val="single" w:sz="2" w:space="0" w:color="D9D9D9"/>
            </w:tcBorders>
            <w:tcMar>
              <w:right w:w="28" w:type="dxa"/>
            </w:tcMar>
            <w:vAlign w:val="center"/>
          </w:tcPr>
          <w:p>
            <w:pPr>
              <w:pStyle w:val="TableContents"/>
              <w:bidi w:val="0"/>
              <w:spacing w:lineRule="auto" w:line="285" w:before="0" w:after="0"/>
              <w:ind w:left="0" w:right="0" w:hanging="0"/>
              <w:jc w:val="center"/>
              <w:rPr/>
            </w:pPr>
            <w:r>
              <w:rPr/>
              <w:t>​</w:t>
            </w:r>
          </w:p>
        </w:tc>
      </w:tr>
      <w:tr>
        <w:trPr/>
        <w:tc>
          <w:tcPr>
            <w:tcW w:w="200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xml:space="preserve">Domenic J. “Nick” Dell’Osso, Jr. </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27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color w:val="005670"/>
              </w:rPr>
            </w:pPr>
            <w:r>
              <w:rPr>
                <w:color w:val="005670"/>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62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45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841"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drawing>
                <wp:inline distT="0" distB="0" distL="0" distR="0">
                  <wp:extent cx="173990" cy="173990"/>
                  <wp:effectExtent l="0" t="0" r="0" b="0"/>
                  <wp:docPr id="15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03" descr=""/>
                          <pic:cNvPicPr>
                            <a:picLocks noChangeAspect="1" noChangeArrowheads="1"/>
                          </pic:cNvPicPr>
                        </pic:nvPicPr>
                        <pic:blipFill>
                          <a:blip r:embed="rId104"/>
                          <a:stretch>
                            <a:fillRect/>
                          </a:stretch>
                        </pic:blipFill>
                        <pic:spPr bwMode="auto">
                          <a:xfrm>
                            <a:off x="0" y="0"/>
                            <a:ext cx="173990" cy="173990"/>
                          </a:xfrm>
                          <a:prstGeom prst="rect">
                            <a:avLst/>
                          </a:prstGeom>
                        </pic:spPr>
                      </pic:pic>
                    </a:graphicData>
                  </a:graphic>
                </wp:inline>
              </w:drawing>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2603" w:type="dxa"/>
            <w:gridSpan w:val="2"/>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drawing>
                <wp:inline distT="0" distB="0" distL="0" distR="0">
                  <wp:extent cx="146050" cy="146050"/>
                  <wp:effectExtent l="0" t="0" r="0" b="0"/>
                  <wp:docPr id="15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04" descr=""/>
                          <pic:cNvPicPr>
                            <a:picLocks noChangeAspect="1" noChangeArrowheads="1"/>
                          </pic:cNvPicPr>
                        </pic:nvPicPr>
                        <pic:blipFill>
                          <a:blip r:embed="rId105"/>
                          <a:stretch>
                            <a:fillRect/>
                          </a:stretch>
                        </pic:blipFill>
                        <pic:spPr bwMode="auto">
                          <a:xfrm>
                            <a:off x="0" y="0"/>
                            <a:ext cx="146050" cy="146050"/>
                          </a:xfrm>
                          <a:prstGeom prst="rect">
                            <a:avLst/>
                          </a:prstGeom>
                        </pic:spPr>
                      </pic:pic>
                    </a:graphicData>
                  </a:graphic>
                </wp:inline>
              </w:drawing>
            </w:r>
          </w:p>
        </w:tc>
        <w:tc>
          <w:tcPr>
            <w:tcW w:w="109" w:type="dxa"/>
            <w:vMerge w:val="continue"/>
            <w:tcBorders/>
            <w:vAlign w:val="center"/>
          </w:tcPr>
          <w:p>
            <w:pPr>
              <w:pStyle w:val="Normal"/>
              <w:bidi w:val="0"/>
              <w:jc w:val="left"/>
              <w:rPr/>
            </w:pPr>
            <w:r>
              <w:rPr/>
            </w:r>
          </w:p>
        </w:tc>
        <w:tc>
          <w:tcPr>
            <w:tcW w:w="156" w:type="dxa"/>
            <w:tcBorders>
              <w:right w:val="single" w:sz="2" w:space="0" w:color="D9D9D9"/>
            </w:tcBorders>
            <w:tcMar>
              <w:right w:w="28" w:type="dxa"/>
            </w:tcMar>
            <w:vAlign w:val="center"/>
          </w:tcPr>
          <w:p>
            <w:pPr>
              <w:pStyle w:val="TableContents"/>
              <w:bidi w:val="0"/>
              <w:spacing w:lineRule="auto" w:line="285" w:before="0" w:after="0"/>
              <w:ind w:left="0" w:right="0" w:hanging="0"/>
              <w:jc w:val="center"/>
              <w:rPr/>
            </w:pPr>
            <w:r>
              <w:rPr/>
              <w:t>​</w:t>
            </w:r>
          </w:p>
        </w:tc>
      </w:tr>
      <w:tr>
        <w:trPr/>
        <w:tc>
          <w:tcPr>
            <w:tcW w:w="200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Vincent J. Intrieri</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27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color w:val="005670"/>
              </w:rPr>
            </w:pPr>
            <w:r>
              <w:rPr>
                <w:color w:val="005670"/>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627" w:type="dxa"/>
            <w:tcBorders>
              <w:top w:val="single" w:sz="2" w:space="0" w:color="D9D9D9"/>
              <w:bottom w:val="single" w:sz="2" w:space="0" w:color="D9D9D9"/>
            </w:tcBorders>
            <w:tcMar>
              <w:top w:w="30" w:type="dxa"/>
              <w:bottom w:w="30" w:type="dxa"/>
            </w:tcMar>
            <w:vAlign w:val="center"/>
          </w:tcPr>
          <w:p>
            <w:pPr>
              <w:pStyle w:val="TableContents"/>
              <w:bidi w:val="0"/>
              <w:spacing w:before="0" w:after="283"/>
              <w:ind w:left="0" w:right="0" w:hanging="0"/>
              <w:jc w:val="left"/>
              <w:rPr>
                <w:sz w:val="4"/>
                <w:szCs w:val="4"/>
              </w:rPr>
            </w:pPr>
            <w:r>
              <w:rPr>
                <w:sz w:val="4"/>
                <w:szCs w:val="4"/>
              </w:rPr>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456" w:type="dxa"/>
            <w:tcBorders>
              <w:top w:val="single" w:sz="2" w:space="0" w:color="D9D9D9"/>
              <w:bottom w:val="single" w:sz="2" w:space="0" w:color="D9D9D9"/>
            </w:tcBorders>
            <w:tcMar>
              <w:top w:w="30" w:type="dxa"/>
              <w:bottom w:w="30" w:type="dxa"/>
            </w:tcMar>
            <w:vAlign w:val="center"/>
          </w:tcPr>
          <w:p>
            <w:pPr>
              <w:pStyle w:val="TableContents"/>
              <w:bidi w:val="0"/>
              <w:spacing w:before="0" w:after="283"/>
              <w:ind w:left="0" w:right="0" w:hanging="0"/>
              <w:jc w:val="left"/>
              <w:rPr>
                <w:sz w:val="4"/>
                <w:szCs w:val="4"/>
              </w:rPr>
            </w:pPr>
            <w:r>
              <w:rPr>
                <w:sz w:val="4"/>
                <w:szCs w:val="4"/>
              </w:rPr>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841"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drawing>
                <wp:inline distT="0" distB="0" distL="0" distR="0">
                  <wp:extent cx="146050" cy="146050"/>
                  <wp:effectExtent l="0" t="0" r="0" b="0"/>
                  <wp:docPr id="15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05" descr=""/>
                          <pic:cNvPicPr>
                            <a:picLocks noChangeAspect="1" noChangeArrowheads="1"/>
                          </pic:cNvPicPr>
                        </pic:nvPicPr>
                        <pic:blipFill>
                          <a:blip r:embed="rId106"/>
                          <a:stretch>
                            <a:fillRect/>
                          </a:stretch>
                        </pic:blipFill>
                        <pic:spPr bwMode="auto">
                          <a:xfrm>
                            <a:off x="0" y="0"/>
                            <a:ext cx="146050" cy="146050"/>
                          </a:xfrm>
                          <a:prstGeom prst="rect">
                            <a:avLst/>
                          </a:prstGeom>
                        </pic:spPr>
                      </pic:pic>
                    </a:graphicData>
                  </a:graphic>
                </wp:inline>
              </w:drawing>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2603" w:type="dxa"/>
            <w:gridSpan w:val="2"/>
            <w:tcBorders>
              <w:top w:val="single" w:sz="2" w:space="0" w:color="D9D9D9"/>
              <w:bottom w:val="single" w:sz="2" w:space="0" w:color="D9D9D9"/>
            </w:tcBorders>
            <w:tcMar>
              <w:top w:w="30" w:type="dxa"/>
              <w:bottom w:w="30" w:type="dxa"/>
            </w:tcMar>
            <w:vAlign w:val="center"/>
          </w:tcPr>
          <w:p>
            <w:pPr>
              <w:pStyle w:val="TableContents"/>
              <w:bidi w:val="0"/>
              <w:spacing w:before="0" w:after="283"/>
              <w:ind w:left="0" w:right="0" w:hanging="0"/>
              <w:jc w:val="left"/>
              <w:rPr>
                <w:sz w:val="4"/>
                <w:szCs w:val="4"/>
              </w:rPr>
            </w:pPr>
            <w:r>
              <w:rPr>
                <w:sz w:val="4"/>
                <w:szCs w:val="4"/>
              </w:rPr>
            </w:r>
          </w:p>
        </w:tc>
        <w:tc>
          <w:tcPr>
            <w:tcW w:w="109" w:type="dxa"/>
            <w:vMerge w:val="continue"/>
            <w:tcBorders/>
            <w:vAlign w:val="center"/>
          </w:tcPr>
          <w:p>
            <w:pPr>
              <w:pStyle w:val="Normal"/>
              <w:bidi w:val="0"/>
              <w:jc w:val="left"/>
              <w:rPr/>
            </w:pPr>
            <w:r>
              <w:rPr/>
            </w:r>
          </w:p>
        </w:tc>
        <w:tc>
          <w:tcPr>
            <w:tcW w:w="156" w:type="dxa"/>
            <w:tcBorders>
              <w:right w:val="single" w:sz="2" w:space="0" w:color="D9D9D9"/>
            </w:tcBorders>
            <w:tcMar>
              <w:right w:w="28" w:type="dxa"/>
            </w:tcMar>
            <w:vAlign w:val="center"/>
          </w:tcPr>
          <w:p>
            <w:pPr>
              <w:pStyle w:val="TableContents"/>
              <w:bidi w:val="0"/>
              <w:spacing w:lineRule="auto" w:line="285" w:before="0" w:after="0"/>
              <w:ind w:left="0" w:right="0" w:hanging="0"/>
              <w:jc w:val="center"/>
              <w:rPr/>
            </w:pPr>
            <w:r>
              <w:rPr/>
              <w:t>​</w:t>
            </w:r>
          </w:p>
        </w:tc>
      </w:tr>
      <w:tr>
        <w:trPr/>
        <w:tc>
          <w:tcPr>
            <w:tcW w:w="200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William F. “Bill” Lacey</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27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color w:val="005670"/>
              </w:rPr>
            </w:pPr>
            <w:r>
              <w:rPr>
                <w:color w:val="005670"/>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62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drawing>
                <wp:inline distT="0" distB="0" distL="0" distR="0">
                  <wp:extent cx="146050" cy="146050"/>
                  <wp:effectExtent l="0" t="0" r="0" b="0"/>
                  <wp:docPr id="16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06" descr=""/>
                          <pic:cNvPicPr>
                            <a:picLocks noChangeAspect="1" noChangeArrowheads="1"/>
                          </pic:cNvPicPr>
                        </pic:nvPicPr>
                        <pic:blipFill>
                          <a:blip r:embed="rId107"/>
                          <a:stretch>
                            <a:fillRect/>
                          </a:stretch>
                        </pic:blipFill>
                        <pic:spPr bwMode="auto">
                          <a:xfrm>
                            <a:off x="0" y="0"/>
                            <a:ext cx="146050" cy="146050"/>
                          </a:xfrm>
                          <a:prstGeom prst="rect">
                            <a:avLst/>
                          </a:prstGeom>
                        </pic:spPr>
                      </pic:pic>
                    </a:graphicData>
                  </a:graphic>
                </wp:inline>
              </w:drawing>
            </w:r>
            <w:r>
              <w:rPr/>
              <w:t xml:space="preserve"> </w:t>
            </w:r>
            <w:r>
              <w:rPr/>
              <w:drawing>
                <wp:inline distT="0" distB="0" distL="0" distR="0">
                  <wp:extent cx="137160" cy="191770"/>
                  <wp:effectExtent l="0" t="0" r="0" b="0"/>
                  <wp:docPr id="16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07" descr=""/>
                          <pic:cNvPicPr>
                            <a:picLocks noChangeAspect="1" noChangeArrowheads="1"/>
                          </pic:cNvPicPr>
                        </pic:nvPicPr>
                        <pic:blipFill>
                          <a:blip r:embed="rId108"/>
                          <a:stretch>
                            <a:fillRect/>
                          </a:stretch>
                        </pic:blipFill>
                        <pic:spPr bwMode="auto">
                          <a:xfrm>
                            <a:off x="0" y="0"/>
                            <a:ext cx="137160" cy="191770"/>
                          </a:xfrm>
                          <a:prstGeom prst="rect">
                            <a:avLst/>
                          </a:prstGeom>
                        </pic:spPr>
                      </pic:pic>
                    </a:graphicData>
                  </a:graphic>
                </wp:inline>
              </w:drawing>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45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841"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2603" w:type="dxa"/>
            <w:gridSpan w:val="2"/>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t>​</w:t>
            </w:r>
          </w:p>
        </w:tc>
        <w:tc>
          <w:tcPr>
            <w:tcW w:w="109" w:type="dxa"/>
            <w:vMerge w:val="continue"/>
            <w:tcBorders/>
            <w:vAlign w:val="center"/>
          </w:tcPr>
          <w:p>
            <w:pPr>
              <w:pStyle w:val="Normal"/>
              <w:bidi w:val="0"/>
              <w:jc w:val="left"/>
              <w:rPr/>
            </w:pPr>
            <w:r>
              <w:rPr/>
            </w:r>
          </w:p>
        </w:tc>
        <w:tc>
          <w:tcPr>
            <w:tcW w:w="156" w:type="dxa"/>
            <w:tcBorders>
              <w:right w:val="single" w:sz="2" w:space="0" w:color="D9D9D9"/>
            </w:tcBorders>
            <w:tcMar>
              <w:right w:w="28" w:type="dxa"/>
            </w:tcMar>
            <w:vAlign w:val="center"/>
          </w:tcPr>
          <w:p>
            <w:pPr>
              <w:pStyle w:val="TableContents"/>
              <w:bidi w:val="0"/>
              <w:spacing w:lineRule="auto" w:line="285" w:before="0" w:after="0"/>
              <w:ind w:left="0" w:right="0" w:hanging="0"/>
              <w:jc w:val="center"/>
              <w:rPr/>
            </w:pPr>
            <w:r>
              <w:rPr/>
              <w:t>​</w:t>
            </w:r>
          </w:p>
        </w:tc>
      </w:tr>
      <w:tr>
        <w:trPr/>
        <w:tc>
          <w:tcPr>
            <w:tcW w:w="200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Samuel J. Merksamer</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27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color w:val="005670"/>
              </w:rPr>
            </w:pPr>
            <w:r>
              <w:rPr>
                <w:color w:val="005670"/>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62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drawing>
                <wp:inline distT="0" distB="0" distL="0" distR="0">
                  <wp:extent cx="146050" cy="146050"/>
                  <wp:effectExtent l="0" t="0" r="0" b="0"/>
                  <wp:docPr id="16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08" descr=""/>
                          <pic:cNvPicPr>
                            <a:picLocks noChangeAspect="1" noChangeArrowheads="1"/>
                          </pic:cNvPicPr>
                        </pic:nvPicPr>
                        <pic:blipFill>
                          <a:blip r:embed="rId109"/>
                          <a:stretch>
                            <a:fillRect/>
                          </a:stretch>
                        </pic:blipFill>
                        <pic:spPr bwMode="auto">
                          <a:xfrm>
                            <a:off x="0" y="0"/>
                            <a:ext cx="146050" cy="146050"/>
                          </a:xfrm>
                          <a:prstGeom prst="rect">
                            <a:avLst/>
                          </a:prstGeom>
                        </pic:spPr>
                      </pic:pic>
                    </a:graphicData>
                  </a:graphic>
                </wp:inline>
              </w:drawing>
            </w:r>
            <w:r>
              <w:rPr/>
              <w:t xml:space="preserve"> </w:t>
            </w:r>
            <w:r>
              <w:rPr/>
              <w:drawing>
                <wp:inline distT="0" distB="0" distL="0" distR="0">
                  <wp:extent cx="137160" cy="191770"/>
                  <wp:effectExtent l="0" t="0" r="0" b="0"/>
                  <wp:docPr id="16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09" descr=""/>
                          <pic:cNvPicPr>
                            <a:picLocks noChangeAspect="1" noChangeArrowheads="1"/>
                          </pic:cNvPicPr>
                        </pic:nvPicPr>
                        <pic:blipFill>
                          <a:blip r:embed="rId110"/>
                          <a:stretch>
                            <a:fillRect/>
                          </a:stretch>
                        </pic:blipFill>
                        <pic:spPr bwMode="auto">
                          <a:xfrm>
                            <a:off x="0" y="0"/>
                            <a:ext cx="137160" cy="191770"/>
                          </a:xfrm>
                          <a:prstGeom prst="rect">
                            <a:avLst/>
                          </a:prstGeom>
                        </pic:spPr>
                      </pic:pic>
                    </a:graphicData>
                  </a:graphic>
                </wp:inline>
              </w:drawing>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45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841"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drawing>
                <wp:inline distT="0" distB="0" distL="0" distR="0">
                  <wp:extent cx="146050" cy="146050"/>
                  <wp:effectExtent l="0" t="0" r="0" b="0"/>
                  <wp:docPr id="16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10" descr=""/>
                          <pic:cNvPicPr>
                            <a:picLocks noChangeAspect="1" noChangeArrowheads="1"/>
                          </pic:cNvPicPr>
                        </pic:nvPicPr>
                        <pic:blipFill>
                          <a:blip r:embed="rId111"/>
                          <a:stretch>
                            <a:fillRect/>
                          </a:stretch>
                        </pic:blipFill>
                        <pic:spPr bwMode="auto">
                          <a:xfrm>
                            <a:off x="0" y="0"/>
                            <a:ext cx="146050" cy="146050"/>
                          </a:xfrm>
                          <a:prstGeom prst="rect">
                            <a:avLst/>
                          </a:prstGeom>
                        </pic:spPr>
                      </pic:pic>
                    </a:graphicData>
                  </a:graphic>
                </wp:inline>
              </w:drawing>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2603" w:type="dxa"/>
            <w:gridSpan w:val="2"/>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t>​</w:t>
            </w:r>
          </w:p>
        </w:tc>
        <w:tc>
          <w:tcPr>
            <w:tcW w:w="109" w:type="dxa"/>
            <w:vMerge w:val="continue"/>
            <w:tcBorders/>
            <w:vAlign w:val="center"/>
          </w:tcPr>
          <w:p>
            <w:pPr>
              <w:pStyle w:val="Normal"/>
              <w:bidi w:val="0"/>
              <w:jc w:val="left"/>
              <w:rPr/>
            </w:pPr>
            <w:r>
              <w:rPr/>
            </w:r>
          </w:p>
        </w:tc>
        <w:tc>
          <w:tcPr>
            <w:tcW w:w="156" w:type="dxa"/>
            <w:tcBorders>
              <w:right w:val="single" w:sz="2" w:space="0" w:color="D9D9D9"/>
            </w:tcBorders>
            <w:tcMar>
              <w:right w:w="28" w:type="dxa"/>
            </w:tcMar>
            <w:vAlign w:val="center"/>
          </w:tcPr>
          <w:p>
            <w:pPr>
              <w:pStyle w:val="TableContents"/>
              <w:bidi w:val="0"/>
              <w:spacing w:lineRule="auto" w:line="285" w:before="0" w:after="0"/>
              <w:ind w:left="0" w:right="0" w:hanging="0"/>
              <w:jc w:val="center"/>
              <w:rPr/>
            </w:pPr>
            <w:r>
              <w:rPr/>
              <w:t>​</w:t>
            </w:r>
          </w:p>
        </w:tc>
      </w:tr>
      <w:tr>
        <w:trPr/>
        <w:tc>
          <w:tcPr>
            <w:tcW w:w="200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Frederik W. Mohn</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27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color w:val="005670"/>
              </w:rPr>
            </w:pPr>
            <w:r>
              <w:rPr>
                <w:color w:val="005670"/>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62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45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841"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drawing>
                <wp:inline distT="0" distB="0" distL="0" distR="0">
                  <wp:extent cx="146050" cy="146050"/>
                  <wp:effectExtent l="0" t="0" r="0" b="0"/>
                  <wp:docPr id="16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11" descr=""/>
                          <pic:cNvPicPr>
                            <a:picLocks noChangeAspect="1" noChangeArrowheads="1"/>
                          </pic:cNvPicPr>
                        </pic:nvPicPr>
                        <pic:blipFill>
                          <a:blip r:embed="rId112"/>
                          <a:stretch>
                            <a:fillRect/>
                          </a:stretch>
                        </pic:blipFill>
                        <pic:spPr bwMode="auto">
                          <a:xfrm>
                            <a:off x="0" y="0"/>
                            <a:ext cx="146050" cy="146050"/>
                          </a:xfrm>
                          <a:prstGeom prst="rect">
                            <a:avLst/>
                          </a:prstGeom>
                        </pic:spPr>
                      </pic:pic>
                    </a:graphicData>
                  </a:graphic>
                </wp:inline>
              </w:drawing>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2603" w:type="dxa"/>
            <w:gridSpan w:val="2"/>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drawing>
                <wp:inline distT="0" distB="0" distL="0" distR="0">
                  <wp:extent cx="146050" cy="146050"/>
                  <wp:effectExtent l="0" t="0" r="0" b="0"/>
                  <wp:docPr id="16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12" descr=""/>
                          <pic:cNvPicPr>
                            <a:picLocks noChangeAspect="1" noChangeArrowheads="1"/>
                          </pic:cNvPicPr>
                        </pic:nvPicPr>
                        <pic:blipFill>
                          <a:blip r:embed="rId113"/>
                          <a:stretch>
                            <a:fillRect/>
                          </a:stretch>
                        </pic:blipFill>
                        <pic:spPr bwMode="auto">
                          <a:xfrm>
                            <a:off x="0" y="0"/>
                            <a:ext cx="146050" cy="146050"/>
                          </a:xfrm>
                          <a:prstGeom prst="rect">
                            <a:avLst/>
                          </a:prstGeom>
                        </pic:spPr>
                      </pic:pic>
                    </a:graphicData>
                  </a:graphic>
                </wp:inline>
              </w:drawing>
            </w:r>
          </w:p>
        </w:tc>
        <w:tc>
          <w:tcPr>
            <w:tcW w:w="109" w:type="dxa"/>
            <w:vMerge w:val="continue"/>
            <w:tcBorders/>
            <w:vAlign w:val="center"/>
          </w:tcPr>
          <w:p>
            <w:pPr>
              <w:pStyle w:val="Normal"/>
              <w:bidi w:val="0"/>
              <w:jc w:val="left"/>
              <w:rPr/>
            </w:pPr>
            <w:r>
              <w:rPr/>
            </w:r>
          </w:p>
        </w:tc>
        <w:tc>
          <w:tcPr>
            <w:tcW w:w="156" w:type="dxa"/>
            <w:tcBorders>
              <w:right w:val="single" w:sz="2" w:space="0" w:color="D9D9D9"/>
            </w:tcBorders>
            <w:tcMar>
              <w:right w:w="28" w:type="dxa"/>
            </w:tcMar>
            <w:vAlign w:val="center"/>
          </w:tcPr>
          <w:p>
            <w:pPr>
              <w:pStyle w:val="TableContents"/>
              <w:bidi w:val="0"/>
              <w:spacing w:lineRule="auto" w:line="285" w:before="0" w:after="0"/>
              <w:ind w:left="0" w:right="0" w:hanging="0"/>
              <w:jc w:val="center"/>
              <w:rPr/>
            </w:pPr>
            <w:r>
              <w:rPr/>
              <w:t>​</w:t>
            </w:r>
          </w:p>
        </w:tc>
      </w:tr>
      <w:tr>
        <w:trPr/>
        <w:tc>
          <w:tcPr>
            <w:tcW w:w="200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Jeremy D. Thigpen</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27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627" w:type="dxa"/>
            <w:tcBorders>
              <w:top w:val="single" w:sz="2" w:space="0" w:color="D9D9D9"/>
              <w:bottom w:val="single" w:sz="2" w:space="0" w:color="D9D9D9"/>
            </w:tcBorders>
            <w:tcMar>
              <w:top w:w="30" w:type="dxa"/>
              <w:bottom w:w="30" w:type="dxa"/>
            </w:tcMar>
            <w:vAlign w:val="center"/>
          </w:tcPr>
          <w:p>
            <w:pPr>
              <w:pStyle w:val="TableContents"/>
              <w:bidi w:val="0"/>
              <w:spacing w:before="0" w:after="283"/>
              <w:ind w:left="0" w:right="0" w:hanging="0"/>
              <w:jc w:val="left"/>
              <w:rPr>
                <w:sz w:val="4"/>
                <w:szCs w:val="4"/>
              </w:rPr>
            </w:pPr>
            <w:r>
              <w:rPr>
                <w:sz w:val="4"/>
                <w:szCs w:val="4"/>
              </w:rPr>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45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841"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2603" w:type="dxa"/>
            <w:gridSpan w:val="2"/>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pPr>
            <w:r>
              <w:rPr/>
              <w:t>​</w:t>
            </w:r>
          </w:p>
        </w:tc>
        <w:tc>
          <w:tcPr>
            <w:tcW w:w="109" w:type="dxa"/>
            <w:vMerge w:val="continue"/>
            <w:tcBorders/>
            <w:vAlign w:val="center"/>
          </w:tcPr>
          <w:p>
            <w:pPr>
              <w:pStyle w:val="Normal"/>
              <w:bidi w:val="0"/>
              <w:jc w:val="left"/>
              <w:rPr/>
            </w:pPr>
            <w:r>
              <w:rPr/>
            </w:r>
          </w:p>
        </w:tc>
        <w:tc>
          <w:tcPr>
            <w:tcW w:w="156" w:type="dxa"/>
            <w:tcBorders>
              <w:right w:val="single" w:sz="2" w:space="0" w:color="D9D9D9"/>
            </w:tcBorders>
            <w:tcMar>
              <w:right w:w="28" w:type="dxa"/>
            </w:tcMar>
            <w:vAlign w:val="center"/>
          </w:tcPr>
          <w:p>
            <w:pPr>
              <w:pStyle w:val="TableContents"/>
              <w:bidi w:val="0"/>
              <w:spacing w:lineRule="auto" w:line="285" w:before="0" w:after="0"/>
              <w:ind w:left="0" w:right="0" w:hanging="0"/>
              <w:jc w:val="center"/>
              <w:rPr/>
            </w:pPr>
            <w:r>
              <w:rPr/>
              <w:t>​</w:t>
            </w:r>
          </w:p>
        </w:tc>
      </w:tr>
      <w:tr>
        <w:trPr/>
        <w:tc>
          <w:tcPr>
            <w:tcW w:w="200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left"/>
              <w:rPr>
                <w:rFonts w:ascii="Arial;Helvetica;sans-serif" w:hAnsi="Arial;Helvetica;sans-serif"/>
                <w:b/>
                <w:color w:val="005670"/>
                <w:sz w:val="18"/>
              </w:rPr>
            </w:pPr>
            <w:r>
              <w:rPr>
                <w:rFonts w:ascii="Arial;Helvetica;sans-serif" w:hAnsi="Arial;Helvetica;sans-serif"/>
                <w:b/>
                <w:color w:val="005670"/>
                <w:sz w:val="18"/>
              </w:rPr>
              <w:t>MEETINGS IN 2025</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27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color w:val="005670"/>
              </w:rPr>
            </w:pPr>
            <w:r>
              <w:rPr>
                <w:color w:val="005670"/>
              </w:rPr>
              <w:t>​</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627"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rFonts w:ascii="Arial;Helvetica;sans-serif" w:hAnsi="Arial;Helvetica;sans-serif"/>
                <w:b/>
                <w:color w:val="005670"/>
                <w:sz w:val="18"/>
              </w:rPr>
            </w:pPr>
            <w:r>
              <w:rPr>
                <w:rFonts w:ascii="Arial;Helvetica;sans-serif" w:hAnsi="Arial;Helvetica;sans-serif"/>
                <w:b/>
                <w:color w:val="005670"/>
                <w:sz w:val="18"/>
              </w:rPr>
              <w:t>8</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145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rFonts w:ascii="Arial;Helvetica;sans-serif" w:hAnsi="Arial;Helvetica;sans-serif"/>
                <w:b/>
                <w:color w:val="005670"/>
                <w:sz w:val="18"/>
              </w:rPr>
            </w:pPr>
            <w:r>
              <w:rPr>
                <w:rFonts w:ascii="Arial;Helvetica;sans-serif" w:hAnsi="Arial;Helvetica;sans-serif"/>
                <w:b/>
                <w:color w:val="005670"/>
                <w:sz w:val="18"/>
              </w:rPr>
              <w:t>4</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841"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rFonts w:ascii="Arial;Helvetica;sans-serif" w:hAnsi="Arial;Helvetica;sans-serif"/>
                <w:b/>
                <w:color w:val="005670"/>
                <w:sz w:val="18"/>
              </w:rPr>
            </w:pPr>
            <w:r>
              <w:rPr>
                <w:rFonts w:ascii="Arial;Helvetica;sans-serif" w:hAnsi="Arial;Helvetica;sans-serif"/>
                <w:b/>
                <w:color w:val="005670"/>
                <w:sz w:val="18"/>
              </w:rPr>
              <w:t>4</w:t>
            </w:r>
          </w:p>
        </w:tc>
        <w:tc>
          <w:tcPr>
            <w:tcW w:w="226" w:type="dxa"/>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both"/>
              <w:rPr/>
            </w:pPr>
            <w:r>
              <w:rPr/>
              <w:t>​</w:t>
            </w:r>
          </w:p>
        </w:tc>
        <w:tc>
          <w:tcPr>
            <w:tcW w:w="2603" w:type="dxa"/>
            <w:gridSpan w:val="2"/>
            <w:tcBorders>
              <w:top w:val="single" w:sz="2" w:space="0" w:color="D9D9D9"/>
              <w:bottom w:val="single" w:sz="2" w:space="0" w:color="D9D9D9"/>
            </w:tcBorders>
            <w:tcMar>
              <w:top w:w="30" w:type="dxa"/>
              <w:bottom w:w="30" w:type="dxa"/>
            </w:tcMar>
            <w:vAlign w:val="center"/>
          </w:tcPr>
          <w:p>
            <w:pPr>
              <w:pStyle w:val="TableContents"/>
              <w:bidi w:val="0"/>
              <w:spacing w:lineRule="auto" w:line="285" w:before="0" w:after="0"/>
              <w:ind w:left="0" w:right="0" w:hanging="0"/>
              <w:jc w:val="center"/>
              <w:rPr>
                <w:rFonts w:ascii="Arial;Helvetica;sans-serif" w:hAnsi="Arial;Helvetica;sans-serif"/>
                <w:b/>
                <w:color w:val="005670"/>
                <w:sz w:val="18"/>
              </w:rPr>
            </w:pPr>
            <w:r>
              <w:rPr>
                <w:rFonts w:ascii="Arial;Helvetica;sans-serif" w:hAnsi="Arial;Helvetica;sans-serif"/>
                <w:b/>
                <w:color w:val="005670"/>
                <w:sz w:val="18"/>
              </w:rPr>
              <w:t>4</w:t>
            </w:r>
          </w:p>
        </w:tc>
        <w:tc>
          <w:tcPr>
            <w:tcW w:w="109" w:type="dxa"/>
            <w:vMerge w:val="continue"/>
            <w:tcBorders/>
            <w:vAlign w:val="center"/>
          </w:tcPr>
          <w:p>
            <w:pPr>
              <w:pStyle w:val="Normal"/>
              <w:bidi w:val="0"/>
              <w:jc w:val="left"/>
              <w:rPr/>
            </w:pPr>
            <w:r>
              <w:rPr/>
            </w:r>
          </w:p>
        </w:tc>
        <w:tc>
          <w:tcPr>
            <w:tcW w:w="156" w:type="dxa"/>
            <w:tcBorders>
              <w:bottom w:val="single" w:sz="2" w:space="0" w:color="D9D9D9"/>
              <w:right w:val="single" w:sz="2" w:space="0" w:color="D9D9D9"/>
            </w:tcBorders>
            <w:tcMar>
              <w:bottom w:w="30" w:type="dxa"/>
              <w:right w:w="28" w:type="dxa"/>
            </w:tcMar>
            <w:vAlign w:val="center"/>
          </w:tcPr>
          <w:p>
            <w:pPr>
              <w:pStyle w:val="TableContents"/>
              <w:bidi w:val="0"/>
              <w:spacing w:lineRule="auto" w:line="285" w:before="0" w:after="0"/>
              <w:ind w:left="0" w:right="0" w:hanging="0"/>
              <w:jc w:val="center"/>
              <w:rPr>
                <w:color w:val="005670"/>
              </w:rPr>
            </w:pPr>
            <w:r>
              <w:rPr>
                <w:color w:val="005670"/>
              </w:rPr>
              <w:t>​</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75"/>
        <w:gridCol w:w="1079"/>
        <w:gridCol w:w="109"/>
        <w:gridCol w:w="316"/>
        <w:gridCol w:w="1172"/>
        <w:gridCol w:w="109"/>
        <w:gridCol w:w="302"/>
        <w:gridCol w:w="2144"/>
        <w:gridCol w:w="109"/>
        <w:gridCol w:w="109"/>
        <w:gridCol w:w="316"/>
        <w:gridCol w:w="4065"/>
      </w:tblGrid>
      <w:tr>
        <w:trPr/>
        <w:tc>
          <w:tcPr>
            <w:tcW w:w="1454"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1488"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2446"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4381"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375" w:type="dxa"/>
            <w:tcBorders/>
            <w:vAlign w:val="center"/>
          </w:tcPr>
          <w:p>
            <w:pPr>
              <w:pStyle w:val="TableContents"/>
              <w:bidi w:val="0"/>
              <w:spacing w:lineRule="auto" w:line="285" w:before="0" w:after="0"/>
              <w:ind w:left="0" w:right="0" w:hanging="0"/>
              <w:jc w:val="left"/>
              <w:rPr/>
            </w:pPr>
            <w:r>
              <w:rPr/>
              <w:drawing>
                <wp:inline distT="0" distB="0" distL="0" distR="0">
                  <wp:extent cx="173990" cy="173990"/>
                  <wp:effectExtent l="0" t="0" r="0" b="0"/>
                  <wp:docPr id="16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13" descr=""/>
                          <pic:cNvPicPr>
                            <a:picLocks noChangeAspect="1" noChangeArrowheads="1"/>
                          </pic:cNvPicPr>
                        </pic:nvPicPr>
                        <pic:blipFill>
                          <a:blip r:embed="rId114"/>
                          <a:stretch>
                            <a:fillRect/>
                          </a:stretch>
                        </pic:blipFill>
                        <pic:spPr bwMode="auto">
                          <a:xfrm>
                            <a:off x="0" y="0"/>
                            <a:ext cx="173990" cy="173990"/>
                          </a:xfrm>
                          <a:prstGeom prst="rect">
                            <a:avLst/>
                          </a:prstGeom>
                        </pic:spPr>
                      </pic:pic>
                    </a:graphicData>
                  </a:graphic>
                </wp:inline>
              </w:drawing>
            </w:r>
          </w:p>
        </w:tc>
        <w:tc>
          <w:tcPr>
            <w:tcW w:w="1079" w:type="dxa"/>
            <w:tcBorders/>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Committee Chair</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both"/>
              <w:rPr/>
            </w:pPr>
            <w:r>
              <w:rPr/>
              <w:t>​</w:t>
            </w:r>
          </w:p>
        </w:tc>
        <w:tc>
          <w:tcPr>
            <w:tcW w:w="316" w:type="dxa"/>
            <w:tcBorders>
              <w:left w:val="single" w:sz="2" w:space="0" w:color="D9D9D9"/>
            </w:tcBorders>
            <w:tcMar>
              <w:left w:w="100" w:type="dxa"/>
            </w:tcMar>
            <w:vAlign w:val="center"/>
          </w:tcPr>
          <w:p>
            <w:pPr>
              <w:pStyle w:val="TableContents"/>
              <w:bidi w:val="0"/>
              <w:spacing w:lineRule="auto" w:line="285" w:before="0" w:after="0"/>
              <w:ind w:left="0" w:right="0" w:hanging="0"/>
              <w:jc w:val="both"/>
              <w:rPr/>
            </w:pPr>
            <w:r>
              <w:rPr/>
              <w:drawing>
                <wp:inline distT="0" distB="0" distL="0" distR="0">
                  <wp:extent cx="146050" cy="146050"/>
                  <wp:effectExtent l="0" t="0" r="0" b="0"/>
                  <wp:docPr id="16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14" descr=""/>
                          <pic:cNvPicPr>
                            <a:picLocks noChangeAspect="1" noChangeArrowheads="1"/>
                          </pic:cNvPicPr>
                        </pic:nvPicPr>
                        <pic:blipFill>
                          <a:blip r:embed="rId115"/>
                          <a:stretch>
                            <a:fillRect/>
                          </a:stretch>
                        </pic:blipFill>
                        <pic:spPr bwMode="auto">
                          <a:xfrm>
                            <a:off x="0" y="0"/>
                            <a:ext cx="146050" cy="146050"/>
                          </a:xfrm>
                          <a:prstGeom prst="rect">
                            <a:avLst/>
                          </a:prstGeom>
                        </pic:spPr>
                      </pic:pic>
                    </a:graphicData>
                  </a:graphic>
                </wp:inline>
              </w:drawing>
            </w:r>
          </w:p>
        </w:tc>
        <w:tc>
          <w:tcPr>
            <w:tcW w:w="1172" w:type="dxa"/>
            <w:tcBorders/>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Committee Member</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both"/>
              <w:rPr/>
            </w:pPr>
            <w:r>
              <w:rPr/>
              <w:t>​</w:t>
            </w:r>
          </w:p>
        </w:tc>
        <w:tc>
          <w:tcPr>
            <w:tcW w:w="302" w:type="dxa"/>
            <w:tcBorders>
              <w:left w:val="single" w:sz="2" w:space="0" w:color="D9D9D9"/>
            </w:tcBorders>
            <w:tcMar>
              <w:left w:w="100" w:type="dxa"/>
            </w:tcMar>
            <w:vAlign w:val="center"/>
          </w:tcPr>
          <w:p>
            <w:pPr>
              <w:pStyle w:val="TableContents"/>
              <w:bidi w:val="0"/>
              <w:spacing w:lineRule="auto" w:line="285" w:before="0" w:after="0"/>
              <w:ind w:left="0" w:right="0" w:hanging="0"/>
              <w:jc w:val="both"/>
              <w:rPr/>
            </w:pPr>
            <w:r>
              <w:rPr/>
              <w:drawing>
                <wp:inline distT="0" distB="0" distL="0" distR="0">
                  <wp:extent cx="137160" cy="191770"/>
                  <wp:effectExtent l="0" t="0" r="0" b="0"/>
                  <wp:docPr id="16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15" descr=""/>
                          <pic:cNvPicPr>
                            <a:picLocks noChangeAspect="1" noChangeArrowheads="1"/>
                          </pic:cNvPicPr>
                        </pic:nvPicPr>
                        <pic:blipFill>
                          <a:blip r:embed="rId116"/>
                          <a:stretch>
                            <a:fillRect/>
                          </a:stretch>
                        </pic:blipFill>
                        <pic:spPr bwMode="auto">
                          <a:xfrm>
                            <a:off x="0" y="0"/>
                            <a:ext cx="137160" cy="191770"/>
                          </a:xfrm>
                          <a:prstGeom prst="rect">
                            <a:avLst/>
                          </a:prstGeom>
                        </pic:spPr>
                      </pic:pic>
                    </a:graphicData>
                  </a:graphic>
                </wp:inline>
              </w:drawing>
            </w:r>
          </w:p>
        </w:tc>
        <w:tc>
          <w:tcPr>
            <w:tcW w:w="2144" w:type="dxa"/>
            <w:tcBorders/>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Audit Committee financial expert (SEC and NYSE)</w:t>
            </w:r>
          </w:p>
        </w:tc>
        <w:tc>
          <w:tcPr>
            <w:tcW w:w="109" w:type="dxa"/>
            <w:tcBorders>
              <w:right w:val="single" w:sz="2" w:space="0" w:color="D9D9D9"/>
            </w:tcBorders>
            <w:tcMar>
              <w:right w:w="100" w:type="dxa"/>
            </w:tcMar>
            <w:vAlign w:val="center"/>
          </w:tcPr>
          <w:p>
            <w:pPr>
              <w:pStyle w:val="TableContents"/>
              <w:bidi w:val="0"/>
              <w:spacing w:lineRule="auto" w:line="285" w:before="0" w:after="0"/>
              <w:ind w:left="0" w:right="0" w:hanging="0"/>
              <w:jc w:val="both"/>
              <w:rPr/>
            </w:pPr>
            <w:r>
              <w:rPr/>
              <w:t>​</w:t>
            </w:r>
          </w:p>
        </w:tc>
        <w:tc>
          <w:tcPr>
            <w:tcW w:w="109" w:type="dxa"/>
            <w:tcBorders>
              <w:left w:val="single" w:sz="2" w:space="0" w:color="D9D9D9"/>
            </w:tcBorders>
            <w:tcMar>
              <w:left w:w="100" w:type="dxa"/>
            </w:tcMar>
            <w:vAlign w:val="center"/>
          </w:tcPr>
          <w:p>
            <w:pPr>
              <w:pStyle w:val="TableContents"/>
              <w:bidi w:val="0"/>
              <w:spacing w:lineRule="auto" w:line="285" w:before="0" w:after="0"/>
              <w:ind w:left="0" w:right="0" w:hanging="0"/>
              <w:jc w:val="both"/>
              <w:rPr/>
            </w:pPr>
            <w:r>
              <w:rPr/>
              <w:t>​</w:t>
            </w:r>
          </w:p>
        </w:tc>
        <w:tc>
          <w:tcPr>
            <w:tcW w:w="316" w:type="dxa"/>
            <w:tcBorders/>
            <w:vAlign w:val="center"/>
          </w:tcPr>
          <w:p>
            <w:pPr>
              <w:pStyle w:val="TableContents"/>
              <w:bidi w:val="0"/>
              <w:spacing w:lineRule="auto" w:line="285" w:before="0" w:after="0"/>
              <w:ind w:left="0" w:right="0" w:hanging="0"/>
              <w:jc w:val="both"/>
              <w:rPr>
                <w:color w:val="005670"/>
              </w:rPr>
            </w:pPr>
            <w:r>
              <w:rPr>
                <w:color w:val="005670"/>
              </w:rPr>
              <w:t>✓</w:t>
            </w:r>
          </w:p>
        </w:tc>
        <w:tc>
          <w:tcPr>
            <w:tcW w:w="4065" w:type="dxa"/>
            <w:tcBorders/>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Independent, as determined by the Board of Directors in accordance with applicable rules and regulations</w:t>
            </w:r>
          </w:p>
        </w:tc>
      </w:tr>
    </w:tbl>
    <w:p>
      <w:pPr>
        <w:pStyle w:val="TextBody"/>
        <w:bidi w:val="0"/>
        <w:spacing w:lineRule="auto" w:line="285" w:before="0" w:after="200"/>
        <w:ind w:left="72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P-63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905" w:type="dxa"/>
        <w:jc w:val="left"/>
        <w:tblInd w:w="0" w:type="dxa"/>
        <w:tblLayout w:type="fixed"/>
        <w:tblCellMar>
          <w:top w:w="0" w:type="dxa"/>
          <w:left w:w="0" w:type="dxa"/>
          <w:bottom w:w="0" w:type="dxa"/>
          <w:right w:w="0" w:type="dxa"/>
        </w:tblCellMar>
      </w:tblPr>
      <w:tblGrid>
        <w:gridCol w:w="3751"/>
        <w:gridCol w:w="154"/>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375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BOARD MEETINGS AND COMMITTEES</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tbl>
      <w:tblPr>
        <w:tblW w:w="5690" w:type="dxa"/>
        <w:jc w:val="left"/>
        <w:tblInd w:w="0" w:type="dxa"/>
        <w:tblLayout w:type="fixed"/>
        <w:tblCellMar>
          <w:top w:w="0" w:type="dxa"/>
          <w:left w:w="0" w:type="dxa"/>
          <w:bottom w:w="0" w:type="dxa"/>
          <w:right w:w="0" w:type="dxa"/>
        </w:tblCellMar>
      </w:tblPr>
      <w:tblGrid>
        <w:gridCol w:w="619"/>
        <w:gridCol w:w="5071"/>
      </w:tblGrid>
      <w:tr>
        <w:trPr/>
        <w:tc>
          <w:tcPr>
            <w:tcW w:w="619" w:type="dxa"/>
            <w:tcBorders/>
            <w:vAlign w:val="center"/>
          </w:tcPr>
          <w:p>
            <w:pPr>
              <w:pStyle w:val="TableContents"/>
              <w:bidi w:val="0"/>
              <w:spacing w:lineRule="auto" w:line="285" w:before="0" w:after="0"/>
              <w:ind w:left="0" w:right="0" w:hanging="0"/>
              <w:jc w:val="both"/>
              <w:rPr/>
            </w:pPr>
            <w:r>
              <w:rPr/>
              <w:t>​</w:t>
            </w:r>
          </w:p>
        </w:tc>
        <w:tc>
          <w:tcPr>
            <w:tcW w:w="5071" w:type="dxa"/>
            <w:tcBorders/>
            <w:vAlign w:val="center"/>
          </w:tcPr>
          <w:p>
            <w:pPr>
              <w:pStyle w:val="TableContents"/>
              <w:bidi w:val="0"/>
              <w:spacing w:lineRule="auto" w:line="285" w:before="0" w:after="0"/>
              <w:ind w:left="0" w:right="0" w:hanging="0"/>
              <w:jc w:val="both"/>
              <w:rPr/>
            </w:pPr>
            <w:r>
              <w:rPr/>
              <w:t>​</w:t>
            </w:r>
          </w:p>
        </w:tc>
      </w:tr>
      <w:tr>
        <w:trPr/>
        <w:tc>
          <w:tcPr>
            <w:tcW w:w="619" w:type="dxa"/>
            <w:tcBorders/>
            <w:vAlign w:val="center"/>
          </w:tcPr>
          <w:p>
            <w:pPr>
              <w:pStyle w:val="TableContents"/>
              <w:bidi w:val="0"/>
              <w:spacing w:lineRule="auto" w:line="285" w:before="0" w:after="0"/>
              <w:ind w:left="0" w:right="0" w:hanging="0"/>
              <w:jc w:val="both"/>
              <w:rPr/>
            </w:pPr>
            <w:r>
              <w:rPr/>
              <w:drawing>
                <wp:inline distT="0" distB="0" distL="0" distR="0">
                  <wp:extent cx="328930" cy="429895"/>
                  <wp:effectExtent l="0" t="0" r="0" b="0"/>
                  <wp:docPr id="17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16" descr=""/>
                          <pic:cNvPicPr>
                            <a:picLocks noChangeAspect="1" noChangeArrowheads="1"/>
                          </pic:cNvPicPr>
                        </pic:nvPicPr>
                        <pic:blipFill>
                          <a:blip r:embed="rId117"/>
                          <a:stretch>
                            <a:fillRect/>
                          </a:stretch>
                        </pic:blipFill>
                        <pic:spPr bwMode="auto">
                          <a:xfrm>
                            <a:off x="0" y="0"/>
                            <a:ext cx="328930" cy="429895"/>
                          </a:xfrm>
                          <a:prstGeom prst="rect">
                            <a:avLst/>
                          </a:prstGeom>
                        </pic:spPr>
                      </pic:pic>
                    </a:graphicData>
                  </a:graphic>
                </wp:inline>
              </w:drawing>
            </w:r>
          </w:p>
        </w:tc>
        <w:tc>
          <w:tcPr>
            <w:tcW w:w="5071" w:type="dxa"/>
            <w:tcBorders/>
            <w:vAlign w:val="center"/>
          </w:tcPr>
          <w:p>
            <w:pPr>
              <w:pStyle w:val="TableContents"/>
              <w:bidi w:val="0"/>
              <w:spacing w:lineRule="auto" w:line="285" w:before="240" w:after="0"/>
              <w:ind w:left="0" w:right="0" w:hanging="0"/>
              <w:jc w:val="both"/>
              <w:rPr>
                <w:rFonts w:ascii="Arial;Helvetica;sans-serif" w:hAnsi="Arial;Helvetica;sans-serif"/>
                <w:sz w:val="20"/>
              </w:rPr>
            </w:pPr>
            <w:r>
              <w:rPr>
                <w:rFonts w:ascii="Arial;Helvetica;sans-serif" w:hAnsi="Arial;Helvetica;sans-serif"/>
                <w:b/>
                <w:color w:val="4B4F54"/>
                <w:sz w:val="28"/>
              </w:rPr>
              <w:t xml:space="preserve">AUDIT COMMITTEE </w:t>
            </w:r>
            <w:r>
              <w:rPr>
                <w:rFonts w:ascii="Arial;Helvetica;sans-serif" w:hAnsi="Arial;Helvetica;sans-serif"/>
                <w:color w:val="4B4F54"/>
                <w:sz w:val="28"/>
              </w:rPr>
              <w:t xml:space="preserve">| </w:t>
            </w:r>
            <w:r>
              <w:rPr>
                <w:rFonts w:ascii="Arial;Helvetica;sans-serif" w:hAnsi="Arial;Helvetica;sans-serif"/>
                <w:b/>
                <w:color w:val="005670"/>
                <w:sz w:val="23"/>
              </w:rPr>
              <w:t>Meetings in 2025: 8</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b/>
          <w:color w:val="ECA44A"/>
          <w:sz w:val="20"/>
        </w:rPr>
      </w:pPr>
      <w:r>
        <w:rPr>
          <w:rFonts w:ascii="Arial;Helvetica;sans-serif" w:hAnsi="Arial;Helvetica;sans-serif"/>
          <w:b/>
          <w:color w:val="ECA44A"/>
          <w:sz w:val="20"/>
        </w:rPr>
        <w:t>MEMBERS</w:t>
      </w:r>
    </w:p>
    <w:p>
      <w:pPr>
        <w:pStyle w:val="TextBody"/>
        <w:bidi w:val="0"/>
        <w:spacing w:lineRule="auto" w:line="285" w:before="80" w:after="60"/>
        <w:ind w:left="173" w:right="0" w:hanging="0"/>
        <w:jc w:val="both"/>
        <w:rPr>
          <w:rFonts w:ascii="Arial;Helvetica;sans-serif" w:hAnsi="Arial;Helvetica;sans-serif"/>
          <w:sz w:val="18"/>
        </w:rPr>
      </w:pPr>
      <w:r>
        <w:rPr>
          <w:rFonts w:ascii="Arial;Helvetica;sans-serif" w:hAnsi="Arial;Helvetica;sans-serif"/>
          <w:sz w:val="20"/>
        </w:rPr>
        <w:t xml:space="preserve">Vanessa C.L. Chang </w:t>
      </w:r>
      <w:r>
        <w:rPr>
          <w:rFonts w:ascii="Arial;Helvetica;sans-serif" w:hAnsi="Arial;Helvetica;sans-serif"/>
          <w:sz w:val="18"/>
        </w:rPr>
        <w:drawing>
          <wp:inline distT="0" distB="0" distL="0" distR="0">
            <wp:extent cx="173990" cy="173990"/>
            <wp:effectExtent l="0" t="0" r="0" b="0"/>
            <wp:docPr id="17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17" descr=""/>
                    <pic:cNvPicPr>
                      <a:picLocks noChangeAspect="1" noChangeArrowheads="1"/>
                    </pic:cNvPicPr>
                  </pic:nvPicPr>
                  <pic:blipFill>
                    <a:blip r:embed="rId118"/>
                    <a:stretch>
                      <a:fillRect/>
                    </a:stretch>
                  </pic:blipFill>
                  <pic:spPr bwMode="auto">
                    <a:xfrm>
                      <a:off x="0" y="0"/>
                      <a:ext cx="173990" cy="173990"/>
                    </a:xfrm>
                    <a:prstGeom prst="rect">
                      <a:avLst/>
                    </a:prstGeom>
                  </pic:spPr>
                </pic:pic>
              </a:graphicData>
            </a:graphic>
          </wp:inline>
        </w:drawing>
      </w:r>
    </w:p>
    <w:p>
      <w:pPr>
        <w:pStyle w:val="TextBody"/>
        <w:bidi w:val="0"/>
        <w:spacing w:lineRule="auto" w:line="285" w:before="0" w:after="60"/>
        <w:ind w:left="173" w:right="0" w:hanging="0"/>
        <w:jc w:val="both"/>
        <w:rPr>
          <w:rFonts w:ascii="Arial;Helvetica;sans-serif" w:hAnsi="Arial;Helvetica;sans-serif"/>
          <w:sz w:val="20"/>
        </w:rPr>
      </w:pPr>
      <w:r>
        <w:rPr>
          <w:rFonts w:ascii="Arial;Helvetica;sans-serif" w:hAnsi="Arial;Helvetica;sans-serif"/>
          <w:sz w:val="20"/>
        </w:rPr>
        <w:t>Glyn A. Barker</w:t>
      </w:r>
    </w:p>
    <w:p>
      <w:pPr>
        <w:pStyle w:val="TextBody"/>
        <w:bidi w:val="0"/>
        <w:spacing w:lineRule="auto" w:line="285" w:before="0" w:after="60"/>
        <w:ind w:left="173" w:right="0" w:hanging="0"/>
        <w:jc w:val="both"/>
        <w:rPr>
          <w:rFonts w:ascii="Arial;Helvetica;sans-serif" w:hAnsi="Arial;Helvetica;sans-serif"/>
          <w:sz w:val="20"/>
        </w:rPr>
      </w:pPr>
      <w:r>
        <w:rPr>
          <w:rFonts w:ascii="Arial;Helvetica;sans-serif" w:hAnsi="Arial;Helvetica;sans-serif"/>
          <w:sz w:val="20"/>
        </w:rPr>
        <w:t>Samuel J. Merksamer</w:t>
      </w:r>
    </w:p>
    <w:p>
      <w:pPr>
        <w:pStyle w:val="TextBody"/>
        <w:bidi w:val="0"/>
        <w:spacing w:lineRule="auto" w:line="285" w:before="0" w:after="60"/>
        <w:ind w:left="173" w:right="0" w:hanging="0"/>
        <w:jc w:val="both"/>
        <w:rPr>
          <w:rFonts w:ascii="Arial;Helvetica;sans-serif" w:hAnsi="Arial;Helvetica;sans-serif"/>
          <w:sz w:val="20"/>
        </w:rPr>
      </w:pPr>
      <w:r>
        <w:rPr>
          <w:rFonts w:ascii="Arial;Helvetica;sans-serif" w:hAnsi="Arial;Helvetica;sans-serif"/>
          <w:sz w:val="20"/>
        </w:rPr>
        <w:t>William F. "Bill" Lacey</w:t>
      </w:r>
    </w:p>
    <w:p>
      <w:pPr>
        <w:pStyle w:val="TextBody"/>
        <w:bidi w:val="0"/>
        <w:spacing w:lineRule="auto" w:line="285" w:before="0" w:after="0"/>
        <w:ind w:left="173" w:right="0" w:hanging="0"/>
        <w:jc w:val="both"/>
        <w:rPr/>
      </w:pPr>
      <w:r>
        <w:rPr/>
        <w:t>​</w:t>
      </w:r>
    </w:p>
    <w:p>
      <w:pPr>
        <w:pStyle w:val="TextBody"/>
        <w:bidi w:val="0"/>
        <w:spacing w:lineRule="auto" w:line="285" w:before="40" w:after="200"/>
        <w:ind w:left="0" w:right="0" w:hanging="0"/>
        <w:jc w:val="both"/>
        <w:rPr>
          <w:rFonts w:ascii="Arial;Helvetica;sans-serif" w:hAnsi="Arial;Helvetica;sans-serif"/>
          <w:sz w:val="20"/>
        </w:rPr>
      </w:pPr>
      <w:r>
        <w:rPr>
          <w:rFonts w:ascii="Arial;Helvetica;sans-serif" w:hAnsi="Arial;Helvetica;sans-serif"/>
          <w:sz w:val="20"/>
        </w:rPr>
        <w:t>The Board of Directors requires that all members of the Audit Committee meet the financial literacy standard required under the NYSE rules and that at least one member qualifies as having accounting or related financial management expertise under the NYSE rules. In addition, the SEC has adopted rules requiring that we disclose whether or not the Audit Committee has an “audit committee financial expert” as a member. An “audit committee financial expert” is defined as a person who, based on his or her experience, possesses all of the following attributes:</w:t>
      </w:r>
    </w:p>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understanding of generally accepted accounting principles and financial statements;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ability to assess the general application of such principles in connection with the accounting for estimates, accruals, and reserves;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Experience preparing, auditing, analyzing or evaluating financial statements that present a breadth of complexity of accounting issues that are generally comparable to the breadth and level of complexity of issues that can reasonably be expected to be raised by our financial statements, or experience actively supervising one or more persons engaged in such activities;</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understanding of internal control over financial reporting; and</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understanding of audit committee functions.</w:t>
            </w:r>
          </w:p>
        </w:tc>
      </w:tr>
    </w:tbl>
    <w:p>
      <w:pPr>
        <w:pStyle w:val="TextBody"/>
        <w:bidi w:val="0"/>
        <w:spacing w:lineRule="auto" w:line="285" w:before="200" w:after="200"/>
        <w:ind w:left="0" w:right="0" w:hanging="0"/>
        <w:jc w:val="both"/>
        <w:rPr>
          <w:rFonts w:ascii="Arial;Helvetica;sans-serif" w:hAnsi="Arial;Helvetica;sans-serif"/>
          <w:sz w:val="20"/>
        </w:rPr>
      </w:pPr>
      <w:r>
        <w:rPr>
          <w:rFonts w:ascii="Arial;Helvetica;sans-serif" w:hAnsi="Arial;Helvetica;sans-serif"/>
          <w:sz w:val="20"/>
        </w:rPr>
        <w:t>The person must have acquired such attributes through one or more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Education and experience as a principal financial officer, principal accounting officer, controller, public accountant or auditor or experience in one or more positions that involve the performance of similar functions;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Experience actively supervising a principal financial officer, principal accounting officer, controller, public accountant, auditor or person performing similar functions;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Experience overseeing or assessing the performance of companies or public accountants with respect to the preparation, auditing or evaluation of financial statements; or</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relevant experience.</w:t>
            </w:r>
          </w:p>
        </w:tc>
      </w:tr>
    </w:tbl>
    <w:p>
      <w:pPr>
        <w:pStyle w:val="TextBody"/>
        <w:bidi w:val="0"/>
        <w:spacing w:lineRule="auto" w:line="285" w:before="200" w:after="200"/>
        <w:ind w:left="0" w:right="0" w:hanging="0"/>
        <w:jc w:val="both"/>
        <w:rPr>
          <w:rFonts w:ascii="Arial;Helvetica;sans-serif" w:hAnsi="Arial;Helvetica;sans-serif"/>
          <w:sz w:val="20"/>
        </w:rPr>
      </w:pPr>
      <w:r>
        <w:rPr>
          <w:rFonts w:ascii="Arial;Helvetica;sans-serif" w:hAnsi="Arial;Helvetica;sans-serif"/>
          <w:sz w:val="20"/>
        </w:rPr>
        <w:t>The Board of Directors has reviewed the criteria set by the NYSE and SEC and determined that each of the current members of the Audit Committee is “financially literate” and all four of the members qualify as “audit committee financial experts.” In addition, the Board of Directors has determined that all of the current members of the Audit Committee qualify under NYSE rules as having accounting or related financial management expertise.</w:t>
      </w:r>
    </w:p>
    <w:p>
      <w:pPr>
        <w:pStyle w:val="TextBody"/>
        <w:bidi w:val="0"/>
        <w:spacing w:lineRule="auto" w:line="285" w:before="0" w:after="100"/>
        <w:ind w:left="360" w:right="0" w:hanging="0"/>
        <w:jc w:val="both"/>
        <w:rPr>
          <w:rFonts w:ascii="Arial;Helvetica;sans-serif" w:hAnsi="Arial;Helvetica;sans-serif"/>
          <w:sz w:val="20"/>
        </w:rPr>
      </w:pPr>
      <w:r>
        <w:rPr>
          <w:rFonts w:ascii="Arial;Helvetica;sans-serif" w:hAnsi="Arial;Helvetica;sans-serif"/>
          <w:b/>
          <w:sz w:val="20"/>
        </w:rPr>
        <w:t>Ms. Chang</w:t>
      </w:r>
      <w:r>
        <w:rPr>
          <w:rFonts w:ascii="Arial;Helvetica;sans-serif" w:hAnsi="Arial;Helvetica;sans-serif"/>
          <w:sz w:val="20"/>
        </w:rPr>
        <w:t xml:space="preserve"> was previously partner in charge of Corporate Finance for KPMG Peat Marwick LLP.</w:t>
      </w:r>
    </w:p>
    <w:p>
      <w:pPr>
        <w:pStyle w:val="TextBody"/>
        <w:bidi w:val="0"/>
        <w:spacing w:lineRule="auto" w:line="285" w:before="0" w:after="100"/>
        <w:ind w:left="360" w:right="0" w:hanging="0"/>
        <w:jc w:val="both"/>
        <w:rPr>
          <w:rFonts w:ascii="Arial;Helvetica;sans-serif" w:hAnsi="Arial;Helvetica;sans-serif"/>
          <w:sz w:val="20"/>
        </w:rPr>
      </w:pPr>
      <w:r>
        <w:rPr>
          <w:rFonts w:ascii="Arial;Helvetica;sans-serif" w:hAnsi="Arial;Helvetica;sans-serif"/>
          <w:b/>
          <w:sz w:val="20"/>
        </w:rPr>
        <w:t>Mr. Barker</w:t>
      </w:r>
      <w:r>
        <w:rPr>
          <w:rFonts w:ascii="Arial;Helvetica;sans-serif" w:hAnsi="Arial;Helvetica;sans-serif"/>
          <w:sz w:val="20"/>
        </w:rPr>
        <w:t xml:space="preserve"> is a chartered accountant, served as an audit partner in an accounting firm and served as the Vice Chair-U.K. of PricewaterhouseCoopers LLP from 2008 to 2011.</w:t>
      </w:r>
    </w:p>
    <w:p>
      <w:pPr>
        <w:pStyle w:val="TextBody"/>
        <w:bidi w:val="0"/>
        <w:spacing w:lineRule="auto" w:line="285" w:before="0" w:after="200"/>
        <w:ind w:left="360" w:right="0" w:hanging="0"/>
        <w:jc w:val="both"/>
        <w:rPr>
          <w:rFonts w:ascii="Arial;Helvetica;sans-serif" w:hAnsi="Arial;Helvetica;sans-serif"/>
          <w:sz w:val="20"/>
        </w:rPr>
      </w:pPr>
      <w:r>
        <w:rPr>
          <w:rFonts w:ascii="Arial;Helvetica;sans-serif" w:hAnsi="Arial;Helvetica;sans-serif"/>
          <w:b/>
          <w:sz w:val="20"/>
        </w:rPr>
        <w:t xml:space="preserve">Mr. Merksamer </w:t>
      </w:r>
      <w:r>
        <w:rPr>
          <w:rFonts w:ascii="Arial;Helvetica;sans-serif" w:hAnsi="Arial;Helvetica;sans-serif"/>
          <w:sz w:val="20"/>
        </w:rPr>
        <w:t>is an Executive Director at Mubadala Capital and a former partner at One Investment Management and a former Managing Director at Icahn Capital.</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P-64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18" w:name="_ca220de6_6bf6_4d68_bb01_de9c26dbfd4d"/>
      <w:bookmarkStart w:id="119" w:name="_ca220de6_6bf6_4d68_bb01_de9c26dbfd4d"/>
      <w:bookmarkEnd w:id="119"/>
    </w:p>
    <w:tbl>
      <w:tblPr>
        <w:tblW w:w="3905" w:type="dxa"/>
        <w:jc w:val="left"/>
        <w:tblInd w:w="0" w:type="dxa"/>
        <w:tblLayout w:type="fixed"/>
        <w:tblCellMar>
          <w:top w:w="0" w:type="dxa"/>
          <w:left w:w="0" w:type="dxa"/>
          <w:bottom w:w="0" w:type="dxa"/>
          <w:right w:w="0" w:type="dxa"/>
        </w:tblCellMar>
      </w:tblPr>
      <w:tblGrid>
        <w:gridCol w:w="124"/>
        <w:gridCol w:w="3781"/>
      </w:tblGrid>
      <w:tr>
        <w:trPr/>
        <w:tc>
          <w:tcPr>
            <w:tcW w:w="124" w:type="dxa"/>
            <w:tcBorders/>
            <w:vAlign w:val="center"/>
          </w:tcPr>
          <w:p>
            <w:pPr>
              <w:pStyle w:val="TableContents"/>
              <w:bidi w:val="0"/>
              <w:spacing w:lineRule="auto" w:line="285" w:before="0" w:after="0"/>
              <w:ind w:left="0" w:right="0" w:hanging="0"/>
              <w:jc w:val="both"/>
              <w:rPr/>
            </w:pPr>
            <w:r>
              <w:rPr/>
              <w:t>​</w:t>
            </w:r>
          </w:p>
        </w:tc>
        <w:tc>
          <w:tcPr>
            <w:tcW w:w="378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378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BOARD MEETINGS AND COMMITTEES</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360" w:right="0" w:hanging="0"/>
        <w:jc w:val="both"/>
        <w:rPr>
          <w:rFonts w:ascii="Arial;Helvetica;sans-serif" w:hAnsi="Arial;Helvetica;sans-serif"/>
          <w:sz w:val="20"/>
        </w:rPr>
      </w:pPr>
      <w:r>
        <w:rPr>
          <w:rFonts w:ascii="Arial;Helvetica;sans-serif" w:hAnsi="Arial;Helvetica;sans-serif"/>
          <w:b/>
          <w:sz w:val="20"/>
        </w:rPr>
        <w:t>Mr. Lacey</w:t>
      </w:r>
      <w:r>
        <w:rPr>
          <w:rFonts w:ascii="Arial;Helvetica;sans-serif" w:hAnsi="Arial;Helvetica;sans-serif"/>
          <w:sz w:val="20"/>
        </w:rPr>
        <w:t xml:space="preserve"> is Executive Vice President and Chief Financial Officer of Woodward, Inc., and he previously served as President and Chief Executive Officer of General Electric (GE)’s Lighting division.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Finally, NYSE rules restrict directors who have relationships with the Company that may interfere with the exercise of their independence from management and the Company from serving on the Audit Committee. We believe that the members of the Audit Committee have no such relationships and are therefore independent for purposes of NYSE rules.</w:t>
      </w:r>
    </w:p>
    <w:p>
      <w:pPr>
        <w:pStyle w:val="TextBody"/>
        <w:bidi w:val="0"/>
        <w:spacing w:lineRule="auto" w:line="285" w:before="0" w:after="200"/>
        <w:ind w:left="0" w:right="0" w:hanging="0"/>
        <w:jc w:val="both"/>
        <w:rPr>
          <w:rFonts w:ascii="Arial;Helvetica;sans-serif" w:hAnsi="Arial;Helvetica;sans-serif"/>
          <w:b/>
          <w:color w:val="ECA44A"/>
          <w:sz w:val="20"/>
        </w:rPr>
      </w:pPr>
      <w:r>
        <w:rPr>
          <w:rFonts w:ascii="Arial;Helvetica;sans-serif" w:hAnsi="Arial;Helvetica;sans-serif"/>
          <w:b/>
          <w:color w:val="ECA44A"/>
          <w:sz w:val="20"/>
        </w:rPr>
        <w:t>PRIMARY RESPONSIBILITIES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responsibilities of the Audit Committee include, among others,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appointment, retention, oversight, evaluation and termination of our independent registered public accounting firm and recommending our statutory auditor pursuant to the Swiss Code to the Board of Directors and to shareholders for approval at a general meeting of shareholders;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Directly responsible for the compensation and oversight of our independent registered public accounting firm and our statutory auditor pursuant to the Swiss Code;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Advise as necessary in the selection of the lead audit partner, including with respect to the lead audit partner rotation;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Reviews our financial reporting processes, oversees the integrity of our financial statements, the reporting and assurance process for sustainability disclosures that require third party assurance and the independence, qualifications and performance of our auditors and their lead audit partner;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and report to the Board of Directors the scope and results of audits by our independent registered public accounting firm, our statutory auditor pursuant to the Swiss Code and our internal auditing staff and evaluates the audit, audit-related and permitted non-audit services rendered by the accounting firm;</w:t>
            </w:r>
          </w:p>
        </w:tc>
      </w:tr>
    </w:tbl>
    <w:tbl>
      <w:tblPr>
        <w:tblW w:w="8886" w:type="dxa"/>
        <w:jc w:val="left"/>
        <w:tblInd w:w="0" w:type="dxa"/>
        <w:tblLayout w:type="fixed"/>
        <w:tblCellMar>
          <w:top w:w="28" w:type="dxa"/>
          <w:left w:w="28" w:type="dxa"/>
          <w:bottom w:w="28" w:type="dxa"/>
          <w:right w:w="28" w:type="dxa"/>
        </w:tblCellMar>
      </w:tblPr>
      <w:tblGrid>
        <w:gridCol w:w="124"/>
        <w:gridCol w:w="256"/>
        <w:gridCol w:w="8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85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any material information security or cybersecurity matters that may affect the Company;</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with the accounting firm the adequacy of our system of internal controls over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at least annually, together with management, the Company’s ESG and cybersecurity disclosures and the adequacy and effectiveness of internal controls related to such disclosures;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transactions between us and our directors and executive officers for disclosure in the proxy statement, our policies regarding those transactions and compliance with our business ethics and conflict of interest policies; and</w:t>
            </w:r>
          </w:p>
        </w:tc>
      </w:tr>
    </w:tbl>
    <w:tbl>
      <w:tblPr>
        <w:tblW w:w="9816" w:type="dxa"/>
        <w:jc w:val="left"/>
        <w:tblInd w:w="0" w:type="dxa"/>
        <w:tblLayout w:type="fixed"/>
        <w:tblCellMar>
          <w:top w:w="28" w:type="dxa"/>
          <w:left w:w="28" w:type="dxa"/>
          <w:bottom w:w="28" w:type="dxa"/>
          <w:right w:w="28" w:type="dxa"/>
        </w:tblCellMar>
      </w:tblPr>
      <w:tblGrid>
        <w:gridCol w:w="124"/>
        <w:gridCol w:w="256"/>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4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Receive regular reports from the Chief Compliance Officer and the Vice President, Information Technology.</w:t>
            </w:r>
          </w:p>
        </w:tc>
      </w:tr>
    </w:tbl>
    <w:p>
      <w:pPr>
        <w:pStyle w:val="TextBody"/>
        <w:bidi w:val="0"/>
        <w:spacing w:lineRule="auto" w:line="285" w:before="200" w:after="200"/>
        <w:ind w:left="0" w:right="0" w:hanging="0"/>
        <w:jc w:val="both"/>
        <w:rPr>
          <w:rFonts w:ascii="Arial;Helvetica;sans-serif" w:hAnsi="Arial;Helvetica;sans-serif"/>
          <w:sz w:val="20"/>
        </w:rPr>
      </w:pPr>
      <w:r>
        <w:rPr>
          <w:rFonts w:ascii="Arial;Helvetica;sans-serif" w:hAnsi="Arial;Helvetica;sans-serif"/>
          <w:sz w:val="20"/>
        </w:rPr>
        <w:t>Additional information can be found in the Audit Committee Report of this proxy statement.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P-65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905" w:type="dxa"/>
        <w:jc w:val="left"/>
        <w:tblInd w:w="0" w:type="dxa"/>
        <w:tblLayout w:type="fixed"/>
        <w:tblCellMar>
          <w:top w:w="0" w:type="dxa"/>
          <w:left w:w="0" w:type="dxa"/>
          <w:bottom w:w="0" w:type="dxa"/>
          <w:right w:w="0" w:type="dxa"/>
        </w:tblCellMar>
      </w:tblPr>
      <w:tblGrid>
        <w:gridCol w:w="3751"/>
        <w:gridCol w:w="154"/>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375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BOARD MEETINGS AND COMMITTEES</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tbl>
      <w:tblPr>
        <w:tblW w:w="6513" w:type="dxa"/>
        <w:jc w:val="left"/>
        <w:tblInd w:w="0" w:type="dxa"/>
        <w:tblLayout w:type="fixed"/>
        <w:tblCellMar>
          <w:top w:w="0" w:type="dxa"/>
          <w:left w:w="0" w:type="dxa"/>
          <w:bottom w:w="0" w:type="dxa"/>
          <w:right w:w="0" w:type="dxa"/>
        </w:tblCellMar>
      </w:tblPr>
      <w:tblGrid>
        <w:gridCol w:w="677"/>
        <w:gridCol w:w="5836"/>
      </w:tblGrid>
      <w:tr>
        <w:trPr/>
        <w:tc>
          <w:tcPr>
            <w:tcW w:w="677" w:type="dxa"/>
            <w:tcBorders/>
            <w:vAlign w:val="center"/>
          </w:tcPr>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tc>
        <w:tc>
          <w:tcPr>
            <w:tcW w:w="5836" w:type="dxa"/>
            <w:tcBorders/>
            <w:vAlign w:val="center"/>
          </w:tcPr>
          <w:p>
            <w:pPr>
              <w:pStyle w:val="TableContents"/>
              <w:bidi w:val="0"/>
              <w:spacing w:lineRule="auto" w:line="285" w:before="0" w:after="0"/>
              <w:ind w:left="0" w:right="0" w:hanging="0"/>
              <w:jc w:val="both"/>
              <w:rPr/>
            </w:pPr>
            <w:r>
              <w:rPr/>
              <w:t>​</w:t>
            </w:r>
          </w:p>
        </w:tc>
      </w:tr>
      <w:tr>
        <w:trPr/>
        <w:tc>
          <w:tcPr>
            <w:tcW w:w="677" w:type="dxa"/>
            <w:tcBorders/>
            <w:vAlign w:val="center"/>
          </w:tcPr>
          <w:p>
            <w:pPr>
              <w:pStyle w:val="TableContents"/>
              <w:bidi w:val="0"/>
              <w:spacing w:lineRule="auto" w:line="285" w:before="0" w:after="0"/>
              <w:ind w:left="0" w:right="0" w:hanging="0"/>
              <w:jc w:val="both"/>
              <w:rPr/>
            </w:pPr>
            <w:r>
              <w:rPr/>
              <w:drawing>
                <wp:inline distT="0" distB="0" distL="0" distR="0">
                  <wp:extent cx="365760" cy="365760"/>
                  <wp:effectExtent l="0" t="0" r="0" b="0"/>
                  <wp:docPr id="17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18" descr=""/>
                          <pic:cNvPicPr>
                            <a:picLocks noChangeAspect="1" noChangeArrowheads="1"/>
                          </pic:cNvPicPr>
                        </pic:nvPicPr>
                        <pic:blipFill>
                          <a:blip r:embed="rId119"/>
                          <a:stretch>
                            <a:fillRect/>
                          </a:stretch>
                        </pic:blipFill>
                        <pic:spPr bwMode="auto">
                          <a:xfrm>
                            <a:off x="0" y="0"/>
                            <a:ext cx="365760" cy="365760"/>
                          </a:xfrm>
                          <a:prstGeom prst="rect">
                            <a:avLst/>
                          </a:prstGeom>
                        </pic:spPr>
                      </pic:pic>
                    </a:graphicData>
                  </a:graphic>
                </wp:inline>
              </w:drawing>
            </w:r>
          </w:p>
        </w:tc>
        <w:tc>
          <w:tcPr>
            <w:tcW w:w="5836" w:type="dxa"/>
            <w:tcBorders/>
            <w:vAlign w:val="center"/>
          </w:tcPr>
          <w:p>
            <w:pPr>
              <w:pStyle w:val="TableContents"/>
              <w:bidi w:val="0"/>
              <w:spacing w:lineRule="auto" w:line="285" w:before="240" w:after="0"/>
              <w:ind w:left="0" w:right="0" w:hanging="0"/>
              <w:jc w:val="both"/>
              <w:rPr>
                <w:rFonts w:ascii="Arial;Helvetica;sans-serif" w:hAnsi="Arial;Helvetica;sans-serif"/>
                <w:sz w:val="20"/>
              </w:rPr>
            </w:pPr>
            <w:r>
              <w:rPr>
                <w:rFonts w:ascii="Arial;Helvetica;sans-serif" w:hAnsi="Arial;Helvetica;sans-serif"/>
                <w:b/>
                <w:color w:val="4B4F54"/>
                <w:sz w:val="24"/>
              </w:rPr>
              <w:t xml:space="preserve">COMPENSATION COMMITTEE </w:t>
            </w:r>
            <w:r>
              <w:rPr>
                <w:rFonts w:ascii="Arial;Helvetica;sans-serif" w:hAnsi="Arial;Helvetica;sans-serif"/>
                <w:b/>
                <w:color w:val="4B4F54"/>
                <w:sz w:val="28"/>
              </w:rPr>
              <w:t xml:space="preserve">| </w:t>
            </w:r>
            <w:r>
              <w:rPr>
                <w:rFonts w:ascii="Arial;Helvetica;sans-serif" w:hAnsi="Arial;Helvetica;sans-serif"/>
                <w:b/>
                <w:color w:val="005670"/>
                <w:sz w:val="22"/>
              </w:rPr>
              <w:t>Meetings in 2025: 4</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b/>
          <w:color w:val="ECA44A"/>
          <w:sz w:val="20"/>
        </w:rPr>
      </w:pPr>
      <w:r>
        <w:rPr>
          <w:rFonts w:ascii="Arial;Helvetica;sans-serif" w:hAnsi="Arial;Helvetica;sans-serif"/>
          <w:b/>
          <w:color w:val="ECA44A"/>
          <w:sz w:val="20"/>
        </w:rPr>
        <w:t>MEMBERS</w:t>
      </w:r>
    </w:p>
    <w:p>
      <w:pPr>
        <w:pStyle w:val="TextBody"/>
        <w:bidi w:val="0"/>
        <w:spacing w:lineRule="auto" w:line="285" w:before="0" w:after="60"/>
        <w:ind w:left="173" w:right="0" w:hanging="0"/>
        <w:jc w:val="both"/>
        <w:rPr>
          <w:rFonts w:ascii="Arial;Helvetica;sans-serif" w:hAnsi="Arial;Helvetica;sans-serif"/>
          <w:sz w:val="18"/>
        </w:rPr>
      </w:pPr>
      <w:r>
        <w:rPr>
          <w:rFonts w:ascii="Arial;Helvetica;sans-serif" w:hAnsi="Arial;Helvetica;sans-serif"/>
          <w:sz w:val="20"/>
        </w:rPr>
        <w:t xml:space="preserve">Glyn A. Barker </w:t>
      </w:r>
      <w:r>
        <w:rPr>
          <w:rFonts w:ascii="Arial;Helvetica;sans-serif" w:hAnsi="Arial;Helvetica;sans-serif"/>
          <w:sz w:val="18"/>
        </w:rPr>
        <w:drawing>
          <wp:inline distT="0" distB="0" distL="0" distR="0">
            <wp:extent cx="173990" cy="173990"/>
            <wp:effectExtent l="0" t="0" r="0" b="0"/>
            <wp:docPr id="17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19" descr=""/>
                    <pic:cNvPicPr>
                      <a:picLocks noChangeAspect="1" noChangeArrowheads="1"/>
                    </pic:cNvPicPr>
                  </pic:nvPicPr>
                  <pic:blipFill>
                    <a:blip r:embed="rId120"/>
                    <a:stretch>
                      <a:fillRect/>
                    </a:stretch>
                  </pic:blipFill>
                  <pic:spPr bwMode="auto">
                    <a:xfrm>
                      <a:off x="0" y="0"/>
                      <a:ext cx="173990" cy="173990"/>
                    </a:xfrm>
                    <a:prstGeom prst="rect">
                      <a:avLst/>
                    </a:prstGeom>
                  </pic:spPr>
                </pic:pic>
              </a:graphicData>
            </a:graphic>
          </wp:inline>
        </w:drawing>
      </w:r>
    </w:p>
    <w:p>
      <w:pPr>
        <w:pStyle w:val="TextBody"/>
        <w:bidi w:val="0"/>
        <w:spacing w:lineRule="auto" w:line="285" w:before="0" w:after="60"/>
        <w:ind w:left="173" w:right="0" w:hanging="0"/>
        <w:jc w:val="both"/>
        <w:rPr>
          <w:rFonts w:ascii="Arial;Helvetica;sans-serif" w:hAnsi="Arial;Helvetica;sans-serif"/>
          <w:sz w:val="20"/>
        </w:rPr>
      </w:pPr>
      <w:r>
        <w:rPr>
          <w:rFonts w:ascii="Arial;Helvetica;sans-serif" w:hAnsi="Arial;Helvetica;sans-serif"/>
          <w:sz w:val="20"/>
        </w:rPr>
        <w:t>Vanessa C.L. Chang</w:t>
      </w:r>
    </w:p>
    <w:p>
      <w:pPr>
        <w:pStyle w:val="TextBody"/>
        <w:bidi w:val="0"/>
        <w:spacing w:lineRule="auto" w:line="285" w:before="0" w:after="220"/>
        <w:ind w:left="173" w:right="0" w:hanging="0"/>
        <w:jc w:val="both"/>
        <w:rPr>
          <w:rFonts w:ascii="Arial;Helvetica;sans-serif" w:hAnsi="Arial;Helvetica;sans-serif"/>
          <w:sz w:val="20"/>
        </w:rPr>
      </w:pPr>
      <w:r>
        <w:rPr>
          <w:rFonts w:ascii="Arial;Helvetica;sans-serif" w:hAnsi="Arial;Helvetica;sans-serif"/>
          <w:sz w:val="20"/>
        </w:rPr>
        <w:t>Frederico F. Curado</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 xml:space="preserve">The purpose of the Compensation Committee is to assist the Board of Directors in </w:t>
      </w:r>
    </w:p>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developing an appropriate compensation program and benefit package for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members of the Executive Management Team (as defined above under the caption “Executive Management Team Composition”);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persons defined as “officers” pursuant to section 16(a) of the Exchange Act, and (c) any other person whose compensation is required to be disclosed by applicable securities laws and regulations (collectively, the “Specified Executives”) and members of the Board of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complying with the Board of Directors’ legal and regulatory requirements as to Board member and Specified Executives compensation in order to facilitate the Company’s ability to attract, retain and motivate qualified individuals in a system that aligns compensation with the Company’s business performance.</w:t>
            </w:r>
          </w:p>
        </w:tc>
      </w:tr>
    </w:tbl>
    <w:p>
      <w:pPr>
        <w:pStyle w:val="TextBody"/>
        <w:bidi w:val="0"/>
        <w:spacing w:lineRule="auto" w:line="285" w:before="0" w:after="200"/>
        <w:ind w:left="0" w:right="0" w:hanging="0"/>
        <w:jc w:val="both"/>
        <w:rPr>
          <w:rFonts w:ascii="Arial;Helvetica;sans-serif" w:hAnsi="Arial;Helvetica;sans-serif"/>
          <w:b/>
          <w:color w:val="ECA44A"/>
          <w:sz w:val="20"/>
        </w:rPr>
      </w:pPr>
      <w:r>
        <w:rPr>
          <w:rFonts w:ascii="Arial;Helvetica;sans-serif" w:hAnsi="Arial;Helvetica;sans-serif"/>
          <w:b/>
          <w:color w:val="ECA44A"/>
          <w:sz w:val="20"/>
        </w:rPr>
        <w:t>PRIMARY RESPONSIBILITIES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authority and responsibilities of the Compensation Committee include, among others,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Annually review and recommend to the Board of Directors for submission to and ratification by the shareholders pursuant to Swiss law and our Articles of Association the maximum aggregate amount of compensation of the Board of Directors and the Executive Management Team for the period between the annual general meeting at which ratification</w:t>
            </w:r>
            <w:r>
              <w:rPr>
                <w:caps w:val="false"/>
                <w:smallCaps w:val="false"/>
              </w:rPr>
              <w:t xml:space="preserve"> </w:t>
            </w:r>
            <w:r>
              <w:rPr>
                <w:rFonts w:ascii="Arial;Helvetica;sans-serif" w:hAnsi="Arial;Helvetica;sans-serif"/>
                <w:b w:val="false"/>
                <w:i w:val="false"/>
                <w:caps w:val="false"/>
                <w:smallCaps w:val="false"/>
                <w:sz w:val="20"/>
              </w:rPr>
              <w:t>is sought and the next annual general meeting;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Annually review and recommend to the Board of Directors for submission to and ratification by the shareholders the maximum aggregate amount of compensation of the Specified Executives and each member of the Board of Directors for the fiscal year commencing</w:t>
            </w:r>
            <w:r>
              <w:rPr>
                <w:caps w:val="false"/>
                <w:smallCaps w:val="false"/>
              </w:rPr>
              <w:t xml:space="preserve"> </w:t>
            </w:r>
            <w:r>
              <w:rPr>
                <w:rFonts w:ascii="Arial;Helvetica;sans-serif" w:hAnsi="Arial;Helvetica;sans-serif"/>
                <w:b w:val="false"/>
                <w:i w:val="false"/>
                <w:caps w:val="false"/>
                <w:smallCaps w:val="false"/>
                <w:sz w:val="20"/>
              </w:rPr>
              <w:t>after the annual general meeting at which ratification is sought;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Select appropriate peer groups and market reference points against which the Company’s Board of Directors and executive compensation</w:t>
            </w:r>
            <w:r>
              <w:rPr>
                <w:caps w:val="false"/>
                <w:smallCaps w:val="false"/>
              </w:rPr>
              <w:t xml:space="preserve"> </w:t>
            </w:r>
            <w:r>
              <w:rPr>
                <w:rFonts w:ascii="Arial;Helvetica;sans-serif" w:hAnsi="Arial;Helvetica;sans-serif"/>
                <w:b w:val="false"/>
                <w:i w:val="false"/>
                <w:caps w:val="false"/>
                <w:smallCaps w:val="false"/>
                <w:sz w:val="20"/>
              </w:rPr>
              <w:t>is compared;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Annually recommend focus areas for our Chief Executive Officer for approval by members of our Board of Directors who meet our independence and experience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Annually review, with participation of our full Board of Directors, our Chief Executive Officer’s performance in light of our established focus areas;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Annually set our Chief Executive Officer’s compensation based, as appropriate, upon his performance evaluation together with competitive data and subject to shareholder ratification requirements pursuant to our Articles of Association and applicable law;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Annually set our Executive Chair’s compensation based, as appropriate, upon competitive data and subject to shareholder ratification requirements pursuant to our Articles of Association and applicable law;</w:t>
            </w:r>
          </w:p>
        </w:tc>
      </w:tr>
    </w:tbl>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P-66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905" w:type="dxa"/>
        <w:jc w:val="left"/>
        <w:tblInd w:w="0" w:type="dxa"/>
        <w:tblLayout w:type="fixed"/>
        <w:tblCellMar>
          <w:top w:w="0" w:type="dxa"/>
          <w:left w:w="0" w:type="dxa"/>
          <w:bottom w:w="0" w:type="dxa"/>
          <w:right w:w="0" w:type="dxa"/>
        </w:tblCellMar>
      </w:tblPr>
      <w:tblGrid>
        <w:gridCol w:w="124"/>
        <w:gridCol w:w="3781"/>
      </w:tblGrid>
      <w:tr>
        <w:trPr/>
        <w:tc>
          <w:tcPr>
            <w:tcW w:w="124" w:type="dxa"/>
            <w:tcBorders/>
            <w:vAlign w:val="center"/>
          </w:tcPr>
          <w:p>
            <w:pPr>
              <w:pStyle w:val="TableContents"/>
              <w:bidi w:val="0"/>
              <w:spacing w:lineRule="auto" w:line="285" w:before="0" w:after="0"/>
              <w:ind w:left="0" w:right="0" w:hanging="0"/>
              <w:jc w:val="both"/>
              <w:rPr/>
            </w:pPr>
            <w:r>
              <w:rPr/>
              <w:t>​</w:t>
            </w:r>
          </w:p>
        </w:tc>
        <w:tc>
          <w:tcPr>
            <w:tcW w:w="378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378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BOARD MEETINGS AND COMMITTEES</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Administer our Long-Term Incentive Plan, Performance Award and Cash Bonus Plan, Incentive Recoupment Policy, and any other similar compensation plan or arrangement providing for benefits primarily to members of the Board of Directors and executive officers in accordance with goals and objectives established by the Board of Directors, the terms of the plans, and any applicable rules and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Consider and make recommendations to the Board of Directors, with guidance from an outside compensation consultant, concerning the existing Board of Directors and executive compensation programs and changes to such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Consider, with guidance from an outside compensation consultant, and approve the material terms of any employment, severance, termination or other similar arrangements (to the extent permitted by applicable law and our Articles of Association) that may be entered into with members of the Board of Directors and Specified Executives; provided, however, that the Compensation Committee shall not recommend and the Board of Directors shall not authorize “single-trigger” change of control agreements for any of our officers or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Annually review and discuss the Company’s Swiss statutory compensation report and, based upon such discussion, recommend such report for approval by the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Assess the risks, with the assistance of external resources as the Compensation Committee deems appropriate, of the Company’s compensation arrangements applicable to members of the Board of Directors and the Specified Executives;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Retain and approve the fees of legal, accounting or other advisors, including any compensation consultant, employed by the Compensation Committee to assist it in the evaluation of executive and director compensation.</w:t>
            </w:r>
          </w:p>
        </w:tc>
      </w:tr>
    </w:tbl>
    <w:p>
      <w:pPr>
        <w:pStyle w:val="TextBody"/>
        <w:bidi w:val="0"/>
        <w:spacing w:lineRule="auto" w:line="285" w:before="120" w:after="200"/>
        <w:ind w:left="0" w:right="0" w:hanging="0"/>
        <w:jc w:val="both"/>
        <w:rPr>
          <w:rFonts w:ascii="Arial;Helvetica;sans-serif" w:hAnsi="Arial;Helvetica;sans-serif"/>
          <w:sz w:val="20"/>
        </w:rPr>
      </w:pPr>
      <w:r>
        <w:rPr>
          <w:rFonts w:ascii="Arial;Helvetica;sans-serif" w:hAnsi="Arial;Helvetica;sans-serif"/>
          <w:sz w:val="20"/>
        </w:rPr>
        <w:t>See Compensation Discussion and Analysis for a discussion of additional responsibilities of the Compensation Committee.</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Compensation Committee may delegate specific responsibilities to one or more individual committee members to the extent permitted by law, NYSE listing standards and the Compensation Committee’s governing documents. The Compensation Committee may delegate all or a portion of its powers and responsibilities with respect to the compensation plans and programs described above and in our Compensation Discussion and Analysis to one or more of our management committees; provided, that the Compensation Committee retains all power and responsibility with respect to awards granted to our Board of Directors members and executive officers. The Chief Executive Officer has been delegated authority to grant equity awards under the Company’s long-term incentive plans to new and existing employees of the Company, excluding executive officers and other officers at or above the Senior Vice President level, provided that such awards shall not exceed $5,000,000 in grant value per calendar year in aggregate and no such individual award shall exceed $350,000 in grant value.</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Compensation Committee has delegated to a subcommittee composed of its chair and at least one additional committee member the authority to approve interim compensation actions resulting from promotions, competitive realignment, or the hiring of new executive officers (excluding the Chief Executive Officer), including but not limited to establishing annual base salary, annual bonus targets, long-term bonus targets and the grant of equity awards, subject to any required vote of the shareholders. The Compensation Committee has also delegated authority to the Chief Executive Officer to, upon termination of service of an employee of the Company (excluding executive officers and other officers at or above the Senior Vice President level), accelerate vesting of awards granted under the Company’s long-term incentive plans and to extend exercisability of options for a period of up to one year, but not beyond the original exercise period. The Compensation Committee has further delegated authority to the Chief Executive Officer to determine whether an individual is disabled and/or to set applicable criteria for making such determination for purposes of the Company’s long-term incentives plans. The Compensation Committee is notified of compensation actions made by the Chief Executive Officer or the subcommittee at the meeting following the end of each calendar quarter in which such actions are taken.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P-67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905" w:type="dxa"/>
        <w:jc w:val="left"/>
        <w:tblInd w:w="0" w:type="dxa"/>
        <w:tblLayout w:type="fixed"/>
        <w:tblCellMar>
          <w:top w:w="0" w:type="dxa"/>
          <w:left w:w="0" w:type="dxa"/>
          <w:bottom w:w="0" w:type="dxa"/>
          <w:right w:w="0" w:type="dxa"/>
        </w:tblCellMar>
      </w:tblPr>
      <w:tblGrid>
        <w:gridCol w:w="3751"/>
        <w:gridCol w:w="154"/>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375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BOARD MEETINGS AND COMMITTEES</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tbl>
      <w:tblPr>
        <w:tblW w:w="5671" w:type="dxa"/>
        <w:jc w:val="left"/>
        <w:tblInd w:w="0" w:type="dxa"/>
        <w:tblLayout w:type="fixed"/>
        <w:tblCellMar>
          <w:top w:w="0" w:type="dxa"/>
          <w:left w:w="0" w:type="dxa"/>
          <w:bottom w:w="0" w:type="dxa"/>
          <w:right w:w="0" w:type="dxa"/>
        </w:tblCellMar>
      </w:tblPr>
      <w:tblGrid>
        <w:gridCol w:w="720"/>
        <w:gridCol w:w="4951"/>
      </w:tblGrid>
      <w:tr>
        <w:trPr/>
        <w:tc>
          <w:tcPr>
            <w:tcW w:w="720" w:type="dxa"/>
            <w:tcBorders/>
            <w:vAlign w:val="center"/>
          </w:tcPr>
          <w:p>
            <w:pPr>
              <w:pStyle w:val="TableContents"/>
              <w:bidi w:val="0"/>
              <w:spacing w:lineRule="auto" w:line="285" w:before="0" w:after="0"/>
              <w:ind w:left="0" w:right="0" w:hanging="0"/>
              <w:jc w:val="both"/>
              <w:rPr/>
            </w:pPr>
            <w:r>
              <w:rPr/>
              <w:t>​</w:t>
            </w:r>
          </w:p>
        </w:tc>
        <w:tc>
          <w:tcPr>
            <w:tcW w:w="4951" w:type="dxa"/>
            <w:tcBorders/>
            <w:vAlign w:val="center"/>
          </w:tcPr>
          <w:p>
            <w:pPr>
              <w:pStyle w:val="TableContents"/>
              <w:bidi w:val="0"/>
              <w:spacing w:lineRule="auto" w:line="285" w:before="0" w:after="0"/>
              <w:ind w:left="0" w:right="0" w:hanging="0"/>
              <w:jc w:val="both"/>
              <w:rPr/>
            </w:pPr>
            <w:r>
              <w:rPr/>
              <w:t>​</w:t>
            </w:r>
          </w:p>
        </w:tc>
      </w:tr>
      <w:tr>
        <w:trPr/>
        <w:tc>
          <w:tcPr>
            <w:tcW w:w="720" w:type="dxa"/>
            <w:tcBorders/>
            <w:vAlign w:val="center"/>
          </w:tcPr>
          <w:p>
            <w:pPr>
              <w:pStyle w:val="TableContents"/>
              <w:bidi w:val="0"/>
              <w:spacing w:lineRule="auto" w:line="285" w:before="0" w:after="0"/>
              <w:ind w:left="0" w:right="0" w:hanging="0"/>
              <w:jc w:val="both"/>
              <w:rPr/>
            </w:pPr>
            <w:r>
              <w:rPr/>
              <w:drawing>
                <wp:inline distT="0" distB="0" distL="0" distR="0">
                  <wp:extent cx="393065" cy="374650"/>
                  <wp:effectExtent l="0" t="0" r="0" b="0"/>
                  <wp:docPr id="17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20" descr=""/>
                          <pic:cNvPicPr>
                            <a:picLocks noChangeAspect="1" noChangeArrowheads="1"/>
                          </pic:cNvPicPr>
                        </pic:nvPicPr>
                        <pic:blipFill>
                          <a:blip r:embed="rId121"/>
                          <a:stretch>
                            <a:fillRect/>
                          </a:stretch>
                        </pic:blipFill>
                        <pic:spPr bwMode="auto">
                          <a:xfrm>
                            <a:off x="0" y="0"/>
                            <a:ext cx="393065" cy="374650"/>
                          </a:xfrm>
                          <a:prstGeom prst="rect">
                            <a:avLst/>
                          </a:prstGeom>
                        </pic:spPr>
                      </pic:pic>
                    </a:graphicData>
                  </a:graphic>
                </wp:inline>
              </w:drawing>
            </w:r>
          </w:p>
        </w:tc>
        <w:tc>
          <w:tcPr>
            <w:tcW w:w="4951" w:type="dxa"/>
            <w:tcBorders/>
            <w:vAlign w:val="center"/>
          </w:tcPr>
          <w:p>
            <w:pPr>
              <w:pStyle w:val="TableContents"/>
              <w:bidi w:val="0"/>
              <w:spacing w:lineRule="auto" w:line="285" w:before="240" w:after="0"/>
              <w:ind w:left="0" w:right="0" w:hanging="0"/>
              <w:jc w:val="both"/>
              <w:rPr>
                <w:rFonts w:ascii="Arial;Helvetica;sans-serif" w:hAnsi="Arial;Helvetica;sans-serif"/>
                <w:sz w:val="20"/>
              </w:rPr>
            </w:pPr>
            <w:r>
              <w:rPr>
                <w:rFonts w:ascii="Arial;Helvetica;sans-serif" w:hAnsi="Arial;Helvetica;sans-serif"/>
                <w:b/>
                <w:color w:val="4B4F54"/>
                <w:sz w:val="24"/>
              </w:rPr>
              <w:t xml:space="preserve">FINANCE COMMITTEE </w:t>
            </w:r>
            <w:r>
              <w:rPr>
                <w:rFonts w:ascii="Arial;Helvetica;sans-serif" w:hAnsi="Arial;Helvetica;sans-serif"/>
                <w:b/>
                <w:color w:val="4B4F54"/>
                <w:sz w:val="28"/>
              </w:rPr>
              <w:t xml:space="preserve">| </w:t>
            </w:r>
            <w:r>
              <w:rPr>
                <w:rFonts w:ascii="Arial;Helvetica;sans-serif" w:hAnsi="Arial;Helvetica;sans-serif"/>
                <w:b/>
                <w:color w:val="005670"/>
                <w:sz w:val="22"/>
              </w:rPr>
              <w:t>Meetings in 2025: 4</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b/>
          <w:color w:val="ECA44A"/>
          <w:sz w:val="20"/>
        </w:rPr>
      </w:pPr>
      <w:r>
        <w:rPr>
          <w:rFonts w:ascii="Arial;Helvetica;sans-serif" w:hAnsi="Arial;Helvetica;sans-serif"/>
          <w:b/>
          <w:color w:val="ECA44A"/>
          <w:sz w:val="20"/>
        </w:rPr>
        <w:t>MEMBERS</w:t>
      </w:r>
    </w:p>
    <w:p>
      <w:pPr>
        <w:pStyle w:val="TextBody"/>
        <w:bidi w:val="0"/>
        <w:spacing w:lineRule="auto" w:line="285" w:before="0" w:after="0"/>
        <w:ind w:left="173" w:right="0" w:hanging="0"/>
        <w:jc w:val="both"/>
        <w:rPr/>
      </w:pPr>
      <w:r>
        <w:rPr/>
        <w:t>​</w:t>
      </w:r>
    </w:p>
    <w:p>
      <w:pPr>
        <w:pStyle w:val="TextBody"/>
        <w:bidi w:val="0"/>
        <w:spacing w:lineRule="auto" w:line="285" w:before="0" w:after="60"/>
        <w:ind w:left="173" w:right="0" w:hanging="0"/>
        <w:jc w:val="both"/>
        <w:rPr>
          <w:rFonts w:ascii="Arial;Helvetica;sans-serif" w:hAnsi="Arial;Helvetica;sans-serif"/>
          <w:sz w:val="18"/>
        </w:rPr>
      </w:pPr>
      <w:r>
        <w:rPr>
          <w:rFonts w:ascii="Arial;Helvetica;sans-serif" w:hAnsi="Arial;Helvetica;sans-serif"/>
          <w:sz w:val="20"/>
        </w:rPr>
        <w:t xml:space="preserve">Domenic J. “Nick” Dell’Osso, Jr. </w:t>
      </w:r>
      <w:r>
        <w:rPr>
          <w:rFonts w:ascii="Arial;Helvetica;sans-serif" w:hAnsi="Arial;Helvetica;sans-serif"/>
          <w:sz w:val="18"/>
        </w:rPr>
        <w:drawing>
          <wp:inline distT="0" distB="0" distL="0" distR="0">
            <wp:extent cx="173990" cy="173990"/>
            <wp:effectExtent l="0" t="0" r="0" b="0"/>
            <wp:docPr id="17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21" descr=""/>
                    <pic:cNvPicPr>
                      <a:picLocks noChangeAspect="1" noChangeArrowheads="1"/>
                    </pic:cNvPicPr>
                  </pic:nvPicPr>
                  <pic:blipFill>
                    <a:blip r:embed="rId122"/>
                    <a:stretch>
                      <a:fillRect/>
                    </a:stretch>
                  </pic:blipFill>
                  <pic:spPr bwMode="auto">
                    <a:xfrm>
                      <a:off x="0" y="0"/>
                      <a:ext cx="173990" cy="173990"/>
                    </a:xfrm>
                    <a:prstGeom prst="rect">
                      <a:avLst/>
                    </a:prstGeom>
                  </pic:spPr>
                </pic:pic>
              </a:graphicData>
            </a:graphic>
          </wp:inline>
        </w:drawing>
      </w:r>
    </w:p>
    <w:p>
      <w:pPr>
        <w:pStyle w:val="TextBody"/>
        <w:bidi w:val="0"/>
        <w:spacing w:lineRule="auto" w:line="285" w:before="0" w:after="60"/>
        <w:ind w:left="173" w:right="0" w:hanging="0"/>
        <w:jc w:val="both"/>
        <w:rPr>
          <w:rFonts w:ascii="Arial;Helvetica;sans-serif" w:hAnsi="Arial;Helvetica;sans-serif"/>
          <w:sz w:val="20"/>
        </w:rPr>
      </w:pPr>
      <w:r>
        <w:rPr>
          <w:rFonts w:ascii="Arial;Helvetica;sans-serif" w:hAnsi="Arial;Helvetica;sans-serif"/>
          <w:sz w:val="20"/>
        </w:rPr>
        <w:t>Vincent J. Intrieri</w:t>
      </w:r>
    </w:p>
    <w:p>
      <w:pPr>
        <w:pStyle w:val="TextBody"/>
        <w:bidi w:val="0"/>
        <w:spacing w:lineRule="auto" w:line="285" w:before="0" w:after="60"/>
        <w:ind w:left="173" w:right="0" w:hanging="0"/>
        <w:jc w:val="both"/>
        <w:rPr>
          <w:rFonts w:ascii="Arial;Helvetica;sans-serif" w:hAnsi="Arial;Helvetica;sans-serif"/>
          <w:sz w:val="20"/>
        </w:rPr>
      </w:pPr>
      <w:r>
        <w:rPr>
          <w:rFonts w:ascii="Arial;Helvetica;sans-serif" w:hAnsi="Arial;Helvetica;sans-serif"/>
          <w:sz w:val="20"/>
        </w:rPr>
        <w:t>Samuel J. Merksamer</w:t>
      </w:r>
    </w:p>
    <w:p>
      <w:pPr>
        <w:pStyle w:val="TextBody"/>
        <w:bidi w:val="0"/>
        <w:spacing w:lineRule="auto" w:line="285" w:before="0" w:after="60"/>
        <w:ind w:left="173" w:right="0" w:hanging="0"/>
        <w:jc w:val="both"/>
        <w:rPr>
          <w:rFonts w:ascii="Arial;Helvetica;sans-serif" w:hAnsi="Arial;Helvetica;sans-serif"/>
          <w:sz w:val="20"/>
        </w:rPr>
      </w:pPr>
      <w:r>
        <w:rPr>
          <w:rFonts w:ascii="Arial;Helvetica;sans-serif" w:hAnsi="Arial;Helvetica;sans-serif"/>
          <w:sz w:val="20"/>
        </w:rPr>
        <w:t>Frederik W. Mohn</w:t>
      </w:r>
    </w:p>
    <w:p>
      <w:pPr>
        <w:pStyle w:val="TextBody"/>
        <w:bidi w:val="0"/>
        <w:spacing w:lineRule="auto" w:line="285" w:before="0" w:after="0"/>
        <w:ind w:left="173"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purpose of the Finance Committee is to assist the Board of Directors in its oversight of the Company’s financial policies, financial strategies and capital structure to ensure that each is consistent with the Company’s values, strategies, financial risk management, fiscal policies and other policies.</w:t>
      </w:r>
    </w:p>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ECA44A"/>
          <w:sz w:val="20"/>
        </w:rPr>
      </w:pPr>
      <w:r>
        <w:rPr>
          <w:rFonts w:ascii="Arial;Helvetica;sans-serif" w:hAnsi="Arial;Helvetica;sans-serif"/>
          <w:b/>
          <w:color w:val="ECA44A"/>
          <w:sz w:val="20"/>
        </w:rPr>
        <w:t>PRIMARY RESPONSIBILITIES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responsibilities of the Finance Committee include, among others,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the annual and projected longer term financial plan, strategies and capital structure requirements of the Company;</w:t>
            </w:r>
          </w:p>
        </w:tc>
      </w:tr>
    </w:tbl>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Review and approve the Company’s risk management programs and investment guidelines;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Make recommendations to the Board of Directors concerning the Company’s dividend policy, securities repurchase actions, the issuance and terms of debt and equity securities and the establishment of bank lines of credit;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the financial aspects of proposed significant transactions requiring Board approval, such as mergers, acquisitions, divestitures, joint ventures, spin-offs, initial public offerings and strategic investments.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P-68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905" w:type="dxa"/>
        <w:jc w:val="left"/>
        <w:tblInd w:w="0" w:type="dxa"/>
        <w:tblLayout w:type="fixed"/>
        <w:tblCellMar>
          <w:top w:w="0" w:type="dxa"/>
          <w:left w:w="0" w:type="dxa"/>
          <w:bottom w:w="0" w:type="dxa"/>
          <w:right w:w="0" w:type="dxa"/>
        </w:tblCellMar>
      </w:tblPr>
      <w:tblGrid>
        <w:gridCol w:w="124"/>
        <w:gridCol w:w="3781"/>
      </w:tblGrid>
      <w:tr>
        <w:trPr/>
        <w:tc>
          <w:tcPr>
            <w:tcW w:w="124" w:type="dxa"/>
            <w:tcBorders/>
            <w:vAlign w:val="center"/>
          </w:tcPr>
          <w:p>
            <w:pPr>
              <w:pStyle w:val="TableContents"/>
              <w:bidi w:val="0"/>
              <w:spacing w:lineRule="auto" w:line="285" w:before="0" w:after="0"/>
              <w:ind w:left="0" w:right="0" w:hanging="0"/>
              <w:jc w:val="both"/>
              <w:rPr/>
            </w:pPr>
            <w:r>
              <w:rPr/>
              <w:t>​</w:t>
            </w:r>
          </w:p>
        </w:tc>
        <w:tc>
          <w:tcPr>
            <w:tcW w:w="378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378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BOARD MEETINGS AND COMMITTEES</w:t>
            </w:r>
          </w:p>
        </w:tc>
      </w:tr>
    </w:tbl>
    <w:p>
      <w:pPr>
        <w:pStyle w:val="TextBody"/>
        <w:bidi w:val="0"/>
        <w:spacing w:lineRule="auto" w:line="285" w:before="0" w:after="0"/>
        <w:ind w:left="0" w:right="0" w:hanging="0"/>
        <w:jc w:val="both"/>
        <w:rPr/>
      </w:pPr>
      <w:r>
        <w:rPr/>
        <w:t>​</w:t>
      </w:r>
    </w:p>
    <w:tbl>
      <w:tblPr>
        <w:tblW w:w="9526" w:type="dxa"/>
        <w:jc w:val="left"/>
        <w:tblInd w:w="0" w:type="dxa"/>
        <w:tblLayout w:type="fixed"/>
        <w:tblCellMar>
          <w:top w:w="0" w:type="dxa"/>
          <w:left w:w="0" w:type="dxa"/>
          <w:bottom w:w="0" w:type="dxa"/>
          <w:right w:w="0" w:type="dxa"/>
        </w:tblCellMar>
      </w:tblPr>
      <w:tblGrid>
        <w:gridCol w:w="720"/>
        <w:gridCol w:w="8806"/>
      </w:tblGrid>
      <w:tr>
        <w:trPr/>
        <w:tc>
          <w:tcPr>
            <w:tcW w:w="720" w:type="dxa"/>
            <w:tcBorders/>
            <w:vAlign w:val="center"/>
          </w:tcPr>
          <w:p>
            <w:pPr>
              <w:pStyle w:val="TableContents"/>
              <w:bidi w:val="0"/>
              <w:spacing w:lineRule="auto" w:line="285" w:before="0" w:after="0"/>
              <w:ind w:left="0" w:right="0" w:hanging="0"/>
              <w:jc w:val="both"/>
              <w:rPr/>
            </w:pPr>
            <w:r>
              <w:rPr/>
              <w:t>​</w:t>
            </w:r>
          </w:p>
        </w:tc>
        <w:tc>
          <w:tcPr>
            <w:tcW w:w="8806" w:type="dxa"/>
            <w:tcBorders/>
            <w:vAlign w:val="center"/>
          </w:tcPr>
          <w:p>
            <w:pPr>
              <w:pStyle w:val="TableContents"/>
              <w:bidi w:val="0"/>
              <w:spacing w:lineRule="auto" w:line="285" w:before="0" w:after="0"/>
              <w:ind w:left="0" w:right="0" w:hanging="0"/>
              <w:jc w:val="both"/>
              <w:rPr/>
            </w:pPr>
            <w:r>
              <w:rPr/>
              <w:t>​</w:t>
            </w:r>
          </w:p>
        </w:tc>
      </w:tr>
      <w:tr>
        <w:trPr/>
        <w:tc>
          <w:tcPr>
            <w:tcW w:w="720" w:type="dxa"/>
            <w:tcBorders/>
            <w:vAlign w:val="center"/>
          </w:tcPr>
          <w:p>
            <w:pPr>
              <w:pStyle w:val="TableContents"/>
              <w:bidi w:val="0"/>
              <w:spacing w:lineRule="auto" w:line="285" w:before="0" w:after="0"/>
              <w:ind w:left="0" w:right="0" w:hanging="0"/>
              <w:jc w:val="both"/>
              <w:rPr/>
            </w:pPr>
            <w:r>
              <w:rPr/>
              <w:drawing>
                <wp:inline distT="0" distB="0" distL="0" distR="0">
                  <wp:extent cx="393065" cy="393065"/>
                  <wp:effectExtent l="0" t="0" r="0" b="0"/>
                  <wp:docPr id="17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22" descr=""/>
                          <pic:cNvPicPr>
                            <a:picLocks noChangeAspect="1" noChangeArrowheads="1"/>
                          </pic:cNvPicPr>
                        </pic:nvPicPr>
                        <pic:blipFill>
                          <a:blip r:embed="rId123"/>
                          <a:stretch>
                            <a:fillRect/>
                          </a:stretch>
                        </pic:blipFill>
                        <pic:spPr bwMode="auto">
                          <a:xfrm>
                            <a:off x="0" y="0"/>
                            <a:ext cx="393065" cy="393065"/>
                          </a:xfrm>
                          <a:prstGeom prst="rect">
                            <a:avLst/>
                          </a:prstGeom>
                        </pic:spPr>
                      </pic:pic>
                    </a:graphicData>
                  </a:graphic>
                </wp:inline>
              </w:drawing>
            </w:r>
          </w:p>
        </w:tc>
        <w:tc>
          <w:tcPr>
            <w:tcW w:w="8806" w:type="dxa"/>
            <w:tcBorders/>
            <w:vAlign w:val="center"/>
          </w:tcPr>
          <w:p>
            <w:pPr>
              <w:pStyle w:val="TableContents"/>
              <w:bidi w:val="0"/>
              <w:spacing w:lineRule="auto" w:line="285" w:before="240" w:after="0"/>
              <w:ind w:left="0" w:right="0" w:hanging="0"/>
              <w:jc w:val="both"/>
              <w:rPr>
                <w:rFonts w:ascii="Arial;Helvetica;sans-serif" w:hAnsi="Arial;Helvetica;sans-serif"/>
                <w:sz w:val="20"/>
              </w:rPr>
            </w:pPr>
            <w:r>
              <w:rPr>
                <w:rFonts w:ascii="Arial;Helvetica;sans-serif" w:hAnsi="Arial;Helvetica;sans-serif"/>
                <w:b/>
                <w:color w:val="4B4F54"/>
                <w:sz w:val="24"/>
              </w:rPr>
              <w:t xml:space="preserve">GOVERNANCE, SAFETY &amp; ENVIRONMENT COMMITTEE </w:t>
            </w:r>
            <w:r>
              <w:rPr>
                <w:rFonts w:ascii="Arial;Helvetica;sans-serif" w:hAnsi="Arial;Helvetica;sans-serif"/>
                <w:b/>
                <w:color w:val="4B4F54"/>
                <w:sz w:val="28"/>
              </w:rPr>
              <w:t xml:space="preserve">| </w:t>
            </w:r>
            <w:r>
              <w:rPr>
                <w:rFonts w:ascii="Arial;Helvetica;sans-serif" w:hAnsi="Arial;Helvetica;sans-serif"/>
                <w:b/>
                <w:color w:val="005670"/>
                <w:sz w:val="22"/>
              </w:rPr>
              <w:t>Meetings in 2025: 4</w:t>
            </w:r>
          </w:p>
        </w:tc>
      </w:tr>
    </w:tbl>
    <w:p>
      <w:pPr>
        <w:pStyle w:val="TextBody"/>
        <w:bidi w:val="0"/>
        <w:spacing w:lineRule="auto" w:line="285" w:before="0" w:after="0"/>
        <w:ind w:left="0" w:right="0" w:hanging="0"/>
        <w:jc w:val="both"/>
        <w:rPr>
          <w:color w:val="ECA44A"/>
        </w:rPr>
      </w:pPr>
      <w:r>
        <w:rPr>
          <w:color w:val="ECA44A"/>
        </w:rPr>
        <w:t>​</w:t>
      </w:r>
    </w:p>
    <w:p>
      <w:pPr>
        <w:pStyle w:val="TextBody"/>
        <w:bidi w:val="0"/>
        <w:spacing w:lineRule="auto" w:line="285" w:before="0" w:after="0"/>
        <w:ind w:left="0" w:right="0" w:hanging="0"/>
        <w:jc w:val="both"/>
        <w:rPr>
          <w:rFonts w:ascii="Arial;Helvetica;sans-serif" w:hAnsi="Arial;Helvetica;sans-serif"/>
          <w:b/>
          <w:color w:val="ECA44A"/>
          <w:sz w:val="20"/>
        </w:rPr>
      </w:pPr>
      <w:r>
        <w:rPr>
          <w:rFonts w:ascii="Arial;Helvetica;sans-serif" w:hAnsi="Arial;Helvetica;sans-serif"/>
          <w:b/>
          <w:color w:val="ECA44A"/>
          <w:sz w:val="20"/>
        </w:rPr>
        <w:t>MEMBERS</w:t>
      </w:r>
    </w:p>
    <w:p>
      <w:pPr>
        <w:pStyle w:val="TextBody"/>
        <w:bidi w:val="0"/>
        <w:spacing w:lineRule="auto" w:line="285" w:before="0" w:after="60"/>
        <w:ind w:left="173" w:right="0" w:hanging="0"/>
        <w:jc w:val="both"/>
        <w:rPr>
          <w:rFonts w:ascii="Arial;Helvetica;sans-serif" w:hAnsi="Arial;Helvetica;sans-serif"/>
          <w:sz w:val="18"/>
        </w:rPr>
      </w:pPr>
      <w:r>
        <w:rPr>
          <w:rFonts w:ascii="Arial;Helvetica;sans-serif" w:hAnsi="Arial;Helvetica;sans-serif"/>
          <w:sz w:val="20"/>
        </w:rPr>
        <w:t xml:space="preserve">Frederico F. Curado </w:t>
      </w:r>
      <w:r>
        <w:rPr>
          <w:rFonts w:ascii="Arial;Helvetica;sans-serif" w:hAnsi="Arial;Helvetica;sans-serif"/>
          <w:sz w:val="18"/>
        </w:rPr>
        <w:drawing>
          <wp:inline distT="0" distB="0" distL="0" distR="0">
            <wp:extent cx="173990" cy="173990"/>
            <wp:effectExtent l="0" t="0" r="0" b="0"/>
            <wp:docPr id="17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23" descr=""/>
                    <pic:cNvPicPr>
                      <a:picLocks noChangeAspect="1" noChangeArrowheads="1"/>
                    </pic:cNvPicPr>
                  </pic:nvPicPr>
                  <pic:blipFill>
                    <a:blip r:embed="rId124"/>
                    <a:stretch>
                      <a:fillRect/>
                    </a:stretch>
                  </pic:blipFill>
                  <pic:spPr bwMode="auto">
                    <a:xfrm>
                      <a:off x="0" y="0"/>
                      <a:ext cx="173990" cy="173990"/>
                    </a:xfrm>
                    <a:prstGeom prst="rect">
                      <a:avLst/>
                    </a:prstGeom>
                  </pic:spPr>
                </pic:pic>
              </a:graphicData>
            </a:graphic>
          </wp:inline>
        </w:drawing>
      </w:r>
    </w:p>
    <w:p>
      <w:pPr>
        <w:pStyle w:val="TextBody"/>
        <w:bidi w:val="0"/>
        <w:spacing w:lineRule="auto" w:line="285" w:before="0" w:after="60"/>
        <w:ind w:left="173" w:right="0" w:hanging="0"/>
        <w:jc w:val="both"/>
        <w:rPr>
          <w:rFonts w:ascii="Arial;Helvetica;sans-serif" w:hAnsi="Arial;Helvetica;sans-serif"/>
          <w:sz w:val="20"/>
        </w:rPr>
      </w:pPr>
      <w:r>
        <w:rPr>
          <w:rFonts w:ascii="Arial;Helvetica;sans-serif" w:hAnsi="Arial;Helvetica;sans-serif"/>
          <w:sz w:val="20"/>
        </w:rPr>
        <w:t xml:space="preserve">Domenic J. “Nick” Dell’Osso, Jr. </w:t>
      </w:r>
    </w:p>
    <w:p>
      <w:pPr>
        <w:pStyle w:val="TextBody"/>
        <w:bidi w:val="0"/>
        <w:spacing w:lineRule="auto" w:line="285" w:before="0" w:after="60"/>
        <w:ind w:left="173" w:right="0" w:hanging="0"/>
        <w:jc w:val="both"/>
        <w:rPr>
          <w:rFonts w:ascii="Arial;Helvetica;sans-serif" w:hAnsi="Arial;Helvetica;sans-serif"/>
          <w:sz w:val="20"/>
        </w:rPr>
      </w:pPr>
      <w:r>
        <w:rPr>
          <w:rFonts w:ascii="Arial;Helvetica;sans-serif" w:hAnsi="Arial;Helvetica;sans-serif"/>
          <w:sz w:val="20"/>
        </w:rPr>
        <w:t>Frederik W. Mohn</w:t>
      </w:r>
    </w:p>
    <w:p>
      <w:pPr>
        <w:pStyle w:val="TextBody"/>
        <w:bidi w:val="0"/>
        <w:spacing w:lineRule="auto" w:line="285" w:before="200" w:after="60"/>
        <w:ind w:left="0" w:right="0" w:hanging="0"/>
        <w:jc w:val="both"/>
        <w:rPr>
          <w:rFonts w:ascii="Arial;Helvetica;sans-serif" w:hAnsi="Arial;Helvetica;sans-serif"/>
          <w:sz w:val="20"/>
        </w:rPr>
      </w:pPr>
      <w:r>
        <w:rPr>
          <w:rFonts w:ascii="Arial;Helvetica;sans-serif" w:hAnsi="Arial;Helvetica;sans-serif"/>
          <w:sz w:val="20"/>
        </w:rPr>
        <w:t>The purpose of the Governance, Safety &amp; Environment Committee is to carry out the responsibilities delegated by the Board of Directors relating to the Company’s corporate governance matters and health, safety environment and sustainability matters.</w:t>
      </w:r>
    </w:p>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ECA44A"/>
          <w:sz w:val="20"/>
        </w:rPr>
      </w:pPr>
      <w:r>
        <w:rPr>
          <w:rFonts w:ascii="Arial;Helvetica;sans-serif" w:hAnsi="Arial;Helvetica;sans-serif"/>
          <w:b/>
          <w:color w:val="ECA44A"/>
          <w:sz w:val="20"/>
        </w:rPr>
        <w:t>PRIMARY RESPONSIBILITIES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responsibilities of the Governance, Safety and Environment Committee include, among others,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Identifying, evaluating and recommending to the Company’s Board of Directors individuals qualified to be nominated and elected to the Board of Directors in accordance with criteria set by the NYSE, SEC</w:t>
            </w:r>
            <w:r>
              <w:rPr>
                <w:caps w:val="false"/>
                <w:smallCaps w:val="false"/>
              </w:rPr>
              <w:t xml:space="preserve"> </w:t>
            </w:r>
            <w:r>
              <w:rPr>
                <w:rFonts w:ascii="Arial;Helvetica;sans-serif" w:hAnsi="Arial;Helvetica;sans-serif"/>
                <w:b w:val="false"/>
                <w:i w:val="false"/>
                <w:caps w:val="false"/>
                <w:smallCaps w:val="false"/>
                <w:sz w:val="20"/>
              </w:rPr>
              <w:t>and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Periodically reviewing the Articles of Association and the Organizational Regulations of the Company and recommending any changes to the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Developing and evaluating corporate governance principles and policies applicable to the Company, including our Corporate Governance Guidelines, and recommending any changes to the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Assessing and recommending committee assignments, structure, duties and operations, and reporting to the Board of Directors;</w:t>
            </w:r>
          </w:p>
        </w:tc>
      </w:tr>
    </w:tbl>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Overseeing the annual evaluation of the performance of the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Reviewing and overseeing the Company’s programs, policies and practices with respect to health, safety, environment, and sustainability matters relevant to the Company’s operations, performance, and strategic planning;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Exercising oversight of sustainability reporting that does not require third party assurance and does not otherwise fall within the scope of the Audit Committee’s responsibilities.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P-69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905" w:type="dxa"/>
        <w:jc w:val="left"/>
        <w:tblInd w:w="0" w:type="dxa"/>
        <w:tblLayout w:type="fixed"/>
        <w:tblCellMar>
          <w:top w:w="0" w:type="dxa"/>
          <w:left w:w="0" w:type="dxa"/>
          <w:bottom w:w="0" w:type="dxa"/>
          <w:right w:w="0" w:type="dxa"/>
        </w:tblCellMar>
      </w:tblPr>
      <w:tblGrid>
        <w:gridCol w:w="3751"/>
        <w:gridCol w:w="154"/>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375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BOARD MEETINGS AND COMMITTEES</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i w:val="false"/>
          <w:caps w:val="false"/>
          <w:smallCaps w:val="false"/>
          <w:sz w:val="32"/>
        </w:rPr>
      </w:pPr>
      <w:r>
        <w:rPr>
          <w:rFonts w:ascii="Arial;Helvetica;sans-serif" w:hAnsi="Arial;Helvetica;sans-serif"/>
          <w:i w:val="false"/>
          <w:caps w:val="false"/>
          <w:smallCaps w:val="false"/>
          <w:sz w:val="32"/>
        </w:rPr>
        <w:t>Director Compensation Strategy</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Directors who are employees of the Company do not receive compensation for service on the Board of Directors. All of the directors in the 2025/2026 Term except Mr. Adamson, as President and Chief Executive Officer, and Mr. Thigpen, as Executive Chair, were non-employees that receive compensation for their service on the Board of Directors.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We use a combination of cash and equity compensation to attract and retain qualified candidates to serve on the Board of Directors. The Board of Directors believes that any compensation method should be weighted more toward compensation in the form of equity in order to more closely align director compensation with shareholders’ interests.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 the 2025/2026 Term, non-employee director target compensation in U.S. dollars included the following fixed components:</w:t>
      </w:r>
    </w:p>
    <w:tbl>
      <w:tblPr>
        <w:tblW w:w="8518" w:type="dxa"/>
        <w:jc w:val="left"/>
        <w:tblInd w:w="0" w:type="dxa"/>
        <w:tblLayout w:type="fixed"/>
        <w:tblCellMar>
          <w:top w:w="0" w:type="dxa"/>
          <w:left w:w="0" w:type="dxa"/>
          <w:bottom w:w="0" w:type="dxa"/>
          <w:right w:w="0" w:type="dxa"/>
        </w:tblCellMar>
      </w:tblPr>
      <w:tblGrid>
        <w:gridCol w:w="6751"/>
        <w:gridCol w:w="146"/>
        <w:gridCol w:w="1621"/>
      </w:tblGrid>
      <w:tr>
        <w:trPr/>
        <w:tc>
          <w:tcPr>
            <w:tcW w:w="6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286885" cy="175260"/>
                      <wp:effectExtent l="0" t="0" r="0" b="0"/>
                      <wp:wrapNone/>
                      <wp:docPr id="178" name="Frame55"/>
                      <a:graphic xmlns:a="http://schemas.openxmlformats.org/drawingml/2006/main">
                        <a:graphicData uri="http://schemas.microsoft.com/office/word/2010/wordprocessingShape">
                          <wps:wsp>
                            <wps:cNvSpPr txBox="1"/>
                            <wps:spPr>
                              <a:xfrm>
                                <a:off x="0" y="0"/>
                                <a:ext cx="42868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92710" cy="175260"/>
                      <wp:effectExtent l="0" t="0" r="0" b="0"/>
                      <wp:wrapNone/>
                      <wp:docPr id="179" name="Frame5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029335" cy="175260"/>
                      <wp:effectExtent l="0" t="0" r="0" b="0"/>
                      <wp:wrapNone/>
                      <wp:docPr id="180" name="Frame57"/>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675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46" w:type="dxa"/>
            <w:tcBorders/>
            <w:vAlign w:val="center"/>
          </w:tcPr>
          <w:p>
            <w:pPr>
              <w:pStyle w:val="TableContents"/>
              <w:bidi w:val="0"/>
              <w:spacing w:lineRule="auto" w:line="285" w:before="0" w:after="0"/>
              <w:ind w:left="0" w:right="0" w:hanging="0"/>
              <w:jc w:val="center"/>
              <w:rPr/>
            </w:pPr>
            <w:r>
              <w:rPr/>
              <w:t>​</w:t>
            </w:r>
          </w:p>
        </w:tc>
        <w:tc>
          <w:tcPr>
            <w:tcW w:w="162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8"/>
              </w:rPr>
            </w:pPr>
            <w:r>
              <w:rPr>
                <w:rFonts w:ascii="Arial;Helvetica;sans-serif" w:hAnsi="Arial;Helvetica;sans-serif"/>
                <w:b/>
                <w:color w:val="4B4F54"/>
                <w:sz w:val="18"/>
              </w:rPr>
              <w:t>COMPENSATION</w:t>
            </w:r>
          </w:p>
        </w:tc>
      </w:tr>
      <w:tr>
        <w:trPr/>
        <w:tc>
          <w:tcPr>
            <w:tcW w:w="6751"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8"/>
              </w:rPr>
            </w:pPr>
            <w:r>
              <w:rPr>
                <w:rFonts w:ascii="Arial;Helvetica;sans-serif" w:hAnsi="Arial;Helvetica;sans-serif"/>
                <w:b/>
                <w:color w:val="4B4F54"/>
                <w:sz w:val="18"/>
              </w:rPr>
              <w:t>COMPENSATION COMPONENT</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62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8"/>
              </w:rPr>
            </w:pPr>
            <w:r>
              <w:rPr>
                <w:rFonts w:ascii="Arial;Helvetica;sans-serif" w:hAnsi="Arial;Helvetica;sans-serif"/>
                <w:b/>
                <w:color w:val="4B4F54"/>
                <w:sz w:val="18"/>
              </w:rPr>
              <w:t>(U.S. $)</w:t>
            </w:r>
          </w:p>
        </w:tc>
      </w:tr>
      <w:tr>
        <w:trPr/>
        <w:tc>
          <w:tcPr>
            <w:tcW w:w="675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Annual Retainer—Non</w:t>
              <w:noBreakHyphen/>
              <w:t>Employee Directors</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62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100,000</w:t>
            </w:r>
          </w:p>
        </w:tc>
      </w:tr>
      <w:tr>
        <w:trPr/>
        <w:tc>
          <w:tcPr>
            <w:tcW w:w="675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Additional Annual Retainer for Lead Independent Director &amp; Committee Chair</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62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r>
      <w:tr>
        <w:trPr/>
        <w:tc>
          <w:tcPr>
            <w:tcW w:w="675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Lead Independent Director</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62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40,000</w:t>
            </w:r>
          </w:p>
        </w:tc>
      </w:tr>
      <w:tr>
        <w:trPr/>
        <w:tc>
          <w:tcPr>
            <w:tcW w:w="675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Audit Committee</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62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35,000</w:t>
            </w:r>
          </w:p>
        </w:tc>
      </w:tr>
      <w:tr>
        <w:trPr/>
        <w:tc>
          <w:tcPr>
            <w:tcW w:w="675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Compensation Committee</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62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20,000</w:t>
            </w:r>
          </w:p>
        </w:tc>
      </w:tr>
      <w:tr>
        <w:trPr/>
        <w:tc>
          <w:tcPr>
            <w:tcW w:w="675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Finance Committee and Governance, Safety &amp; Environment Committee</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62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10,000</w:t>
            </w:r>
          </w:p>
        </w:tc>
      </w:tr>
      <w:tr>
        <w:trPr/>
        <w:tc>
          <w:tcPr>
            <w:tcW w:w="6751" w:type="dxa"/>
            <w:tcBorders>
              <w:bottom w:val="single" w:sz="2" w:space="0" w:color="D9D9D9"/>
            </w:tcBorders>
            <w:tcMar>
              <w:bottom w:w="28" w:type="dxa"/>
            </w:tcM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Grant of Restricted Share Units—Non</w:t>
              <w:noBreakHyphen/>
              <w:t>Employee Directors</w:t>
            </w:r>
            <w:r>
              <w:rPr>
                <w:rFonts w:ascii="Arial;Helvetica;sans-serif" w:hAnsi="Arial;Helvetica;sans-serif"/>
                <w:sz w:val="15"/>
              </w:rPr>
              <w:t>(1)</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621" w:type="dxa"/>
            <w:tcBorders>
              <w:bottom w:val="single" w:sz="2" w:space="0" w:color="D9D9D9"/>
            </w:tcBorders>
            <w:tcMar>
              <w:bottom w:w="28" w:type="dxa"/>
            </w:tcMar>
            <w:vAlign w:val="center"/>
          </w:tcPr>
          <w:p>
            <w:pPr>
              <w:pStyle w:val="TableContents"/>
              <w:bidi w:val="0"/>
              <w:spacing w:lineRule="auto" w:line="285" w:before="0" w:after="0"/>
              <w:ind w:left="0" w:right="70" w:hanging="0"/>
              <w:jc w:val="right"/>
              <w:rPr>
                <w:rFonts w:ascii="Arial;Helvetica;sans-serif" w:hAnsi="Arial;Helvetica;sans-serif"/>
                <w:sz w:val="20"/>
              </w:rPr>
            </w:pPr>
            <w:r>
              <w:rPr>
                <w:rFonts w:ascii="Arial;Helvetica;sans-serif" w:hAnsi="Arial;Helvetica;sans-serif"/>
                <w:sz w:val="20"/>
              </w:rPr>
              <w:t>210,000</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14"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Restricted share units are granted to each non-employee director. The restricted share units vest on the date first to occur of (i) the first anniversary of the date of grant or (ii) the annual general meeting next following the date of grant, subject to continued service through the vesting date. Vesting of the restricted share units is not subject to any performance measures.</w:t>
            </w:r>
          </w:p>
        </w:tc>
      </w:tr>
    </w:tbl>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 addition, we pay or reimburse our directors’ travel and incidental expenses incurred for attending Board of Directors, committee and shareholder meetings and for other Company business-related purposes.</w:t>
      </w:r>
    </w:p>
    <w:p>
      <w:pPr>
        <w:pStyle w:val="TextBody"/>
        <w:bidi w:val="0"/>
        <w:spacing w:lineRule="auto" w:line="285" w:before="0" w:after="20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P-70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Arial;Helvetica;sans-serif" w:hAnsi="Arial;Helvetica;sans-serif"/>
          <w:b/>
          <w:color w:val="ECA44A"/>
          <w:sz w:val="40"/>
        </w:rPr>
      </w:pPr>
      <w:bookmarkStart w:id="120" w:name="DIRECTORCOMP"/>
      <w:bookmarkStart w:id="121" w:name="a2022DIRECTOR_305714"/>
      <w:bookmarkStart w:id="122" w:name="_42a17eeb_26e1_4979_b71e_bf5df9a2290b"/>
      <w:bookmarkEnd w:id="120"/>
      <w:bookmarkEnd w:id="121"/>
      <w:bookmarkEnd w:id="122"/>
      <w:r>
        <w:rPr>
          <w:rFonts w:ascii="Arial;Helvetica;sans-serif" w:hAnsi="Arial;Helvetica;sans-serif"/>
          <w:b/>
          <w:color w:val="ECA44A"/>
          <w:sz w:val="40"/>
        </w:rPr>
        <w:t>2025 DIRECTOR COMPENSATION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At the Board of Directors meeting held immediately after the 2025 Annual General Meeting of our shareholders, 82,353 restricted share units were granted to each non-employee director, in aggregate value equal to $210,000, based upon the average of the high and low sales prices of our shares for the 10 trading days immediately prior to the date of grant (calculated at $2.55 per share).</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Each non-employee director is required to acquire and retain a number of our shares and/or restricted share units at least equal in value to an amount five times the annual director retainer. Each non-employee director’s vested restricted share units generally are not settled until the non-employee director’s service with the Company ends.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following summarizes the compensation of our non-employee directors for 2025.</w:t>
      </w:r>
    </w:p>
    <w:p>
      <w:pPr>
        <w:pStyle w:val="TextBody"/>
        <w:bidi w:val="0"/>
        <w:spacing w:lineRule="auto" w:line="285" w:before="0" w:after="200"/>
        <w:ind w:left="0" w:right="0" w:hanging="0"/>
        <w:jc w:val="both"/>
        <w:rPr/>
      </w:pPr>
      <w:r>
        <w:rPr/>
        <w:t>​</w:t>
      </w:r>
    </w:p>
    <w:tbl>
      <w:tblPr>
        <w:tblW w:w="7315" w:type="dxa"/>
        <w:jc w:val="left"/>
        <w:tblInd w:w="0" w:type="dxa"/>
        <w:tblLayout w:type="fixed"/>
        <w:tblCellMar>
          <w:top w:w="0" w:type="dxa"/>
          <w:left w:w="0" w:type="dxa"/>
          <w:bottom w:w="0" w:type="dxa"/>
          <w:right w:w="0" w:type="dxa"/>
        </w:tblCellMar>
      </w:tblPr>
      <w:tblGrid>
        <w:gridCol w:w="2731"/>
        <w:gridCol w:w="109"/>
        <w:gridCol w:w="1246"/>
        <w:gridCol w:w="109"/>
        <w:gridCol w:w="796"/>
        <w:gridCol w:w="109"/>
        <w:gridCol w:w="1171"/>
        <w:gridCol w:w="109"/>
        <w:gridCol w:w="781"/>
        <w:gridCol w:w="154"/>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734185" cy="175260"/>
                      <wp:effectExtent l="0" t="0" r="0" b="0"/>
                      <wp:wrapNone/>
                      <wp:docPr id="181" name="Frame58"/>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82"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791210" cy="175260"/>
                      <wp:effectExtent l="0" t="0" r="0" b="0"/>
                      <wp:wrapNone/>
                      <wp:docPr id="183" name="Frame60"/>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84"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05460" cy="175260"/>
                      <wp:effectExtent l="0" t="0" r="0" b="0"/>
                      <wp:wrapNone/>
                      <wp:docPr id="185" name="Frame6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86"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743585" cy="175260"/>
                      <wp:effectExtent l="0" t="0" r="0" b="0"/>
                      <wp:wrapNone/>
                      <wp:docPr id="187" name="Frame64"/>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88"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95935" cy="175260"/>
                      <wp:effectExtent l="0" t="0" r="0" b="0"/>
                      <wp:wrapNone/>
                      <wp:docPr id="189" name="Frame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97790" cy="175260"/>
                      <wp:effectExtent l="0" t="0" r="0" b="0"/>
                      <wp:wrapNone/>
                      <wp:docPr id="190" name="Frame6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273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09"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24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FEES EARNED</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79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STOCK</w:t>
            </w:r>
          </w:p>
        </w:tc>
        <w:tc>
          <w:tcPr>
            <w:tcW w:w="109"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ALL OTHER</w:t>
            </w:r>
          </w:p>
        </w:tc>
        <w:tc>
          <w:tcPr>
            <w:tcW w:w="109"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8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54" w:type="dxa"/>
            <w:tcBorders/>
            <w:vAlign w:val="center"/>
          </w:tcPr>
          <w:p>
            <w:pPr>
              <w:pStyle w:val="TableContents"/>
              <w:bidi w:val="0"/>
              <w:spacing w:lineRule="auto" w:line="285" w:before="0" w:after="0"/>
              <w:ind w:left="0" w:right="0" w:hanging="0"/>
              <w:jc w:val="both"/>
              <w:rPr>
                <w:color w:val="4B4F54"/>
              </w:rPr>
            </w:pPr>
            <w:r>
              <w:rPr>
                <w:color w:val="4B4F54"/>
              </w:rPr>
              <w:t>​</w:t>
            </w:r>
          </w:p>
        </w:tc>
      </w:tr>
      <w:tr>
        <w:trPr/>
        <w:tc>
          <w:tcPr>
            <w:tcW w:w="273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09"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24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OR PAID IN CASH</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796" w:type="dxa"/>
            <w:tcBorders/>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Helvetica;sans-serif" w:hAnsi="Arial;Helvetica;sans-serif"/>
                <w:b/>
                <w:color w:val="4B4F54"/>
                <w:sz w:val="14"/>
              </w:rPr>
              <w:t>AWARDS</w:t>
            </w:r>
            <w:r>
              <w:rPr>
                <w:rFonts w:ascii="Arial;Helvetica;sans-serif" w:hAnsi="Arial;Helvetica;sans-serif"/>
                <w:b/>
                <w:color w:val="4B4F54"/>
                <w:sz w:val="11"/>
              </w:rPr>
              <w:t>(1)</w:t>
            </w:r>
          </w:p>
        </w:tc>
        <w:tc>
          <w:tcPr>
            <w:tcW w:w="109"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COMPENSATION</w:t>
            </w:r>
          </w:p>
        </w:tc>
        <w:tc>
          <w:tcPr>
            <w:tcW w:w="109"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8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TOTAL</w:t>
            </w:r>
          </w:p>
        </w:tc>
        <w:tc>
          <w:tcPr>
            <w:tcW w:w="154" w:type="dxa"/>
            <w:tcBorders/>
            <w:vAlign w:val="center"/>
          </w:tcPr>
          <w:p>
            <w:pPr>
              <w:pStyle w:val="TableContents"/>
              <w:bidi w:val="0"/>
              <w:spacing w:lineRule="auto" w:line="285" w:before="0" w:after="0"/>
              <w:ind w:left="0" w:right="0" w:hanging="0"/>
              <w:jc w:val="both"/>
              <w:rPr>
                <w:color w:val="4B4F54"/>
              </w:rPr>
            </w:pPr>
            <w:r>
              <w:rPr>
                <w:color w:val="4B4F54"/>
              </w:rPr>
              <w:t>​</w:t>
            </w:r>
          </w:p>
        </w:tc>
      </w:tr>
      <w:tr>
        <w:trPr/>
        <w:tc>
          <w:tcPr>
            <w:tcW w:w="2731"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4"/>
              </w:rPr>
            </w:pPr>
            <w:r>
              <w:rPr>
                <w:rFonts w:ascii="Arial;Helvetica;sans-serif" w:hAnsi="Arial;Helvetica;sans-serif"/>
                <w:b/>
                <w:color w:val="4B4F54"/>
                <w:sz w:val="14"/>
              </w:rPr>
              <w:t>NAME</w:t>
            </w:r>
          </w:p>
        </w:tc>
        <w:tc>
          <w:tcPr>
            <w:tcW w:w="109"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124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(U.S. $)</w:t>
            </w:r>
          </w:p>
        </w:tc>
        <w:tc>
          <w:tcPr>
            <w:tcW w:w="109"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79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(U.S. $)</w:t>
            </w:r>
          </w:p>
        </w:tc>
        <w:tc>
          <w:tcPr>
            <w:tcW w:w="109"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117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(U.S. $)</w:t>
            </w:r>
          </w:p>
        </w:tc>
        <w:tc>
          <w:tcPr>
            <w:tcW w:w="109"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78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(U.S. $)</w:t>
            </w:r>
          </w:p>
        </w:tc>
        <w:tc>
          <w:tcPr>
            <w:tcW w:w="154"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r>
      <w:tr>
        <w:trPr/>
        <w:tc>
          <w:tcPr>
            <w:tcW w:w="2731"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Glyn A. Barker</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24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120,000</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9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205,059</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8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325,059</w:t>
            </w:r>
          </w:p>
        </w:tc>
        <w:tc>
          <w:tcPr>
            <w:tcW w:w="154"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2731"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Vanessa C. L. Chang</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24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135,000</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9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205,059</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8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340,059</w:t>
            </w:r>
          </w:p>
        </w:tc>
        <w:tc>
          <w:tcPr>
            <w:tcW w:w="154"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2731"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Frederico F. Curado</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24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110,000</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9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205,059</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8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315,059</w:t>
            </w:r>
          </w:p>
        </w:tc>
        <w:tc>
          <w:tcPr>
            <w:tcW w:w="154"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2731"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Chadwick C. Deaton</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24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171,555</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9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205,059</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8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376,614</w:t>
            </w:r>
          </w:p>
        </w:tc>
        <w:tc>
          <w:tcPr>
            <w:tcW w:w="154"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2731"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 xml:space="preserve">Domenic J. “Nick” Dell’Osso, Jr. </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24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110,000</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9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205,059</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8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315,059</w:t>
            </w:r>
          </w:p>
        </w:tc>
        <w:tc>
          <w:tcPr>
            <w:tcW w:w="154"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2731"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Vincent J. Intrieri</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24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100,000</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9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205,059</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8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305,059</w:t>
            </w:r>
          </w:p>
        </w:tc>
        <w:tc>
          <w:tcPr>
            <w:tcW w:w="154"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2731"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William F. “Bill” Lacey</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24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58,493</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9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205,059</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8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263,552</w:t>
            </w:r>
          </w:p>
        </w:tc>
        <w:tc>
          <w:tcPr>
            <w:tcW w:w="154"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2731"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Samuel J. Merksamer</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24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100,000</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9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205,059</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8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305,059</w:t>
            </w:r>
          </w:p>
        </w:tc>
        <w:tc>
          <w:tcPr>
            <w:tcW w:w="154"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2731"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Frederik W. Mohn</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24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100,000</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9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205,059</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8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305,059</w:t>
            </w:r>
          </w:p>
        </w:tc>
        <w:tc>
          <w:tcPr>
            <w:tcW w:w="154"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2731"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Margareth Øvrum</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24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50,000</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9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78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50,000</w:t>
            </w:r>
          </w:p>
        </w:tc>
        <w:tc>
          <w:tcPr>
            <w:tcW w:w="154"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2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This represents the aggregate grant-date fair value under accounting standards for recognition of share-based compensation expense for restricted share units granted to our directors in 2025. For a discussion of our policies for estimating fair values of, and additional information about, our share-based awards, please see Notes to Consolidated Financial Statements—Note 2—Significant Accounting Policies and Note 14—Share-Based Compensation included in Item 8 of our annual report on Form 10 K for the fiscal year ended December 31, 2025.</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1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At the 2025 Annual General Shareholders Meeting, Ms. Øvrum withdrew her nomination as a director pursuant to the process outlined in the Company’s definitive proxy statement for the Annual General Meeting 2025 under Agenda Item 5. She completed her term of service at the 2025 Annual General Meeting.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P-71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Arial;Helvetica;sans-serif" w:hAnsi="Arial;Helvetica;sans-serif"/>
          <w:b/>
          <w:color w:val="ECA44A"/>
          <w:sz w:val="40"/>
        </w:rPr>
      </w:pPr>
      <w:bookmarkStart w:id="123" w:name="AUDITCOMMITTEEREPORT"/>
      <w:bookmarkStart w:id="124" w:name="_ceed221c_bca9_4d4d_9d19_1354a1187929"/>
      <w:bookmarkEnd w:id="123"/>
      <w:bookmarkEnd w:id="124"/>
      <w:r>
        <w:rPr>
          <w:rFonts w:ascii="Arial;Helvetica;sans-serif" w:hAnsi="Arial;Helvetica;sans-serif"/>
          <w:b/>
          <w:color w:val="ECA44A"/>
          <w:sz w:val="40"/>
        </w:rPr>
        <w:t>AUDIT COMMITTEE REPORT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Audit Committee, consisting of four independent directors, operates under the Audit Committee Charter as adopted by the Board of Directors, in overseeing:</w:t>
      </w:r>
    </w:p>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integrity of the financial reporting process resulting in the Company’s financial statements;</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Compliance with legal and regulatory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reporting and assurance process for sustainability disclosures that require third party assurance. It is noted that no third party assurance over sustainability disclosures was required in 2025 as a result of regulatory changes;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independence, qualifications and performance of the Company’s independent registered public accounting firm, Ernst &amp; Young LLP (“EY”); and</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performance of the internal audit function.</w:t>
            </w:r>
          </w:p>
        </w:tc>
      </w:tr>
    </w:tbl>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 xml:space="preserve">The Audit Committee also recommends our statutory auditor pursuant to the Swiss Code to the Board of Directors and to shareholders for approval at a general meeting of shareholders. </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 xml:space="preserve">The Audit Committee complied in 2025 with all the requirements described in its Charter, which is available on the Governance page of the Company’s website: </w:t>
      </w:r>
      <w:r>
        <w:rPr>
          <w:rFonts w:ascii="Arial;Helvetica;sans-serif" w:hAnsi="Arial;Helvetica;sans-serif"/>
          <w:color w:val="005670"/>
          <w:sz w:val="20"/>
        </w:rPr>
        <w:t>www.deepwater.com</w:t>
      </w:r>
      <w:r>
        <w:rPr>
          <w:rFonts w:ascii="Arial;Helvetica;sans-serif" w:hAnsi="Arial;Helvetica;sans-serif"/>
          <w:sz w:val="20"/>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Board of Directors has determined that all the members of the Audit Committee are independent, in accordance with criteria set by the NYSE and SEC and, are “financially literate” pursuant to NYSE rules. Further, all the members of the Audit Committee qualify as Audit Committee Financial Experts, as defined by SEC rules. In addition, the Board of Directors has determined that all the current members of the Audit Committee qualify under NYSE rules as having accounting or related financial management expertise.</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Management is responsible for the Company’s disclosure controls and procedures, internal controls and the financial reporting process, including the integrity and objectivity of the financial statements. The Audit Committee: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Reviewed the Company’s financial statements and financial reporting processes, including internal controls over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Reviewed and discussed with EY and management the Company’s audited financial statements included in the Annual Report;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Discussed various matters with EY, including matters required by the Public Company Accounting Oversight Board’s (“PCAOB”) “Communications with Audit Committees”;</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Reviewed and discussed with EY its report on internal control over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Oversaw the Company’s internal audit function, including the performance of the chief audit executive, internal audit plan, budget, resources and staffing;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Oversaw the Company’s Legal, Compliance and Ethics program, including helpline calls and investigations, and employee code of integrity;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Recommended to the Company’s Board of Directors that the Company’s audited financial statements for the year ended December 31, 2025, be included in the annual report on Form 10-K filing with the SEC.</w:t>
            </w:r>
          </w:p>
        </w:tc>
      </w:tr>
    </w:tbl>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The Audit Committee is responsible for the appointment, compensation and oversight of the independent registered accountant in accordance with SEC, PCAOB, and the Swiss Code. After a process to request a </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P-72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25" w:name="_d6b6b0fb_e434_4402_80f8_6746b3ef0a1e"/>
      <w:bookmarkStart w:id="126" w:name="_d6b6b0fb_e434_4402_80f8_6746b3ef0a1e"/>
      <w:bookmarkEnd w:id="126"/>
    </w:p>
    <w:tbl>
      <w:tblPr>
        <w:tblW w:w="2975" w:type="dxa"/>
        <w:jc w:val="left"/>
        <w:tblInd w:w="0" w:type="dxa"/>
        <w:tblLayout w:type="fixed"/>
        <w:tblCellMar>
          <w:top w:w="0" w:type="dxa"/>
          <w:left w:w="0" w:type="dxa"/>
          <w:bottom w:w="0" w:type="dxa"/>
          <w:right w:w="0" w:type="dxa"/>
        </w:tblCellMar>
      </w:tblPr>
      <w:tblGrid>
        <w:gridCol w:w="124"/>
        <w:gridCol w:w="2851"/>
      </w:tblGrid>
      <w:tr>
        <w:trPr/>
        <w:tc>
          <w:tcPr>
            <w:tcW w:w="124" w:type="dxa"/>
            <w:tcBorders/>
            <w:vAlign w:val="center"/>
          </w:tcPr>
          <w:p>
            <w:pPr>
              <w:pStyle w:val="TableContents"/>
              <w:bidi w:val="0"/>
              <w:spacing w:lineRule="auto" w:line="285" w:before="0" w:after="0"/>
              <w:ind w:left="0" w:right="0" w:hanging="0"/>
              <w:jc w:val="both"/>
              <w:rPr/>
            </w:pPr>
            <w:r>
              <w:rPr/>
              <w:t>​</w:t>
            </w:r>
          </w:p>
        </w:tc>
        <w:tc>
          <w:tcPr>
            <w:tcW w:w="285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285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AUDIT COMMITTEE REPORT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proposal from another independent accounting firm, the Audit Committee considered several factors in determining whether to reappoint EY as the Company’s independent registered public accountant, such as: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Qualifications including industry expertise, knowledge of the Company’s processes, global footprint, depth of experience in the countries where the Company’s finance, tax and accounting functions are located, and experience of the audit and tax teams;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Professional expertise in addressing complicated capital market transactions and the related accounting and disclosures</w:t>
            </w:r>
            <w:r>
              <w:rPr>
                <w:rFonts w:ascii="Arial;Helvetica;sans-serif" w:hAnsi="Arial;Helvetica;sans-serif"/>
                <w:b w:val="false"/>
                <w:i w:val="false"/>
                <w:caps w:val="false"/>
                <w:smallCaps w:val="false"/>
                <w:color w:val="005670"/>
                <w:sz w:val="20"/>
              </w:rPr>
              <w:t>;</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Performance including the quality of communication and their professional skepticism;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external audit firm’s internal processes for monitoring and maintaining independence, including reporting requirements from its professionals and consequences for violations;</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Length of service, which began in 1999;</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Results from PCAOB inspections and EY’s responses to inspection findings;</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EY’s firm-level internal control, the annual audit quality report and tone at the top;</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EY’s engagement-level audit quality characteristics;</w:t>
            </w:r>
          </w:p>
        </w:tc>
      </w:tr>
    </w:tbl>
    <w:tbl>
      <w:tblPr>
        <w:tblW w:w="7161" w:type="dxa"/>
        <w:jc w:val="left"/>
        <w:tblInd w:w="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67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Evaluation of EY’s services annually, including input from management; and</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Evaluation of the lead audit engagement partner’s second year in his required five-year rotation.</w:t>
            </w:r>
          </w:p>
        </w:tc>
      </w:tr>
    </w:tbl>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Audit Committee reviews and approves annually the scope, plans and fees for the annual audit, taking into consideration several factors including a breakdown of the services to be provided, proposed staffing, changes in the Company and industry from the prior year. The fee approval process balances the audit scope and hours required for a high-quality audit and driving efficiencies from both the Company and EY while compensating EY fairly. The Audit Committee considered the impact on the external auditor’s independence when evaluating all audit-related and permitted non-audit services, resulting in pre-approval of those services. A significant portion of the audit-related services involved services related to the Company’s financing transactions.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Agendas for Audit Committee meetings are developed with input from all Audit Committee members, management, the Chief Financial Officer, the Chief Accounting Officer, Vice President of Internal Audit, Controls and Compliance and EY. Quarterly meetings feature, among other things, reports on cybersecurity performance metrics and controls. The Audit Committee has periodic executive sessions with the Chief Financial Officer, Chief Legal Counsel, Vice President of Internal Audit, Controls and Compliance, and EY. The Audit Committee also regularly receives reports from management on select business processes to the extent that internal controls are impacted.</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Audit Committee met eight times in 2025 with regular executive sessions with EY, the Vice President, Internal Audit, Controls and Compliance, and other members of management.</w:t>
      </w:r>
    </w:p>
    <w:tbl>
      <w:tblPr>
        <w:tblW w:w="3950" w:type="dxa"/>
        <w:jc w:val="left"/>
        <w:tblInd w:w="0" w:type="dxa"/>
        <w:tblLayout w:type="fixed"/>
        <w:tblCellMar>
          <w:top w:w="0" w:type="dxa"/>
          <w:left w:w="0" w:type="dxa"/>
          <w:bottom w:w="0" w:type="dxa"/>
          <w:right w:w="0" w:type="dxa"/>
        </w:tblCellMar>
      </w:tblPr>
      <w:tblGrid>
        <w:gridCol w:w="124"/>
        <w:gridCol w:w="3826"/>
      </w:tblGrid>
      <w:tr>
        <w:trPr/>
        <w:tc>
          <w:tcPr>
            <w:tcW w:w="124" w:type="dxa"/>
            <w:tcBorders/>
            <w:vAlign w:val="center"/>
          </w:tcPr>
          <w:p>
            <w:pPr>
              <w:pStyle w:val="TableContents"/>
              <w:pBdr/>
              <w:bidi w:val="0"/>
              <w:spacing w:lineRule="auto" w:line="285" w:before="0" w:after="0"/>
              <w:ind w:left="0" w:right="0" w:hanging="0"/>
              <w:jc w:val="both"/>
              <w:rPr/>
            </w:pPr>
            <w:r>
              <w:rPr/>
              <w:t>​</w:t>
            </w:r>
          </w:p>
        </w:tc>
        <w:tc>
          <w:tcPr>
            <w:tcW w:w="3826" w:type="dxa"/>
            <w:tcBorders/>
            <w:vAlign w:val="center"/>
          </w:tcPr>
          <w:p>
            <w:pPr>
              <w:pStyle w:val="TableContents"/>
              <w:bidi w:val="0"/>
              <w:spacing w:lineRule="auto" w:line="285" w:before="0" w:after="0"/>
              <w:ind w:left="0" w:right="0" w:hanging="0"/>
              <w:jc w:val="both"/>
              <w:rPr>
                <w:rFonts w:ascii="Arial;Helvetica;sans-serif" w:hAnsi="Arial;Helvetica;sans-serif"/>
                <w:b/>
                <w:color w:val="4B4F54"/>
                <w:sz w:val="20"/>
              </w:rPr>
            </w:pPr>
            <w:r>
              <w:rPr>
                <w:rFonts w:ascii="Arial;Helvetica;sans-serif" w:hAnsi="Arial;Helvetica;sans-serif"/>
                <w:b/>
                <w:color w:val="4B4F54"/>
                <w:sz w:val="20"/>
              </w:rPr>
              <w:t>MEMBERS OF THE AUDIT COMMITTEE</w:t>
            </w:r>
          </w:p>
        </w:tc>
      </w:tr>
      <w:tr>
        <w:trPr/>
        <w:tc>
          <w:tcPr>
            <w:tcW w:w="124" w:type="dxa"/>
            <w:tcBorders/>
            <w:vAlign w:val="center"/>
          </w:tcPr>
          <w:p>
            <w:pPr>
              <w:pStyle w:val="TableContents"/>
              <w:pBdr/>
              <w:bidi w:val="0"/>
              <w:spacing w:lineRule="auto" w:line="285" w:before="0" w:after="0"/>
              <w:ind w:left="0" w:right="0" w:hanging="0"/>
              <w:jc w:val="both"/>
              <w:rPr/>
            </w:pPr>
            <w:r>
              <w:rPr/>
              <w:t>​</w:t>
            </w:r>
          </w:p>
        </w:tc>
        <w:tc>
          <w:tcPr>
            <w:tcW w:w="3826" w:type="dxa"/>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pBdr/>
              <w:bidi w:val="0"/>
              <w:spacing w:lineRule="auto" w:line="285" w:before="0" w:after="0"/>
              <w:ind w:left="0" w:right="0" w:hanging="0"/>
              <w:jc w:val="both"/>
              <w:rPr/>
            </w:pPr>
            <w:r>
              <w:rPr/>
              <w:t>​</w:t>
            </w:r>
          </w:p>
        </w:tc>
        <w:tc>
          <w:tcPr>
            <w:tcW w:w="382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Vanessa C.L. Chang, Chair</w:t>
              <w:br/>
              <w:t>Glyn A. Barker</w:t>
            </w:r>
          </w:p>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William F. “Bill” Lacey</w:t>
            </w:r>
          </w:p>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Samuel J. Merksamer</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P-73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Arial;Helvetica;sans-serif" w:hAnsi="Arial;Helvetica;sans-serif"/>
          <w:b/>
          <w:color w:val="ECA44A"/>
          <w:sz w:val="40"/>
        </w:rPr>
      </w:pPr>
      <w:bookmarkStart w:id="127" w:name="SECURITYOWNERSHIPOFCERTAINBENEFICIALOWNE"/>
      <w:bookmarkStart w:id="128" w:name="_9977c499_1dc3_4000_a77e_8ab892189cc1"/>
      <w:bookmarkEnd w:id="127"/>
      <w:bookmarkEnd w:id="128"/>
      <w:r>
        <w:rPr>
          <w:rFonts w:ascii="Arial;Helvetica;sans-serif" w:hAnsi="Arial;Helvetica;sans-serif"/>
          <w:b/>
          <w:color w:val="ECA44A"/>
          <w:sz w:val="40"/>
        </w:rPr>
        <w:t>SECURITY OWNERSHIP OF CERTAIN BENEFICIAL OWNERS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Listed below are the only persons who, to the knowledge of the Company, may be deemed to be beneficial owners, as of March 4, 2026, of more than 5% of the Company’s shares.</w:t>
      </w:r>
    </w:p>
    <w:tbl>
      <w:tblPr>
        <w:tblW w:w="8555" w:type="dxa"/>
        <w:jc w:val="left"/>
        <w:tblInd w:w="0" w:type="dxa"/>
        <w:tblLayout w:type="fixed"/>
        <w:tblCellMar>
          <w:top w:w="0" w:type="dxa"/>
          <w:left w:w="0" w:type="dxa"/>
          <w:bottom w:w="0" w:type="dxa"/>
          <w:right w:w="0" w:type="dxa"/>
        </w:tblCellMar>
      </w:tblPr>
      <w:tblGrid>
        <w:gridCol w:w="3916"/>
        <w:gridCol w:w="346"/>
        <w:gridCol w:w="1981"/>
        <w:gridCol w:w="346"/>
        <w:gridCol w:w="196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486660" cy="175260"/>
                      <wp:effectExtent l="0" t="0" r="0" b="0"/>
                      <wp:wrapNone/>
                      <wp:docPr id="191" name="Frame68"/>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192"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257935" cy="175260"/>
                      <wp:effectExtent l="0" t="0" r="0" b="0"/>
                      <wp:wrapNone/>
                      <wp:docPr id="193" name="Frame70"/>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194"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248410" cy="175260"/>
                      <wp:effectExtent l="0" t="0" r="0" b="0"/>
                      <wp:wrapNone/>
                      <wp:docPr id="195" name="Frame72"/>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391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198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SHARES</w:t>
            </w:r>
          </w:p>
        </w:tc>
        <w:tc>
          <w:tcPr>
            <w:tcW w:w="346" w:type="dxa"/>
            <w:tcBorders/>
            <w:vAlign w:val="center"/>
          </w:tcPr>
          <w:p>
            <w:pPr>
              <w:pStyle w:val="TableContents"/>
              <w:bidi w:val="0"/>
              <w:spacing w:lineRule="auto" w:line="285" w:before="0" w:after="0"/>
              <w:ind w:left="0" w:right="0" w:hanging="0"/>
              <w:jc w:val="both"/>
              <w:rPr>
                <w:color w:val="4B4F54"/>
              </w:rPr>
            </w:pPr>
            <w:r>
              <w:rPr>
                <w:color w:val="4B4F54"/>
              </w:rPr>
              <w:t>  ​ ​ ​</w:t>
            </w:r>
          </w:p>
        </w:tc>
        <w:tc>
          <w:tcPr>
            <w:tcW w:w="1966" w:type="dxa"/>
            <w:tcBorders/>
            <w:vAlign w:val="center"/>
          </w:tcPr>
          <w:p>
            <w:pPr>
              <w:pStyle w:val="TableContents"/>
              <w:bidi w:val="0"/>
              <w:spacing w:lineRule="auto" w:line="285" w:before="0" w:after="0"/>
              <w:ind w:left="0" w:right="0" w:hanging="0"/>
              <w:jc w:val="center"/>
              <w:rPr>
                <w:color w:val="4B4F54"/>
              </w:rPr>
            </w:pPr>
            <w:r>
              <w:rPr>
                <w:color w:val="4B4F54"/>
              </w:rPr>
              <w:t>​</w:t>
            </w:r>
          </w:p>
        </w:tc>
      </w:tr>
      <w:tr>
        <w:trPr/>
        <w:tc>
          <w:tcPr>
            <w:tcW w:w="391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6"/>
              </w:rPr>
            </w:pPr>
            <w:r>
              <w:rPr>
                <w:rFonts w:ascii="Arial;Helvetica;sans-serif" w:hAnsi="Arial;Helvetica;sans-serif"/>
                <w:b/>
                <w:color w:val="4B4F54"/>
                <w:sz w:val="16"/>
              </w:rPr>
              <w:t>NAME AND ADDRESS OF BENEFICIAL OWNER</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198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BENEFICIALLY OWNED</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1966" w:type="dxa"/>
            <w:tcBorders>
              <w:bottom w:val="single" w:sz="12" w:space="0" w:color="ECA44A"/>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6"/>
              </w:rPr>
            </w:pPr>
            <w:r>
              <w:rPr>
                <w:rFonts w:ascii="Arial;Helvetica;sans-serif" w:hAnsi="Arial;Helvetica;sans-serif"/>
                <w:b/>
                <w:color w:val="4B4F54"/>
                <w:sz w:val="16"/>
              </w:rPr>
              <w:t>PERCENT OF CLASS</w:t>
            </w:r>
            <w:r>
              <w:rPr>
                <w:rFonts w:ascii="Arial;Helvetica;sans-serif" w:hAnsi="Arial;Helvetica;sans-serif"/>
                <w:b/>
                <w:color w:val="4B4F54"/>
                <w:sz w:val="12"/>
              </w:rPr>
              <w:t>(1)</w:t>
            </w:r>
          </w:p>
        </w:tc>
      </w:tr>
      <w:tr>
        <w:trPr/>
        <w:tc>
          <w:tcPr>
            <w:tcW w:w="3916"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Perestroika AS, Perestroika (Cyprus) Ltd.</w:t>
            </w:r>
            <w:r>
              <w:rPr>
                <w:rFonts w:ascii="Arial;Helvetica;sans-serif" w:hAnsi="Arial;Helvetica;sans-serif"/>
                <w:sz w:val="15"/>
              </w:rPr>
              <w:t>(2)</w:t>
            </w:r>
          </w:p>
        </w:tc>
        <w:tc>
          <w:tcPr>
            <w:tcW w:w="346" w:type="dxa"/>
            <w:tcBorders/>
            <w:vAlign w:val="center"/>
          </w:tcPr>
          <w:p>
            <w:pPr>
              <w:pStyle w:val="TableContents"/>
              <w:bidi w:val="0"/>
              <w:spacing w:lineRule="auto" w:line="285" w:before="0" w:after="0"/>
              <w:ind w:left="0" w:right="0" w:hanging="0"/>
              <w:jc w:val="both"/>
              <w:rPr/>
            </w:pPr>
            <w:r>
              <w:rPr/>
              <w:t>​</w:t>
            </w:r>
          </w:p>
        </w:tc>
        <w:tc>
          <w:tcPr>
            <w:tcW w:w="19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1966" w:type="dxa"/>
            <w:tcBorders/>
            <w:vAlign w:val="center"/>
          </w:tcPr>
          <w:p>
            <w:pPr>
              <w:pStyle w:val="TableContents"/>
              <w:bidi w:val="0"/>
              <w:spacing w:lineRule="auto" w:line="285" w:before="0" w:after="0"/>
              <w:ind w:left="0" w:right="0" w:hanging="0"/>
              <w:jc w:val="right"/>
              <w:rPr/>
            </w:pPr>
            <w:r>
              <w:rPr/>
              <w:t>​</w:t>
            </w:r>
          </w:p>
        </w:tc>
      </w:tr>
      <w:tr>
        <w:trPr/>
        <w:tc>
          <w:tcPr>
            <w:tcW w:w="3916" w:type="dxa"/>
            <w:tcBorders/>
            <w:vAlign w:val="center"/>
          </w:tcPr>
          <w:p>
            <w:pPr>
              <w:pStyle w:val="TableContents"/>
              <w:bidi w:val="0"/>
              <w:spacing w:lineRule="auto" w:line="285" w:before="0" w:after="0"/>
              <w:ind w:left="0" w:right="0" w:hanging="0"/>
              <w:jc w:val="both"/>
              <w:rPr/>
            </w:pPr>
            <w:r>
              <w:rPr/>
              <w:t>  ​ ​</w:t>
            </w:r>
            <w:r>
              <w:rPr>
                <w:rFonts w:ascii="Arial;Helvetica;sans-serif" w:hAnsi="Arial;Helvetica;sans-serif"/>
                <w:sz w:val="20"/>
              </w:rPr>
              <w:t>Statminister Michelsensvei 38</w:t>
            </w:r>
          </w:p>
        </w:tc>
        <w:tc>
          <w:tcPr>
            <w:tcW w:w="346" w:type="dxa"/>
            <w:tcBorders/>
            <w:vAlign w:val="center"/>
          </w:tcPr>
          <w:p>
            <w:pPr>
              <w:pStyle w:val="TableContents"/>
              <w:bidi w:val="0"/>
              <w:spacing w:lineRule="auto" w:line="285" w:before="0" w:after="0"/>
              <w:ind w:left="0" w:right="0" w:hanging="0"/>
              <w:jc w:val="both"/>
              <w:rPr/>
            </w:pPr>
            <w:r>
              <w:rPr/>
              <w:t> </w:t>
            </w:r>
          </w:p>
        </w:tc>
        <w:tc>
          <w:tcPr>
            <w:tcW w:w="19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1966" w:type="dxa"/>
            <w:tcBorders/>
            <w:vAlign w:val="center"/>
          </w:tcPr>
          <w:p>
            <w:pPr>
              <w:pStyle w:val="TableContents"/>
              <w:bidi w:val="0"/>
              <w:spacing w:lineRule="auto" w:line="285" w:before="0" w:after="0"/>
              <w:ind w:left="0" w:right="0" w:hanging="0"/>
              <w:jc w:val="right"/>
              <w:rPr/>
            </w:pPr>
            <w:r>
              <w:rPr/>
              <w:t>​</w:t>
            </w:r>
          </w:p>
        </w:tc>
      </w:tr>
      <w:tr>
        <w:trPr/>
        <w:tc>
          <w:tcPr>
            <w:tcW w:w="3916" w:type="dxa"/>
            <w:tcBorders/>
            <w:vAlign w:val="center"/>
          </w:tcPr>
          <w:p>
            <w:pPr>
              <w:pStyle w:val="TableContents"/>
              <w:bidi w:val="0"/>
              <w:spacing w:lineRule="auto" w:line="285" w:before="0" w:after="0"/>
              <w:ind w:left="0" w:right="0" w:hanging="0"/>
              <w:jc w:val="both"/>
              <w:rPr/>
            </w:pPr>
            <w:r>
              <w:rPr/>
              <w:t>  ​ ​</w:t>
            </w:r>
            <w:r>
              <w:rPr>
                <w:rFonts w:ascii="Arial;Helvetica;sans-serif" w:hAnsi="Arial;Helvetica;sans-serif"/>
                <w:sz w:val="20"/>
              </w:rPr>
              <w:t>5230 Paradis, Norway</w:t>
            </w:r>
          </w:p>
        </w:tc>
        <w:tc>
          <w:tcPr>
            <w:tcW w:w="346" w:type="dxa"/>
            <w:tcBorders/>
            <w:vAlign w:val="center"/>
          </w:tcPr>
          <w:p>
            <w:pPr>
              <w:pStyle w:val="TableContents"/>
              <w:bidi w:val="0"/>
              <w:spacing w:lineRule="auto" w:line="285" w:before="0" w:after="0"/>
              <w:ind w:left="0" w:right="0" w:hanging="0"/>
              <w:jc w:val="both"/>
              <w:rPr/>
            </w:pPr>
            <w:r>
              <w:rPr/>
              <w:t>​</w:t>
            </w:r>
          </w:p>
        </w:tc>
        <w:tc>
          <w:tcPr>
            <w:tcW w:w="1981"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1966" w:type="dxa"/>
            <w:tcBorders/>
            <w:vAlign w:val="center"/>
          </w:tcPr>
          <w:p>
            <w:pPr>
              <w:pStyle w:val="TableContents"/>
              <w:bidi w:val="0"/>
              <w:spacing w:lineRule="auto" w:line="285" w:before="0" w:after="0"/>
              <w:ind w:left="0" w:right="0" w:hanging="0"/>
              <w:jc w:val="right"/>
              <w:rPr/>
            </w:pPr>
            <w:r>
              <w:rPr/>
              <w:t>​</w:t>
            </w:r>
          </w:p>
        </w:tc>
      </w:tr>
      <w:tr>
        <w:trPr/>
        <w:tc>
          <w:tcPr>
            <w:tcW w:w="3916"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Frederik W. Mohn</w:t>
            </w:r>
            <w:r>
              <w:rPr>
                <w:rFonts w:ascii="Arial;Helvetica;sans-serif" w:hAnsi="Arial;Helvetica;sans-serif"/>
                <w:sz w:val="15"/>
              </w:rPr>
              <w:t xml:space="preserve">(2) </w:t>
            </w:r>
          </w:p>
        </w:tc>
        <w:tc>
          <w:tcPr>
            <w:tcW w:w="346" w:type="dxa"/>
            <w:tcBorders/>
            <w:vAlign w:val="center"/>
          </w:tcPr>
          <w:p>
            <w:pPr>
              <w:pStyle w:val="TableContents"/>
              <w:bidi w:val="0"/>
              <w:spacing w:lineRule="auto" w:line="285" w:before="0" w:after="0"/>
              <w:ind w:left="0" w:right="0" w:hanging="0"/>
              <w:jc w:val="both"/>
              <w:rPr/>
            </w:pPr>
            <w:r>
              <w:rPr/>
              <w:t>​</w:t>
            </w:r>
          </w:p>
        </w:tc>
        <w:tc>
          <w:tcPr>
            <w:tcW w:w="1981"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1966" w:type="dxa"/>
            <w:tcBorders/>
            <w:vAlign w:val="center"/>
          </w:tcPr>
          <w:p>
            <w:pPr>
              <w:pStyle w:val="TableContents"/>
              <w:bidi w:val="0"/>
              <w:spacing w:lineRule="auto" w:line="285" w:before="0" w:after="0"/>
              <w:ind w:left="0" w:right="0" w:hanging="0"/>
              <w:jc w:val="right"/>
              <w:rPr/>
            </w:pPr>
            <w:r>
              <w:rPr/>
              <w:t>​</w:t>
            </w:r>
          </w:p>
        </w:tc>
      </w:tr>
      <w:tr>
        <w:trPr/>
        <w:tc>
          <w:tcPr>
            <w:tcW w:w="3916" w:type="dxa"/>
            <w:tcBorders/>
            <w:vAlign w:val="center"/>
          </w:tcPr>
          <w:p>
            <w:pPr>
              <w:pStyle w:val="TableContents"/>
              <w:bidi w:val="0"/>
              <w:spacing w:lineRule="auto" w:line="285" w:before="0" w:after="0"/>
              <w:ind w:left="0" w:right="0" w:hanging="0"/>
              <w:jc w:val="both"/>
              <w:rPr/>
            </w:pPr>
            <w:r>
              <w:rPr/>
              <w:t>  ​ ​</w:t>
            </w:r>
            <w:r>
              <w:rPr>
                <w:rFonts w:ascii="Arial;Helvetica;sans-serif" w:hAnsi="Arial;Helvetica;sans-serif"/>
                <w:sz w:val="20"/>
              </w:rPr>
              <w:t>Statminister Michelsensvei 38</w:t>
            </w:r>
          </w:p>
        </w:tc>
        <w:tc>
          <w:tcPr>
            <w:tcW w:w="346" w:type="dxa"/>
            <w:tcBorders/>
            <w:vAlign w:val="center"/>
          </w:tcPr>
          <w:p>
            <w:pPr>
              <w:pStyle w:val="TableContents"/>
              <w:bidi w:val="0"/>
              <w:spacing w:lineRule="auto" w:line="285" w:before="0" w:after="0"/>
              <w:ind w:left="0" w:right="0" w:hanging="0"/>
              <w:jc w:val="both"/>
              <w:rPr/>
            </w:pPr>
            <w:r>
              <w:rPr/>
              <w:t>​</w:t>
            </w:r>
          </w:p>
        </w:tc>
        <w:tc>
          <w:tcPr>
            <w:tcW w:w="1981"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1966" w:type="dxa"/>
            <w:tcBorders/>
            <w:vAlign w:val="center"/>
          </w:tcPr>
          <w:p>
            <w:pPr>
              <w:pStyle w:val="TableContents"/>
              <w:bidi w:val="0"/>
              <w:spacing w:lineRule="auto" w:line="285" w:before="0" w:after="0"/>
              <w:ind w:left="0" w:right="0" w:hanging="0"/>
              <w:jc w:val="right"/>
              <w:rPr/>
            </w:pPr>
            <w:r>
              <w:rPr/>
              <w:t>​</w:t>
            </w:r>
          </w:p>
        </w:tc>
      </w:tr>
      <w:tr>
        <w:trPr/>
        <w:tc>
          <w:tcPr>
            <w:tcW w:w="391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 ​</w:t>
            </w:r>
            <w:r>
              <w:rPr>
                <w:rFonts w:ascii="Arial;Helvetica;sans-serif" w:hAnsi="Arial;Helvetica;sans-serif"/>
                <w:sz w:val="20"/>
              </w:rPr>
              <w:t>5230 Paradis, Norway</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98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96,918,301</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96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8.8%</w:t>
            </w:r>
          </w:p>
        </w:tc>
      </w:tr>
      <w:tr>
        <w:trPr/>
        <w:tc>
          <w:tcPr>
            <w:tcW w:w="3916"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BlackRock, Inc.</w:t>
            </w:r>
            <w:r>
              <w:rPr>
                <w:rFonts w:ascii="Arial;Helvetica;sans-serif" w:hAnsi="Arial;Helvetica;sans-serif"/>
                <w:sz w:val="15"/>
              </w:rPr>
              <w:t>(3)</w:t>
            </w:r>
          </w:p>
        </w:tc>
        <w:tc>
          <w:tcPr>
            <w:tcW w:w="346" w:type="dxa"/>
            <w:tcBorders/>
            <w:vAlign w:val="center"/>
          </w:tcPr>
          <w:p>
            <w:pPr>
              <w:pStyle w:val="TableContents"/>
              <w:bidi w:val="0"/>
              <w:spacing w:lineRule="auto" w:line="285" w:before="0" w:after="0"/>
              <w:ind w:left="0" w:right="0" w:hanging="0"/>
              <w:jc w:val="both"/>
              <w:rPr/>
            </w:pPr>
            <w:r>
              <w:rPr/>
              <w:t> </w:t>
            </w:r>
          </w:p>
        </w:tc>
        <w:tc>
          <w:tcPr>
            <w:tcW w:w="1981"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1966" w:type="dxa"/>
            <w:tcBorders/>
            <w:vAlign w:val="center"/>
          </w:tcPr>
          <w:p>
            <w:pPr>
              <w:pStyle w:val="TableContents"/>
              <w:bidi w:val="0"/>
              <w:spacing w:lineRule="auto" w:line="285" w:before="0" w:after="0"/>
              <w:ind w:left="0" w:right="0" w:hanging="0"/>
              <w:jc w:val="both"/>
              <w:rPr/>
            </w:pPr>
            <w:r>
              <w:rPr/>
              <w:t>​</w:t>
            </w:r>
          </w:p>
        </w:tc>
      </w:tr>
      <w:tr>
        <w:trPr/>
        <w:tc>
          <w:tcPr>
            <w:tcW w:w="3916" w:type="dxa"/>
            <w:tcBorders/>
            <w:vAlign w:val="center"/>
          </w:tcPr>
          <w:p>
            <w:pPr>
              <w:pStyle w:val="TableContents"/>
              <w:bidi w:val="0"/>
              <w:spacing w:lineRule="auto" w:line="285" w:before="0" w:after="0"/>
              <w:ind w:left="0" w:right="0" w:hanging="0"/>
              <w:jc w:val="both"/>
              <w:rPr/>
            </w:pPr>
            <w:r>
              <w:rPr/>
              <w:t>  ​ ​</w:t>
            </w:r>
            <w:r>
              <w:rPr>
                <w:rFonts w:ascii="Arial;Helvetica;sans-serif" w:hAnsi="Arial;Helvetica;sans-serif"/>
                <w:sz w:val="20"/>
              </w:rPr>
              <w:t>50 Hudson Yards</w:t>
            </w:r>
          </w:p>
        </w:tc>
        <w:tc>
          <w:tcPr>
            <w:tcW w:w="346" w:type="dxa"/>
            <w:tcBorders/>
            <w:vAlign w:val="center"/>
          </w:tcPr>
          <w:p>
            <w:pPr>
              <w:pStyle w:val="TableContents"/>
              <w:bidi w:val="0"/>
              <w:spacing w:lineRule="auto" w:line="285" w:before="0" w:after="0"/>
              <w:ind w:left="0" w:right="0" w:hanging="0"/>
              <w:jc w:val="both"/>
              <w:rPr/>
            </w:pPr>
            <w:r>
              <w:rPr/>
              <w:t>​</w:t>
            </w:r>
          </w:p>
        </w:tc>
        <w:tc>
          <w:tcPr>
            <w:tcW w:w="19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1966" w:type="dxa"/>
            <w:tcBorders/>
            <w:vAlign w:val="center"/>
          </w:tcPr>
          <w:p>
            <w:pPr>
              <w:pStyle w:val="TableContents"/>
              <w:bidi w:val="0"/>
              <w:spacing w:lineRule="auto" w:line="285" w:before="0" w:after="0"/>
              <w:ind w:left="0" w:right="0" w:hanging="0"/>
              <w:jc w:val="right"/>
              <w:rPr/>
            </w:pPr>
            <w:r>
              <w:rPr/>
              <w:t>​</w:t>
            </w:r>
          </w:p>
        </w:tc>
      </w:tr>
      <w:tr>
        <w:trPr/>
        <w:tc>
          <w:tcPr>
            <w:tcW w:w="391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 ​</w:t>
            </w:r>
            <w:r>
              <w:rPr>
                <w:rFonts w:ascii="Arial;Helvetica;sans-serif" w:hAnsi="Arial;Helvetica;sans-serif"/>
                <w:sz w:val="20"/>
              </w:rPr>
              <w:t>New York, NY 10001</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98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56,117,603</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96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5.1%</w:t>
            </w:r>
          </w:p>
        </w:tc>
      </w:tr>
      <w:tr>
        <w:trPr/>
        <w:tc>
          <w:tcPr>
            <w:tcW w:w="3916" w:type="dxa"/>
            <w:tcBorders/>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The Vanguard Group</w:t>
            </w:r>
            <w:r>
              <w:rPr>
                <w:rFonts w:ascii="Arial;Helvetica;sans-serif" w:hAnsi="Arial;Helvetica;sans-serif"/>
                <w:sz w:val="15"/>
              </w:rPr>
              <w:t>(4)</w:t>
            </w:r>
          </w:p>
        </w:tc>
        <w:tc>
          <w:tcPr>
            <w:tcW w:w="346" w:type="dxa"/>
            <w:tcBorders/>
            <w:vAlign w:val="center"/>
          </w:tcPr>
          <w:p>
            <w:pPr>
              <w:pStyle w:val="TableContents"/>
              <w:bidi w:val="0"/>
              <w:spacing w:lineRule="auto" w:line="285" w:before="0" w:after="0"/>
              <w:ind w:left="0" w:right="0" w:hanging="0"/>
              <w:jc w:val="both"/>
              <w:rPr/>
            </w:pPr>
            <w:r>
              <w:rPr/>
              <w:t> </w:t>
            </w:r>
          </w:p>
        </w:tc>
        <w:tc>
          <w:tcPr>
            <w:tcW w:w="1981"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1966" w:type="dxa"/>
            <w:tcBorders/>
            <w:vAlign w:val="center"/>
          </w:tcPr>
          <w:p>
            <w:pPr>
              <w:pStyle w:val="TableContents"/>
              <w:bidi w:val="0"/>
              <w:spacing w:lineRule="auto" w:line="285" w:before="0" w:after="0"/>
              <w:ind w:left="0" w:right="0" w:hanging="0"/>
              <w:jc w:val="both"/>
              <w:rPr/>
            </w:pPr>
            <w:r>
              <w:rPr/>
              <w:t>​</w:t>
            </w:r>
          </w:p>
        </w:tc>
      </w:tr>
      <w:tr>
        <w:trPr/>
        <w:tc>
          <w:tcPr>
            <w:tcW w:w="3916" w:type="dxa"/>
            <w:tcBorders/>
            <w:vAlign w:val="center"/>
          </w:tcPr>
          <w:p>
            <w:pPr>
              <w:pStyle w:val="TableContents"/>
              <w:bidi w:val="0"/>
              <w:spacing w:lineRule="auto" w:line="285" w:before="0" w:after="0"/>
              <w:ind w:left="0" w:right="0" w:hanging="0"/>
              <w:jc w:val="both"/>
              <w:rPr/>
            </w:pPr>
            <w:r>
              <w:rPr/>
              <w:t>  ​ ​</w:t>
            </w:r>
            <w:r>
              <w:rPr>
                <w:rFonts w:ascii="Arial;Helvetica;sans-serif" w:hAnsi="Arial;Helvetica;sans-serif"/>
                <w:sz w:val="20"/>
              </w:rPr>
              <w:t>100 Vanguard Blvd.</w:t>
            </w:r>
          </w:p>
        </w:tc>
        <w:tc>
          <w:tcPr>
            <w:tcW w:w="346" w:type="dxa"/>
            <w:tcBorders/>
            <w:vAlign w:val="center"/>
          </w:tcPr>
          <w:p>
            <w:pPr>
              <w:pStyle w:val="TableContents"/>
              <w:bidi w:val="0"/>
              <w:spacing w:lineRule="auto" w:line="285" w:before="0" w:after="0"/>
              <w:ind w:left="0" w:right="0" w:hanging="0"/>
              <w:jc w:val="both"/>
              <w:rPr/>
            </w:pPr>
            <w:r>
              <w:rPr/>
              <w:t>​</w:t>
            </w:r>
          </w:p>
        </w:tc>
        <w:tc>
          <w:tcPr>
            <w:tcW w:w="19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1966" w:type="dxa"/>
            <w:tcBorders/>
            <w:vAlign w:val="center"/>
          </w:tcPr>
          <w:p>
            <w:pPr>
              <w:pStyle w:val="TableContents"/>
              <w:bidi w:val="0"/>
              <w:spacing w:lineRule="auto" w:line="285" w:before="0" w:after="0"/>
              <w:ind w:left="0" w:right="0" w:hanging="0"/>
              <w:jc w:val="right"/>
              <w:rPr/>
            </w:pPr>
            <w:r>
              <w:rPr/>
              <w:t>​</w:t>
            </w:r>
          </w:p>
        </w:tc>
      </w:tr>
      <w:tr>
        <w:trPr/>
        <w:tc>
          <w:tcPr>
            <w:tcW w:w="391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 ​</w:t>
            </w:r>
            <w:r>
              <w:rPr>
                <w:rFonts w:ascii="Arial;Helvetica;sans-serif" w:hAnsi="Arial;Helvetica;sans-serif"/>
                <w:sz w:val="20"/>
              </w:rPr>
              <w:t>Malvern, PA 19355</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98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68,551,328</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966" w:type="dxa"/>
            <w:tcBorders>
              <w:bottom w:val="single" w:sz="2" w:space="0" w:color="D9D9D9"/>
            </w:tcBorders>
            <w:tcMar>
              <w:bottom w:w="28" w:type="dxa"/>
            </w:tcMar>
            <w:vAlign w:val="center"/>
          </w:tcPr>
          <w:p>
            <w:pPr>
              <w:pStyle w:val="TableContents"/>
              <w:bidi w:val="0"/>
              <w:spacing w:lineRule="auto" w:line="285" w:before="0" w:after="0"/>
              <w:ind w:left="0" w:right="60" w:hanging="0"/>
              <w:jc w:val="right"/>
              <w:rPr>
                <w:rFonts w:ascii="Arial;Helvetica;sans-serif" w:hAnsi="Arial;Helvetica;sans-serif"/>
                <w:sz w:val="20"/>
              </w:rPr>
            </w:pPr>
            <w:r>
              <w:rPr>
                <w:rFonts w:ascii="Arial;Helvetica;sans-serif" w:hAnsi="Arial;Helvetica;sans-serif"/>
                <w:sz w:val="20"/>
              </w:rPr>
              <w:t>6.2%</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08"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Unless otherwise required by applicable rules, the percentage indicated is based upon 1,106,750,627 Company shares deemed to be outstanding as of March 4, 2026, which exclude treasury shares held by the Company or our subsidiaries as of such date or issued into treasury thereafter.</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number of shares and associated percent of class includes information based on the Schedule 13D/A filed with the SEC on February 11, 2026, by Mr. Frederik W. Mohn, Perestroika (Cyprus) Ltd. and Perestroika AS, Form 4 filings by Mr. Mohn, Perestroika (Cyprus) Ltd. and Perestroika AS, and information given to us by Mr. Mohn. According to such filings and information, Mr. Mohn has sole voting power and sole dispositive power with regard to 343,407 shares, which consists of: (a) 22,148 shares individually owned by Mr. Mohn; and (b) 321,259 vested share units Mr. Mohn has the right to receive based upon his service as a director of Transocean Ltd. The total shares beneficially owned by Mr. Mohn also includes 96,574,894 shares held directly by Perestroika (Cyprus) Ltd.</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990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number of shares is based upon the Schedule 13G filed with the SEC on April 23, 2025, by BlackRock, Inc. According to the filing, BlackRock, Inc. has sole voting power with regard to 54,509,820 shares, and sole dispositive power with regard to 56,117,603 shares.</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w:t>
            </w:r>
          </w:p>
        </w:tc>
        <w:tc>
          <w:tcPr>
            <w:tcW w:w="9912"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number of shares is based upon the Schedule 13G/A filed with the SEC on February 13, 2024, by The Vanguard Group. According to the filing, The Vanguard Group has shared voting power with regard to 143,364 shares, sole dispositive power with regard to 67,736,275 shares and shared dispositive power with regard to 815,053 shares.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P-74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Arial;Helvetica;sans-serif" w:hAnsi="Arial;Helvetica;sans-serif"/>
          <w:b/>
          <w:color w:val="ECA44A"/>
          <w:sz w:val="40"/>
        </w:rPr>
      </w:pPr>
      <w:bookmarkStart w:id="129" w:name="SECURITYOWNERSHIPOFDIRECTORSANDEXECUTIVE"/>
      <w:bookmarkStart w:id="130" w:name="_e1a53616_3418_464b_ba60_70791bb8767d"/>
      <w:bookmarkEnd w:id="129"/>
      <w:bookmarkEnd w:id="130"/>
      <w:r>
        <w:rPr>
          <w:rFonts w:ascii="Arial;Helvetica;sans-serif" w:hAnsi="Arial;Helvetica;sans-serif"/>
          <w:b/>
          <w:color w:val="ECA44A"/>
          <w:sz w:val="40"/>
        </w:rPr>
        <w:t>SECURITY OWNERSHIP OF DIRECTORS AND EXECUTIVE OFFICERS</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table below shows how many shares each of our directors and nominees, each of the Named Executive Officers included in the summary compensation section below and all directors and executive officers as a group beneficially owned as of March 4, 2026.</w:t>
      </w:r>
    </w:p>
    <w:p>
      <w:pPr>
        <w:pStyle w:val="TextBody"/>
        <w:bidi w:val="0"/>
        <w:spacing w:lineRule="auto" w:line="285" w:before="0" w:after="2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472"/>
        <w:gridCol w:w="286"/>
        <w:gridCol w:w="1171"/>
        <w:gridCol w:w="286"/>
        <w:gridCol w:w="1138"/>
        <w:gridCol w:w="286"/>
        <w:gridCol w:w="1201"/>
        <w:gridCol w:w="286"/>
        <w:gridCol w:w="1079"/>
      </w:tblGrid>
      <w:tr>
        <w:trPr/>
        <w:tc>
          <w:tcPr>
            <w:tcW w:w="4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839720" cy="175260"/>
                      <wp:effectExtent l="0" t="0" r="0" b="0"/>
                      <wp:wrapNone/>
                      <wp:docPr id="196" name="Frame73"/>
                      <a:graphic xmlns:a="http://schemas.openxmlformats.org/drawingml/2006/main">
                        <a:graphicData uri="http://schemas.microsoft.com/office/word/2010/wordprocessingShape">
                          <wps:wsp>
                            <wps:cNvSpPr txBox="1"/>
                            <wps:spPr>
                              <a:xfrm>
                                <a:off x="0" y="0"/>
                                <a:ext cx="283972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81610" cy="175260"/>
                      <wp:effectExtent l="0" t="0" r="0" b="0"/>
                      <wp:wrapNone/>
                      <wp:docPr id="197" name="Frame7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743585" cy="175260"/>
                      <wp:effectExtent l="0" t="0" r="0" b="0"/>
                      <wp:wrapNone/>
                      <wp:docPr id="198" name="Frame75"/>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81610" cy="175260"/>
                      <wp:effectExtent l="0" t="0" r="0" b="0"/>
                      <wp:wrapNone/>
                      <wp:docPr id="199" name="Frame7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722630" cy="175260"/>
                      <wp:effectExtent l="0" t="0" r="0" b="0"/>
                      <wp:wrapNone/>
                      <wp:docPr id="200" name="Frame77"/>
                      <a:graphic xmlns:a="http://schemas.openxmlformats.org/drawingml/2006/main">
                        <a:graphicData uri="http://schemas.microsoft.com/office/word/2010/wordprocessingShape">
                          <wps:wsp>
                            <wps:cNvSpPr txBox="1"/>
                            <wps:spPr>
                              <a:xfrm>
                                <a:off x="0" y="0"/>
                                <a:ext cx="72263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81610" cy="175260"/>
                      <wp:effectExtent l="0" t="0" r="0" b="0"/>
                      <wp:wrapNone/>
                      <wp:docPr id="201" name="Frame7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762635" cy="175260"/>
                      <wp:effectExtent l="0" t="0" r="0" b="0"/>
                      <wp:wrapNone/>
                      <wp:docPr id="202" name="Frame79"/>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81610" cy="175260"/>
                      <wp:effectExtent l="0" t="0" r="0" b="0"/>
                      <wp:wrapNone/>
                      <wp:docPr id="203" name="Frame8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85165" cy="175260"/>
                      <wp:effectExtent l="0" t="0" r="0" b="0"/>
                      <wp:wrapNone/>
                      <wp:docPr id="204" name="Frame81"/>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4472"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  ​ ​</w:t>
            </w:r>
          </w:p>
        </w:tc>
        <w:tc>
          <w:tcPr>
            <w:tcW w:w="117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  ​ ​</w:t>
            </w:r>
          </w:p>
        </w:tc>
        <w:tc>
          <w:tcPr>
            <w:tcW w:w="1138"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SHARES</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  ​ ​</w:t>
            </w:r>
          </w:p>
        </w:tc>
        <w:tc>
          <w:tcPr>
            <w:tcW w:w="120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  ​ ​</w:t>
            </w:r>
          </w:p>
        </w:tc>
        <w:tc>
          <w:tcPr>
            <w:tcW w:w="1079" w:type="dxa"/>
            <w:tcBorders/>
            <w:vAlign w:val="center"/>
          </w:tcPr>
          <w:p>
            <w:pPr>
              <w:pStyle w:val="TableContents"/>
              <w:bidi w:val="0"/>
              <w:spacing w:lineRule="auto" w:line="285" w:before="0" w:after="0"/>
              <w:ind w:left="0" w:right="0" w:hanging="0"/>
              <w:jc w:val="center"/>
              <w:rPr>
                <w:color w:val="4B4F54"/>
              </w:rPr>
            </w:pPr>
            <w:r>
              <w:rPr>
                <w:color w:val="4B4F54"/>
              </w:rPr>
              <w:t>​</w:t>
            </w:r>
          </w:p>
        </w:tc>
      </w:tr>
      <w:tr>
        <w:trPr/>
        <w:tc>
          <w:tcPr>
            <w:tcW w:w="4472"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7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38"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SUBJECT TO</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20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79" w:type="dxa"/>
            <w:tcBorders/>
            <w:vAlign w:val="center"/>
          </w:tcPr>
          <w:p>
            <w:pPr>
              <w:pStyle w:val="TableContents"/>
              <w:bidi w:val="0"/>
              <w:spacing w:lineRule="auto" w:line="285" w:before="0" w:after="0"/>
              <w:ind w:left="0" w:right="0" w:hanging="0"/>
              <w:jc w:val="center"/>
              <w:rPr>
                <w:color w:val="4B4F54"/>
              </w:rPr>
            </w:pPr>
            <w:r>
              <w:rPr>
                <w:color w:val="4B4F54"/>
              </w:rPr>
              <w:t>​</w:t>
            </w:r>
          </w:p>
        </w:tc>
      </w:tr>
      <w:tr>
        <w:trPr/>
        <w:tc>
          <w:tcPr>
            <w:tcW w:w="4472"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7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38"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RIGHT TO</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20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TOTAL</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79" w:type="dxa"/>
            <w:tcBorders/>
            <w:vAlign w:val="center"/>
          </w:tcPr>
          <w:p>
            <w:pPr>
              <w:pStyle w:val="TableContents"/>
              <w:bidi w:val="0"/>
              <w:spacing w:lineRule="auto" w:line="285" w:before="0" w:after="0"/>
              <w:ind w:left="0" w:right="0" w:hanging="0"/>
              <w:jc w:val="center"/>
              <w:rPr/>
            </w:pPr>
            <w:r>
              <w:rPr/>
              <w:t> </w:t>
            </w:r>
          </w:p>
        </w:tc>
      </w:tr>
      <w:tr>
        <w:trPr/>
        <w:tc>
          <w:tcPr>
            <w:tcW w:w="4472"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7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38"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ACQUIRE</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20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SHARES</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79" w:type="dxa"/>
            <w:tcBorders/>
            <w:vAlign w:val="center"/>
          </w:tcPr>
          <w:p>
            <w:pPr>
              <w:pStyle w:val="TableContents"/>
              <w:bidi w:val="0"/>
              <w:spacing w:lineRule="auto" w:line="285" w:before="0" w:after="0"/>
              <w:ind w:left="0" w:right="0" w:hanging="0"/>
              <w:jc w:val="center"/>
              <w:rPr/>
            </w:pPr>
            <w:r>
              <w:rPr/>
              <w:t> </w:t>
            </w:r>
          </w:p>
        </w:tc>
      </w:tr>
      <w:tr>
        <w:trPr/>
        <w:tc>
          <w:tcPr>
            <w:tcW w:w="4472"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SHARES</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38"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BENEFICIAL</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20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BENEFICIALLY</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79"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PERCENT OF</w:t>
            </w:r>
          </w:p>
        </w:tc>
      </w:tr>
      <w:tr>
        <w:trPr/>
        <w:tc>
          <w:tcPr>
            <w:tcW w:w="4472"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5"/>
              </w:rPr>
            </w:pPr>
            <w:r>
              <w:rPr>
                <w:rFonts w:ascii="Arial;Helvetica;sans-serif" w:hAnsi="Arial;Helvetica;sans-serif"/>
                <w:b/>
                <w:color w:val="4B4F54"/>
                <w:sz w:val="15"/>
              </w:rPr>
              <w:t>NAME</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71" w:type="dxa"/>
            <w:tcBorders>
              <w:bottom w:val="single" w:sz="12" w:space="0" w:color="ECA44A"/>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Helvetica;sans-serif" w:hAnsi="Arial;Helvetica;sans-serif"/>
                <w:b/>
                <w:color w:val="4B4F54"/>
                <w:sz w:val="15"/>
              </w:rPr>
              <w:t>OWNED</w:t>
            </w:r>
            <w:r>
              <w:rPr>
                <w:rFonts w:ascii="Arial;Helvetica;sans-serif" w:hAnsi="Arial;Helvetica;sans-serif"/>
                <w:b/>
                <w:color w:val="4B4F54"/>
                <w:sz w:val="11"/>
              </w:rPr>
              <w:t>(1)</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38" w:type="dxa"/>
            <w:tcBorders>
              <w:bottom w:val="single" w:sz="12" w:space="0" w:color="ECA44A"/>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Helvetica;sans-serif" w:hAnsi="Arial;Helvetica;sans-serif"/>
                <w:b/>
                <w:color w:val="4B4F54"/>
                <w:sz w:val="15"/>
              </w:rPr>
              <w:t>OWNERSHIP</w:t>
            </w:r>
            <w:r>
              <w:rPr>
                <w:rFonts w:ascii="Arial;Helvetica;sans-serif" w:hAnsi="Arial;Helvetica;sans-serif"/>
                <w:b/>
                <w:color w:val="4B4F54"/>
                <w:sz w:val="11"/>
              </w:rPr>
              <w:t>(2)</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201" w:type="dxa"/>
            <w:tcBorders>
              <w:bottom w:val="single" w:sz="12" w:space="0" w:color="ECA44A"/>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Helvetica;sans-serif" w:hAnsi="Arial;Helvetica;sans-serif"/>
                <w:b/>
                <w:color w:val="4B4F54"/>
                <w:sz w:val="15"/>
              </w:rPr>
              <w:t>OWNED</w:t>
            </w:r>
            <w:r>
              <w:rPr>
                <w:rFonts w:ascii="Arial;Helvetica;sans-serif" w:hAnsi="Arial;Helvetica;sans-serif"/>
                <w:b/>
                <w:color w:val="4B4F54"/>
                <w:sz w:val="11"/>
              </w:rPr>
              <w:t>(3)</w:t>
            </w:r>
          </w:p>
        </w:tc>
        <w:tc>
          <w:tcPr>
            <w:tcW w:w="2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79" w:type="dxa"/>
            <w:tcBorders>
              <w:bottom w:val="single" w:sz="18" w:space="0" w:color="ECA44A"/>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Helvetica;sans-serif" w:hAnsi="Arial;Helvetica;sans-serif"/>
                <w:b/>
                <w:color w:val="4B4F54"/>
                <w:sz w:val="15"/>
              </w:rPr>
              <w:t>CLASS</w:t>
            </w:r>
            <w:r>
              <w:rPr>
                <w:rFonts w:ascii="Arial;Helvetica;sans-serif" w:hAnsi="Arial;Helvetica;sans-serif"/>
                <w:b/>
                <w:color w:val="4B4F54"/>
                <w:sz w:val="11"/>
              </w:rPr>
              <w:t>(3)</w:t>
            </w:r>
          </w:p>
        </w:tc>
      </w:tr>
      <w:tr>
        <w:trPr/>
        <w:tc>
          <w:tcPr>
            <w:tcW w:w="447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Keelan I. Adamson</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1,491,509</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3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401,669</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1,893,178</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79"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447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R. Thaddeus Vayda</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352,635</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3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68,899</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421,534</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79"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447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Jeremy D. Thigpen</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2,614,548</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3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978,664</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3,593,212</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79"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447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Brady K. Long</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1,238,098</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3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287,080</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1,525,178</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79"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447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Rodderick J. Mackenzie</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268,025</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3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99,105</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367,130</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79"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447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Jason B. Pack</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262,103</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3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27,778</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289,881</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79"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447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Glyn A. Barker</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2,984</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3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387,014</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389,998</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79"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447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Vanessa C.L. Chang</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69,200</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3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387,014</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456,214</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79"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447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Frederico F. Curado</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3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381,272</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381,272</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79"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447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Chadwick C. Deaton</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141,000</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3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451,548</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592,548</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79"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447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Domenic J. “Nick” Dell’Osso, Jr. </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3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71,799</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71,799</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79"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447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Vincent J. Intrieri</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20,000</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3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376,512</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396,512</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79"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447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William F. “Bill” Lacey</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3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79"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4472"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Samuel J. Merksamer</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138"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387,248</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2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387,248</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79"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4472" w:type="dxa"/>
            <w:tcBorders>
              <w:bottom w:val="single" w:sz="12" w:space="0" w:color="ECA44A"/>
            </w:tcBorders>
            <w:tcMar>
              <w:bottom w:w="28" w:type="dxa"/>
            </w:tcM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Frederik W. Mohn</w:t>
            </w:r>
            <w:r>
              <w:rPr>
                <w:rFonts w:ascii="Arial;Helvetica;sans-serif" w:hAnsi="Arial;Helvetica;sans-serif"/>
                <w:sz w:val="15"/>
              </w:rPr>
              <w:t>(4)</w:t>
            </w:r>
          </w:p>
        </w:tc>
        <w:tc>
          <w:tcPr>
            <w:tcW w:w="28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 </w:t>
            </w:r>
          </w:p>
        </w:tc>
        <w:tc>
          <w:tcPr>
            <w:tcW w:w="1171" w:type="dxa"/>
            <w:tcBorders>
              <w:bottom w:val="single" w:sz="12" w:space="0" w:color="ECA44A"/>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96,597,042</w:t>
            </w:r>
          </w:p>
        </w:tc>
        <w:tc>
          <w:tcPr>
            <w:tcW w:w="28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 </w:t>
            </w:r>
          </w:p>
        </w:tc>
        <w:tc>
          <w:tcPr>
            <w:tcW w:w="1138" w:type="dxa"/>
            <w:tcBorders>
              <w:bottom w:val="single" w:sz="12" w:space="0" w:color="ECA44A"/>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321,259</w:t>
            </w:r>
          </w:p>
        </w:tc>
        <w:tc>
          <w:tcPr>
            <w:tcW w:w="28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 </w:t>
            </w:r>
          </w:p>
        </w:tc>
        <w:tc>
          <w:tcPr>
            <w:tcW w:w="1201" w:type="dxa"/>
            <w:tcBorders>
              <w:bottom w:val="single" w:sz="12" w:space="0" w:color="ECA44A"/>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96,918,301</w:t>
            </w:r>
          </w:p>
        </w:tc>
        <w:tc>
          <w:tcPr>
            <w:tcW w:w="28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 </w:t>
            </w:r>
          </w:p>
        </w:tc>
        <w:tc>
          <w:tcPr>
            <w:tcW w:w="1079" w:type="dxa"/>
            <w:tcBorders>
              <w:bottom w:val="single" w:sz="12" w:space="0" w:color="ECA44A"/>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8.8%</w:t>
            </w:r>
          </w:p>
        </w:tc>
      </w:tr>
      <w:tr>
        <w:trPr/>
        <w:tc>
          <w:tcPr>
            <w:tcW w:w="4472"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All directors and executive officers as a group (15 persons)</w:t>
            </w:r>
          </w:p>
        </w:tc>
        <w:tc>
          <w:tcPr>
            <w:tcW w:w="28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 </w:t>
            </w:r>
          </w:p>
        </w:tc>
        <w:tc>
          <w:tcPr>
            <w:tcW w:w="1171" w:type="dxa"/>
            <w:tcBorders>
              <w:bottom w:val="single" w:sz="12" w:space="0" w:color="ECA44A"/>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103,057,144</w:t>
            </w:r>
          </w:p>
        </w:tc>
        <w:tc>
          <w:tcPr>
            <w:tcW w:w="28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 </w:t>
            </w:r>
          </w:p>
        </w:tc>
        <w:tc>
          <w:tcPr>
            <w:tcW w:w="1138" w:type="dxa"/>
            <w:tcBorders>
              <w:bottom w:val="single" w:sz="12" w:space="0" w:color="ECA44A"/>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4,626,861</w:t>
            </w:r>
          </w:p>
        </w:tc>
        <w:tc>
          <w:tcPr>
            <w:tcW w:w="28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 </w:t>
            </w:r>
          </w:p>
        </w:tc>
        <w:tc>
          <w:tcPr>
            <w:tcW w:w="1201" w:type="dxa"/>
            <w:tcBorders>
              <w:bottom w:val="single" w:sz="12" w:space="0" w:color="ECA44A"/>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107,684,005</w:t>
            </w:r>
          </w:p>
        </w:tc>
        <w:tc>
          <w:tcPr>
            <w:tcW w:w="28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w:t>
            </w:r>
          </w:p>
        </w:tc>
        <w:tc>
          <w:tcPr>
            <w:tcW w:w="1079" w:type="dxa"/>
            <w:tcBorders>
              <w:bottom w:val="single" w:sz="12" w:space="0" w:color="ECA44A"/>
            </w:tcBorders>
            <w:tcMar>
              <w:bottom w:w="28" w:type="dxa"/>
            </w:tcMar>
            <w:vAlign w:val="center"/>
          </w:tcPr>
          <w:p>
            <w:pPr>
              <w:pStyle w:val="TableContents"/>
              <w:bidi w:val="0"/>
              <w:spacing w:lineRule="auto" w:line="285" w:before="0" w:after="0"/>
              <w:ind w:left="0" w:right="70" w:hanging="0"/>
              <w:jc w:val="right"/>
              <w:rPr>
                <w:rFonts w:ascii="Arial;Helvetica;sans-serif" w:hAnsi="Arial;Helvetica;sans-serif"/>
                <w:sz w:val="20"/>
              </w:rPr>
            </w:pPr>
            <w:r>
              <w:rPr>
                <w:rFonts w:ascii="Arial;Helvetica;sans-serif" w:hAnsi="Arial;Helvetica;sans-serif"/>
                <w:sz w:val="20"/>
              </w:rPr>
              <w:t>9.7%</w:t>
            </w:r>
          </w:p>
        </w:tc>
      </w:tr>
    </w:tbl>
    <w:p>
      <w:pPr>
        <w:pStyle w:val="TextBody"/>
        <w:bidi w:val="0"/>
        <w:spacing w:lineRule="auto" w:line="285" w:before="100" w:after="60"/>
        <w:ind w:left="0" w:right="0" w:hanging="0"/>
        <w:jc w:val="both"/>
        <w:rPr>
          <w:rFonts w:ascii="Arial;Helvetica;sans-serif" w:hAnsi="Arial;Helvetica;sans-serif"/>
          <w:sz w:val="16"/>
        </w:rPr>
      </w:pPr>
      <w:r>
        <w:rPr>
          <w:rFonts w:ascii="Arial;Helvetica;sans-serif" w:hAnsi="Arial;Helvetica;sans-serif"/>
          <w:sz w:val="16"/>
        </w:rPr>
        <w:t>*    Less than 1%.</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0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business address of each director and executive officer is c/o Transocean Management Services GmbH, Turmstrasse 30, 6312 Steinhausen, Switzerland. None of the shares beneficially owned by our directors or executive officers are pledged as security.</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2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Includes shares that may be acquired within 60 days from March 4, 2026 through the exercise of options held by Messrs. Adamson (220,738), Vayda (68,899), Thigpen (978,664), Long (287,080), Mackenzie (99,105) and Pack (27,778) and all executive officers as a group (1,682,264). Also includes vested share units and unvested share units that will vest within 60 days from March 4, 2026, by Messrs. Adamson (180,931) Barker (387,014), Curado (381,272), Deaton (451,548), Dell'Osso (71,799), Intrieri (376,512), Merksamer (387,248), Mohn (321,259) and Ms. Chang (387,014) and all directors and executive officers as a group (2,944,597).</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99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percentage indicated is based upon 1,106,750,627 Company shares deemed to be outstanding as of March 4, 2026, which exclude treasury shares held by the Company or our subsidiaries as of such date or issued into treasury thereafter, unless otherwise required by applicable rules. As of March 4, 2026, each listed individual (with the exception of Mr. Mohn) and our directors and executive officers as a group (excluding Mr. Mohn) beneficially owned less than 1% of the Company’s outstanding shares.</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w:t>
            </w:r>
          </w:p>
        </w:tc>
        <w:tc>
          <w:tcPr>
            <w:tcW w:w="99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number of shares and associated percent of class includes information based on the Schedule 13D/A filed with the SEC on December 19, 2022, by Mr. Frederik W. Mohn, Perestroika (Cyprus) Ltd. and Perestroika AS, Form 4 filings by Mr. Mohn, Perestroika (Cyprus) Ltd and Perestroika AS, and information given to us by Mr. Mohn. According to such filings and information, Mr. Mohn has sole voting power and sole dispositive power with regard to 343,407 shares, which consists of: (a) 22,148 shares individually owned by Mr. Mohn; and (b) 321,259 restricted share units Mr. Mohn has the right to receive based upon his service as a director of Transocean Ltd. The total shares beneficially owned by Mr. Mohn also includes 96,574,894 shares held directly by Perestroika (Cyprus) Ltd.</w:t>
            </w:r>
          </w:p>
        </w:tc>
      </w:tr>
    </w:tbl>
    <w:p>
      <w:pPr>
        <w:pStyle w:val="TextBody"/>
        <w:pBdr/>
        <w:bidi w:val="0"/>
        <w:spacing w:lineRule="auto" w:line="285" w:before="0" w:after="0"/>
        <w:ind w:left="0" w:right="0" w:hanging="36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P-75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Arial;Helvetica;sans-serif" w:hAnsi="Arial;Helvetica;sans-serif"/>
          <w:b/>
          <w:color w:val="ECA44A"/>
          <w:sz w:val="40"/>
        </w:rPr>
      </w:pPr>
      <w:bookmarkStart w:id="131" w:name="COMPENSATIONDISCUSSIONANALYSIS"/>
      <w:bookmarkStart w:id="132" w:name="_ac433dfd_edc3_488c_8122_0e745bef5df4"/>
      <w:bookmarkEnd w:id="131"/>
      <w:bookmarkEnd w:id="132"/>
      <w:r>
        <w:rPr>
          <w:rFonts w:ascii="Arial;Helvetica;sans-serif" w:hAnsi="Arial;Helvetica;sans-serif"/>
          <w:b/>
          <w:color w:val="ECA44A"/>
          <w:sz w:val="40"/>
        </w:rPr>
        <w:t>COMPENSATION DISCUSSION AND ANALYSIS</w:t>
      </w:r>
    </w:p>
    <w:p>
      <w:pPr>
        <w:pStyle w:val="TextBody"/>
        <w:bidi w:val="0"/>
        <w:spacing w:lineRule="auto" w:line="285" w:before="0" w:after="0"/>
        <w:ind w:left="0" w:right="0" w:hanging="0"/>
        <w:jc w:val="both"/>
        <w:rPr>
          <w:rFonts w:ascii="Arial;Helvetica;sans-serif" w:hAnsi="Arial;Helvetica;sans-serif"/>
          <w:b/>
          <w:color w:val="ECA44A"/>
          <w:sz w:val="28"/>
        </w:rPr>
      </w:pPr>
      <w:r>
        <w:rPr>
          <w:rFonts w:ascii="Arial;Helvetica;sans-serif" w:hAnsi="Arial;Helvetica;sans-serif"/>
          <w:b/>
          <w:color w:val="ECA44A"/>
          <w:sz w:val="28"/>
        </w:rPr>
        <w:t>CONTENTS</w:t>
      </w:r>
    </w:p>
    <w:p>
      <w:pPr>
        <w:pStyle w:val="TextBody"/>
        <w:bidi w:val="0"/>
        <w:spacing w:lineRule="auto" w:line="285" w:before="0" w:after="0"/>
        <w:ind w:left="0" w:right="0" w:hanging="0"/>
        <w:jc w:val="both"/>
        <w:rPr/>
      </w:pPr>
      <w:r>
        <w:rPr/>
        <w:t>​</w:t>
      </w:r>
    </w:p>
    <w:tbl>
      <w:tblPr>
        <w:tblW w:w="6771" w:type="dxa"/>
        <w:jc w:val="left"/>
        <w:tblInd w:w="0" w:type="dxa"/>
        <w:tblLayout w:type="fixed"/>
        <w:tblCellMar>
          <w:top w:w="0" w:type="dxa"/>
          <w:left w:w="0" w:type="dxa"/>
          <w:bottom w:w="28" w:type="dxa"/>
          <w:right w:w="0" w:type="dxa"/>
        </w:tblCellMar>
      </w:tblPr>
      <w:tblGrid>
        <w:gridCol w:w="511"/>
        <w:gridCol w:w="6106"/>
        <w:gridCol w:w="154"/>
      </w:tblGrid>
      <w:tr>
        <w:trPr/>
        <w:tc>
          <w:tcPr>
            <w:tcW w:w="511" w:type="dxa"/>
            <w:tcBorders>
              <w:bottom w:val="single" w:sz="2" w:space="0" w:color="D9D9D9"/>
            </w:tcBorders>
            <w:vAlign w:val="center"/>
          </w:tcPr>
          <w:p>
            <w:pPr>
              <w:pStyle w:val="TableContents"/>
              <w:bidi w:val="0"/>
              <w:spacing w:lineRule="auto" w:line="285" w:before="0" w:after="0"/>
              <w:ind w:left="0" w:right="0" w:hanging="0"/>
              <w:jc w:val="both"/>
              <w:rPr/>
            </w:pPr>
            <w:r>
              <w:rPr/>
              <w:t>​</w:t>
            </w:r>
          </w:p>
        </w:tc>
        <w:tc>
          <w:tcPr>
            <w:tcW w:w="6106" w:type="dxa"/>
            <w:tcBorders>
              <w:bottom w:val="single" w:sz="2" w:space="0" w:color="D9D9D9"/>
            </w:tcBorders>
            <w:vAlign w:val="center"/>
          </w:tcPr>
          <w:p>
            <w:pPr>
              <w:pStyle w:val="TableContents"/>
              <w:bidi w:val="0"/>
              <w:spacing w:lineRule="auto" w:line="285" w:before="0" w:after="0"/>
              <w:ind w:left="0" w:right="0" w:hanging="0"/>
              <w:jc w:val="both"/>
              <w:rPr/>
            </w:pPr>
            <w:r>
              <w:rPr/>
              <w:t>​</w:t>
            </w:r>
          </w:p>
        </w:tc>
        <w:tc>
          <w:tcPr>
            <w:tcW w:w="154" w:type="dxa"/>
            <w:tcBorders>
              <w:bottom w:val="single" w:sz="2" w:space="0" w:color="D9D9D9"/>
            </w:tcBorders>
            <w:vAlign w:val="center"/>
          </w:tcPr>
          <w:p>
            <w:pPr>
              <w:pStyle w:val="TableContents"/>
              <w:bidi w:val="0"/>
              <w:spacing w:lineRule="auto" w:line="285" w:before="0" w:after="0"/>
              <w:ind w:left="0" w:right="0" w:hanging="0"/>
              <w:jc w:val="both"/>
              <w:rPr/>
            </w:pPr>
            <w:r>
              <w:rPr/>
              <w:t>​</w:t>
            </w:r>
          </w:p>
        </w:tc>
      </w:tr>
      <w:tr>
        <w:trPr/>
        <w:tc>
          <w:tcPr>
            <w:tcW w:w="511" w:type="dxa"/>
            <w:tcBorders>
              <w:top w:val="single" w:sz="2" w:space="0" w:color="D9D9D9"/>
              <w:bottom w:val="single" w:sz="2" w:space="0" w:color="D9D9D9"/>
            </w:tcBorders>
            <w:tcMar>
              <w:top w:w="28" w:type="dxa"/>
            </w:tcMar>
            <w:vAlign w:val="center"/>
          </w:tcPr>
          <w:p>
            <w:pPr>
              <w:pStyle w:val="TableContents"/>
              <w:pBdr/>
              <w:bidi w:val="0"/>
              <w:spacing w:lineRule="auto" w:line="285" w:before="60" w:after="60"/>
              <w:ind w:left="0" w:right="0" w:hanging="0"/>
              <w:jc w:val="both"/>
              <w:rPr>
                <w:rFonts w:ascii="Arial;Helvetica;sans-serif" w:hAnsi="Arial;Helvetica;sans-serif"/>
                <w:b/>
                <w:color w:val="4B4F54"/>
                <w:sz w:val="18"/>
              </w:rPr>
            </w:pPr>
            <w:r>
              <w:rPr>
                <w:rFonts w:ascii="Arial;Helvetica;sans-serif" w:hAnsi="Arial;Helvetica;sans-serif"/>
                <w:b/>
                <w:color w:val="4B4F54"/>
                <w:sz w:val="18"/>
              </w:rPr>
              <w:t>P-76</w:t>
            </w:r>
          </w:p>
        </w:tc>
        <w:tc>
          <w:tcPr>
            <w:tcW w:w="6106" w:type="dxa"/>
            <w:tcBorders>
              <w:top w:val="single" w:sz="2" w:space="0" w:color="D9D9D9"/>
              <w:bottom w:val="single" w:sz="2" w:space="0" w:color="D9D9D9"/>
            </w:tcBorders>
            <w:tcMar>
              <w:top w:w="28" w:type="dxa"/>
            </w:tcMar>
            <w:vAlign w:val="center"/>
          </w:tcPr>
          <w:p>
            <w:pPr>
              <w:pStyle w:val="TableContents"/>
              <w:pBdr/>
              <w:bidi w:val="0"/>
              <w:spacing w:lineRule="auto" w:line="285" w:before="60" w:after="60"/>
              <w:ind w:left="0" w:right="0" w:hanging="0"/>
              <w:jc w:val="both"/>
              <w:rPr/>
            </w:pPr>
            <w:hyperlink w:anchor="ExecutiveSummaryCDA">
              <w:r>
                <w:rPr>
                  <w:rStyle w:val="InternetLink"/>
                  <w:rFonts w:ascii="Arial;Helvetica;sans-serif" w:hAnsi="Arial;Helvetica;sans-serif"/>
                  <w:b w:val="false"/>
                  <w:i w:val="false"/>
                  <w:caps w:val="false"/>
                  <w:smallCaps w:val="false"/>
                  <w:color w:val="4B4F54"/>
                  <w:sz w:val="18"/>
                </w:rPr>
                <w:t>EXECUTIVE SUMMARY</w:t>
              </w:r>
            </w:hyperlink>
          </w:p>
        </w:tc>
        <w:tc>
          <w:tcPr>
            <w:tcW w:w="154" w:type="dxa"/>
            <w:tcBorders>
              <w:top w:val="single" w:sz="2" w:space="0" w:color="D9D9D9"/>
              <w:bottom w:val="single" w:sz="2" w:space="0" w:color="D9D9D9"/>
            </w:tcBorders>
            <w:tcMar>
              <w:top w:w="28" w:type="dxa"/>
            </w:tcMar>
            <w:vAlign w:val="center"/>
          </w:tcPr>
          <w:p>
            <w:pPr>
              <w:pStyle w:val="TableContents"/>
              <w:pBdr/>
              <w:bidi w:val="0"/>
              <w:spacing w:lineRule="auto" w:line="285" w:before="0" w:after="0"/>
              <w:ind w:left="0" w:right="0" w:hanging="0"/>
              <w:jc w:val="both"/>
              <w:rPr>
                <w:color w:val="4B4F54"/>
              </w:rPr>
            </w:pPr>
            <w:r>
              <w:rPr>
                <w:color w:val="4B4F54"/>
              </w:rPr>
              <w:t>​</w:t>
            </w:r>
          </w:p>
        </w:tc>
      </w:tr>
      <w:tr>
        <w:trPr/>
        <w:tc>
          <w:tcPr>
            <w:tcW w:w="511" w:type="dxa"/>
            <w:tcBorders>
              <w:top w:val="single" w:sz="2" w:space="0" w:color="D9D9D9"/>
              <w:bottom w:val="single" w:sz="2" w:space="0" w:color="D9D9D9"/>
            </w:tcBorders>
            <w:tcMar>
              <w:top w:w="28" w:type="dxa"/>
            </w:tcMar>
            <w:vAlign w:val="center"/>
          </w:tcPr>
          <w:p>
            <w:pPr>
              <w:pStyle w:val="TableContents"/>
              <w:pBdr/>
              <w:bidi w:val="0"/>
              <w:spacing w:lineRule="auto" w:line="285" w:before="60" w:after="60"/>
              <w:ind w:left="0" w:right="0" w:hanging="0"/>
              <w:jc w:val="both"/>
              <w:rPr>
                <w:rFonts w:ascii="Arial;Helvetica;sans-serif" w:hAnsi="Arial;Helvetica;sans-serif"/>
                <w:b/>
                <w:color w:val="4B4F54"/>
                <w:sz w:val="18"/>
              </w:rPr>
            </w:pPr>
            <w:r>
              <w:rPr>
                <w:rFonts w:ascii="Arial;Helvetica;sans-serif" w:hAnsi="Arial;Helvetica;sans-serif"/>
                <w:b/>
                <w:color w:val="4B4F54"/>
                <w:sz w:val="18"/>
              </w:rPr>
              <w:t>P-77</w:t>
            </w:r>
          </w:p>
        </w:tc>
        <w:tc>
          <w:tcPr>
            <w:tcW w:w="6106" w:type="dxa"/>
            <w:tcBorders>
              <w:top w:val="single" w:sz="2" w:space="0" w:color="D9D9D9"/>
              <w:bottom w:val="single" w:sz="2" w:space="0" w:color="D9D9D9"/>
            </w:tcBorders>
            <w:tcMar>
              <w:top w:w="28" w:type="dxa"/>
            </w:tcMar>
            <w:vAlign w:val="center"/>
          </w:tcPr>
          <w:p>
            <w:pPr>
              <w:pStyle w:val="TableContents"/>
              <w:pBdr/>
              <w:bidi w:val="0"/>
              <w:spacing w:lineRule="auto" w:line="285" w:before="60" w:after="60"/>
              <w:ind w:left="0" w:right="0" w:hanging="0"/>
              <w:jc w:val="both"/>
              <w:rPr/>
            </w:pPr>
            <w:hyperlink w:anchor="COMPENSATIONPROGRAMOV">
              <w:r>
                <w:rPr>
                  <w:rStyle w:val="InternetLink"/>
                  <w:rFonts w:ascii="Arial;Helvetica;sans-serif" w:hAnsi="Arial;Helvetica;sans-serif"/>
                  <w:b w:val="false"/>
                  <w:i w:val="false"/>
                  <w:caps w:val="false"/>
                  <w:smallCaps w:val="false"/>
                  <w:color w:val="4B4F54"/>
                  <w:sz w:val="18"/>
                </w:rPr>
                <w:t>2025 COMPENSATION PROGRAM OVERVIEW</w:t>
              </w:r>
            </w:hyperlink>
          </w:p>
        </w:tc>
        <w:tc>
          <w:tcPr>
            <w:tcW w:w="154" w:type="dxa"/>
            <w:tcBorders>
              <w:top w:val="single" w:sz="2" w:space="0" w:color="D9D9D9"/>
              <w:bottom w:val="single" w:sz="2" w:space="0" w:color="D9D9D9"/>
            </w:tcBorders>
            <w:tcMar>
              <w:top w:w="28" w:type="dxa"/>
            </w:tcMar>
            <w:vAlign w:val="center"/>
          </w:tcPr>
          <w:p>
            <w:pPr>
              <w:pStyle w:val="TableContents"/>
              <w:pBdr/>
              <w:bidi w:val="0"/>
              <w:spacing w:lineRule="auto" w:line="285" w:before="0" w:after="0"/>
              <w:ind w:left="0" w:right="0" w:hanging="0"/>
              <w:jc w:val="both"/>
              <w:rPr>
                <w:color w:val="4B4F54"/>
              </w:rPr>
            </w:pPr>
            <w:r>
              <w:rPr>
                <w:color w:val="4B4F54"/>
              </w:rPr>
              <w:t>​</w:t>
            </w:r>
          </w:p>
        </w:tc>
      </w:tr>
      <w:tr>
        <w:trPr/>
        <w:tc>
          <w:tcPr>
            <w:tcW w:w="511" w:type="dxa"/>
            <w:tcBorders>
              <w:top w:val="single" w:sz="2" w:space="0" w:color="D9D9D9"/>
              <w:bottom w:val="single" w:sz="2" w:space="0" w:color="D9D9D9"/>
            </w:tcBorders>
            <w:tcMar>
              <w:top w:w="28" w:type="dxa"/>
            </w:tcMar>
            <w:vAlign w:val="center"/>
          </w:tcPr>
          <w:p>
            <w:pPr>
              <w:pStyle w:val="TableContents"/>
              <w:pBdr/>
              <w:bidi w:val="0"/>
              <w:spacing w:lineRule="auto" w:line="285" w:before="60" w:after="60"/>
              <w:ind w:left="0" w:right="0" w:hanging="0"/>
              <w:jc w:val="both"/>
              <w:rPr>
                <w:rFonts w:ascii="Arial;Helvetica;sans-serif" w:hAnsi="Arial;Helvetica;sans-serif"/>
                <w:b/>
                <w:color w:val="4B4F54"/>
                <w:sz w:val="18"/>
              </w:rPr>
            </w:pPr>
            <w:r>
              <w:rPr>
                <w:rFonts w:ascii="Arial;Helvetica;sans-serif" w:hAnsi="Arial;Helvetica;sans-serif"/>
                <w:b/>
                <w:color w:val="4B4F54"/>
                <w:sz w:val="18"/>
              </w:rPr>
              <w:t>P-77</w:t>
            </w:r>
          </w:p>
        </w:tc>
        <w:tc>
          <w:tcPr>
            <w:tcW w:w="6106" w:type="dxa"/>
            <w:tcBorders>
              <w:top w:val="single" w:sz="2" w:space="0" w:color="D9D9D9"/>
              <w:bottom w:val="single" w:sz="2" w:space="0" w:color="D9D9D9"/>
            </w:tcBorders>
            <w:tcMar>
              <w:top w:w="28" w:type="dxa"/>
            </w:tcMar>
            <w:vAlign w:val="center"/>
          </w:tcPr>
          <w:p>
            <w:pPr>
              <w:pStyle w:val="TableContents"/>
              <w:pBdr/>
              <w:bidi w:val="0"/>
              <w:spacing w:lineRule="auto" w:line="285" w:before="60" w:after="60"/>
              <w:ind w:left="0" w:right="0" w:hanging="0"/>
              <w:jc w:val="both"/>
              <w:rPr/>
            </w:pPr>
            <w:hyperlink w:anchor="Philosophy_329220">
              <w:r>
                <w:rPr>
                  <w:rStyle w:val="InternetLink"/>
                  <w:rFonts w:ascii="Arial;Helvetica;sans-serif" w:hAnsi="Arial;Helvetica;sans-serif"/>
                  <w:b w:val="false"/>
                  <w:i w:val="false"/>
                  <w:caps w:val="false"/>
                  <w:smallCaps w:val="false"/>
                  <w:color w:val="4B4F54"/>
                  <w:sz w:val="18"/>
                </w:rPr>
                <w:t>COMPENSATION PHILOSOPHY, STRATEGY AND DESIGN</w:t>
              </w:r>
            </w:hyperlink>
          </w:p>
        </w:tc>
        <w:tc>
          <w:tcPr>
            <w:tcW w:w="154" w:type="dxa"/>
            <w:tcBorders>
              <w:top w:val="single" w:sz="2" w:space="0" w:color="D9D9D9"/>
              <w:bottom w:val="single" w:sz="2" w:space="0" w:color="D9D9D9"/>
            </w:tcBorders>
            <w:tcMar>
              <w:top w:w="28" w:type="dxa"/>
            </w:tcMar>
            <w:vAlign w:val="center"/>
          </w:tcPr>
          <w:p>
            <w:pPr>
              <w:pStyle w:val="TableContents"/>
              <w:pBdr/>
              <w:bidi w:val="0"/>
              <w:spacing w:lineRule="auto" w:line="285" w:before="0" w:after="0"/>
              <w:ind w:left="0" w:right="0" w:hanging="0"/>
              <w:jc w:val="both"/>
              <w:rPr>
                <w:color w:val="4B4F54"/>
              </w:rPr>
            </w:pPr>
            <w:r>
              <w:rPr>
                <w:color w:val="4B4F54"/>
              </w:rPr>
              <w:t>​</w:t>
            </w:r>
          </w:p>
        </w:tc>
      </w:tr>
      <w:tr>
        <w:trPr/>
        <w:tc>
          <w:tcPr>
            <w:tcW w:w="511" w:type="dxa"/>
            <w:tcBorders>
              <w:top w:val="single" w:sz="2" w:space="0" w:color="D9D9D9"/>
              <w:bottom w:val="single" w:sz="2" w:space="0" w:color="D9D9D9"/>
            </w:tcBorders>
            <w:tcMar>
              <w:top w:w="28" w:type="dxa"/>
            </w:tcMar>
            <w:vAlign w:val="center"/>
          </w:tcPr>
          <w:p>
            <w:pPr>
              <w:pStyle w:val="TableContents"/>
              <w:bidi w:val="0"/>
              <w:spacing w:lineRule="auto" w:line="285" w:before="60" w:after="60"/>
              <w:ind w:left="0" w:right="0" w:hanging="0"/>
              <w:jc w:val="both"/>
              <w:rPr>
                <w:rFonts w:ascii="Arial;Helvetica;sans-serif" w:hAnsi="Arial;Helvetica;sans-serif"/>
                <w:b/>
                <w:color w:val="4B4F54"/>
                <w:sz w:val="18"/>
              </w:rPr>
            </w:pPr>
            <w:r>
              <w:rPr>
                <w:rFonts w:ascii="Arial;Helvetica;sans-serif" w:hAnsi="Arial;Helvetica;sans-serif"/>
                <w:b/>
                <w:color w:val="4B4F54"/>
                <w:sz w:val="18"/>
              </w:rPr>
              <w:t>P-79</w:t>
            </w:r>
          </w:p>
        </w:tc>
        <w:tc>
          <w:tcPr>
            <w:tcW w:w="6106" w:type="dxa"/>
            <w:tcBorders>
              <w:top w:val="single" w:sz="2" w:space="0" w:color="D9D9D9"/>
              <w:bottom w:val="single" w:sz="2" w:space="0" w:color="D9D9D9"/>
            </w:tcBorders>
            <w:tcMar>
              <w:top w:w="28" w:type="dxa"/>
            </w:tcMar>
            <w:vAlign w:val="center"/>
          </w:tcPr>
          <w:p>
            <w:pPr>
              <w:pStyle w:val="TableContents"/>
              <w:pBdr/>
              <w:bidi w:val="0"/>
              <w:spacing w:lineRule="auto" w:line="285" w:before="60" w:after="60"/>
              <w:ind w:left="0" w:right="0" w:hanging="0"/>
              <w:jc w:val="both"/>
              <w:rPr/>
            </w:pPr>
            <w:hyperlink w:anchor="Setting_218299">
              <w:r>
                <w:rPr>
                  <w:rStyle w:val="InternetLink"/>
                  <w:rFonts w:ascii="Arial;Helvetica;sans-serif" w:hAnsi="Arial;Helvetica;sans-serif"/>
                  <w:b w:val="false"/>
                  <w:i w:val="false"/>
                  <w:caps w:val="false"/>
                  <w:smallCaps w:val="false"/>
                  <w:color w:val="4B4F54"/>
                  <w:sz w:val="18"/>
                </w:rPr>
                <w:t>SETTING EXECUTIVE COMPENSATION</w:t>
              </w:r>
            </w:hyperlink>
          </w:p>
        </w:tc>
        <w:tc>
          <w:tcPr>
            <w:tcW w:w="154" w:type="dxa"/>
            <w:tcBorders>
              <w:top w:val="single" w:sz="2" w:space="0" w:color="D9D9D9"/>
              <w:bottom w:val="single" w:sz="2" w:space="0" w:color="D9D9D9"/>
            </w:tcBorders>
            <w:tcMar>
              <w:top w:w="28" w:type="dxa"/>
            </w:tcMar>
            <w:vAlign w:val="center"/>
          </w:tcPr>
          <w:p>
            <w:pPr>
              <w:pStyle w:val="TableContents"/>
              <w:pBdr/>
              <w:bidi w:val="0"/>
              <w:spacing w:lineRule="auto" w:line="285" w:before="0" w:after="0"/>
              <w:ind w:left="0" w:right="0" w:hanging="0"/>
              <w:jc w:val="both"/>
              <w:rPr>
                <w:color w:val="4B4F54"/>
              </w:rPr>
            </w:pPr>
            <w:r>
              <w:rPr>
                <w:color w:val="4B4F54"/>
              </w:rPr>
              <w:t>​</w:t>
            </w:r>
          </w:p>
        </w:tc>
      </w:tr>
      <w:tr>
        <w:trPr/>
        <w:tc>
          <w:tcPr>
            <w:tcW w:w="511" w:type="dxa"/>
            <w:tcBorders>
              <w:top w:val="single" w:sz="2" w:space="0" w:color="D9D9D9"/>
              <w:bottom w:val="single" w:sz="2" w:space="0" w:color="D9D9D9"/>
            </w:tcBorders>
            <w:tcMar>
              <w:top w:w="28" w:type="dxa"/>
            </w:tcMar>
            <w:vAlign w:val="center"/>
          </w:tcPr>
          <w:p>
            <w:pPr>
              <w:pStyle w:val="TableContents"/>
              <w:pBdr/>
              <w:bidi w:val="0"/>
              <w:spacing w:lineRule="auto" w:line="285" w:before="60" w:after="60"/>
              <w:ind w:left="0" w:right="0" w:hanging="0"/>
              <w:jc w:val="both"/>
              <w:rPr>
                <w:rFonts w:ascii="Arial;Helvetica;sans-serif" w:hAnsi="Arial;Helvetica;sans-serif"/>
                <w:b/>
                <w:color w:val="4B4F54"/>
                <w:sz w:val="18"/>
              </w:rPr>
            </w:pPr>
            <w:r>
              <w:rPr>
                <w:rFonts w:ascii="Arial;Helvetica;sans-serif" w:hAnsi="Arial;Helvetica;sans-serif"/>
                <w:b/>
                <w:color w:val="4B4F54"/>
                <w:sz w:val="18"/>
              </w:rPr>
              <w:t>P-81</w:t>
            </w:r>
          </w:p>
        </w:tc>
        <w:tc>
          <w:tcPr>
            <w:tcW w:w="6106" w:type="dxa"/>
            <w:tcBorders>
              <w:top w:val="single" w:sz="2" w:space="0" w:color="D9D9D9"/>
              <w:bottom w:val="single" w:sz="2" w:space="0" w:color="D9D9D9"/>
            </w:tcBorders>
            <w:tcMar>
              <w:top w:w="28" w:type="dxa"/>
            </w:tcMar>
            <w:vAlign w:val="center"/>
          </w:tcPr>
          <w:p>
            <w:pPr>
              <w:pStyle w:val="TableContents"/>
              <w:pBdr/>
              <w:bidi w:val="0"/>
              <w:spacing w:lineRule="auto" w:line="285" w:before="60" w:after="60"/>
              <w:ind w:left="0" w:right="0" w:hanging="0"/>
              <w:jc w:val="both"/>
              <w:rPr/>
            </w:pPr>
            <w:hyperlink w:anchor="ExecutiveComp_120092">
              <w:r>
                <w:rPr>
                  <w:rStyle w:val="InternetLink"/>
                  <w:rFonts w:ascii="Arial;Helvetica;sans-serif" w:hAnsi="Arial;Helvetica;sans-serif"/>
                  <w:b w:val="false"/>
                  <w:i w:val="false"/>
                  <w:caps w:val="false"/>
                  <w:smallCaps w:val="false"/>
                  <w:color w:val="4B4F54"/>
                  <w:sz w:val="18"/>
                </w:rPr>
                <w:t>EXECUTIVE COMPENSATION ELEMENTS</w:t>
              </w:r>
            </w:hyperlink>
          </w:p>
        </w:tc>
        <w:tc>
          <w:tcPr>
            <w:tcW w:w="154" w:type="dxa"/>
            <w:tcBorders>
              <w:top w:val="single" w:sz="2" w:space="0" w:color="D9D9D9"/>
              <w:bottom w:val="single" w:sz="2" w:space="0" w:color="D9D9D9"/>
            </w:tcBorders>
            <w:tcMar>
              <w:top w:w="28" w:type="dxa"/>
            </w:tcMar>
            <w:vAlign w:val="center"/>
          </w:tcPr>
          <w:p>
            <w:pPr>
              <w:pStyle w:val="TableContents"/>
              <w:pBdr/>
              <w:bidi w:val="0"/>
              <w:spacing w:lineRule="auto" w:line="285" w:before="0" w:after="0"/>
              <w:ind w:left="0" w:right="0" w:hanging="0"/>
              <w:jc w:val="both"/>
              <w:rPr>
                <w:color w:val="4B4F54"/>
              </w:rPr>
            </w:pPr>
            <w:r>
              <w:rPr>
                <w:color w:val="4B4F54"/>
              </w:rPr>
              <w:t>​</w:t>
            </w:r>
          </w:p>
        </w:tc>
      </w:tr>
      <w:tr>
        <w:trPr/>
        <w:tc>
          <w:tcPr>
            <w:tcW w:w="511" w:type="dxa"/>
            <w:tcBorders>
              <w:top w:val="single" w:sz="2" w:space="0" w:color="D9D9D9"/>
              <w:bottom w:val="single" w:sz="2" w:space="0" w:color="D9D9D9"/>
            </w:tcBorders>
            <w:tcMar>
              <w:top w:w="28" w:type="dxa"/>
            </w:tcMar>
            <w:vAlign w:val="center"/>
          </w:tcPr>
          <w:p>
            <w:pPr>
              <w:pStyle w:val="TableContents"/>
              <w:pBdr/>
              <w:bidi w:val="0"/>
              <w:spacing w:lineRule="auto" w:line="285" w:before="60" w:after="60"/>
              <w:ind w:left="0" w:right="0" w:hanging="0"/>
              <w:jc w:val="both"/>
              <w:rPr>
                <w:rFonts w:ascii="Arial;Helvetica;sans-serif" w:hAnsi="Arial;Helvetica;sans-serif"/>
                <w:b/>
                <w:color w:val="4B4F54"/>
                <w:sz w:val="18"/>
              </w:rPr>
            </w:pPr>
            <w:r>
              <w:rPr>
                <w:rFonts w:ascii="Arial;Helvetica;sans-serif" w:hAnsi="Arial;Helvetica;sans-serif"/>
                <w:b/>
                <w:color w:val="4B4F54"/>
                <w:sz w:val="18"/>
              </w:rPr>
              <w:t>P-94</w:t>
            </w:r>
          </w:p>
        </w:tc>
        <w:tc>
          <w:tcPr>
            <w:tcW w:w="6106" w:type="dxa"/>
            <w:tcBorders>
              <w:top w:val="single" w:sz="2" w:space="0" w:color="D9D9D9"/>
              <w:bottom w:val="single" w:sz="2" w:space="0" w:color="D9D9D9"/>
            </w:tcBorders>
            <w:tcMar>
              <w:top w:w="28" w:type="dxa"/>
            </w:tcMar>
            <w:vAlign w:val="center"/>
          </w:tcPr>
          <w:p>
            <w:pPr>
              <w:pStyle w:val="TableContents"/>
              <w:pBdr/>
              <w:bidi w:val="0"/>
              <w:spacing w:lineRule="auto" w:line="285" w:before="60" w:after="60"/>
              <w:ind w:left="0" w:right="0" w:hanging="0"/>
              <w:jc w:val="both"/>
              <w:rPr/>
            </w:pPr>
            <w:hyperlink w:anchor="ECGPP">
              <w:r>
                <w:rPr>
                  <w:rStyle w:val="InternetLink"/>
                  <w:rFonts w:ascii="Arial;Helvetica;sans-serif" w:hAnsi="Arial;Helvetica;sans-serif"/>
                  <w:b w:val="false"/>
                  <w:i w:val="false"/>
                  <w:caps w:val="false"/>
                  <w:smallCaps w:val="false"/>
                  <w:color w:val="4B4F54"/>
                  <w:sz w:val="18"/>
                </w:rPr>
                <w:t>EXECUTIVE COMPENSATION GOVERNANCE, POLICY AND PRACTICE</w:t>
              </w:r>
            </w:hyperlink>
          </w:p>
        </w:tc>
        <w:tc>
          <w:tcPr>
            <w:tcW w:w="154" w:type="dxa"/>
            <w:tcBorders>
              <w:top w:val="single" w:sz="2" w:space="0" w:color="D9D9D9"/>
              <w:bottom w:val="single" w:sz="2" w:space="0" w:color="D9D9D9"/>
            </w:tcBorders>
            <w:tcMar>
              <w:top w:w="28" w:type="dxa"/>
            </w:tcMar>
            <w:vAlign w:val="center"/>
          </w:tcPr>
          <w:p>
            <w:pPr>
              <w:pStyle w:val="TableContents"/>
              <w:pBdr/>
              <w:bidi w:val="0"/>
              <w:spacing w:lineRule="auto" w:line="285" w:before="0" w:after="0"/>
              <w:ind w:left="0" w:right="0" w:hanging="0"/>
              <w:jc w:val="both"/>
              <w:rPr>
                <w:color w:val="4B4F54"/>
              </w:rPr>
            </w:pPr>
            <w:r>
              <w:rPr>
                <w:color w:val="4B4F54"/>
              </w:rPr>
              <w:t>​</w:t>
            </w:r>
          </w:p>
        </w:tc>
      </w:tr>
      <w:tr>
        <w:trPr/>
        <w:tc>
          <w:tcPr>
            <w:tcW w:w="511" w:type="dxa"/>
            <w:tcBorders>
              <w:top w:val="single" w:sz="2" w:space="0" w:color="D9D9D9"/>
              <w:bottom w:val="single" w:sz="2" w:space="0" w:color="D9D9D9"/>
            </w:tcBorders>
            <w:tcMar>
              <w:top w:w="28" w:type="dxa"/>
            </w:tcMar>
            <w:vAlign w:val="center"/>
          </w:tcPr>
          <w:p>
            <w:pPr>
              <w:pStyle w:val="TableContents"/>
              <w:pBdr/>
              <w:bidi w:val="0"/>
              <w:spacing w:lineRule="auto" w:line="285" w:before="60" w:after="60"/>
              <w:ind w:left="0" w:right="0" w:hanging="0"/>
              <w:jc w:val="both"/>
              <w:rPr>
                <w:rFonts w:ascii="Arial;Helvetica;sans-serif" w:hAnsi="Arial;Helvetica;sans-serif"/>
                <w:b/>
                <w:color w:val="4B4F54"/>
                <w:sz w:val="18"/>
              </w:rPr>
            </w:pPr>
            <w:r>
              <w:rPr>
                <w:rFonts w:ascii="Arial;Helvetica;sans-serif" w:hAnsi="Arial;Helvetica;sans-serif"/>
                <w:b/>
                <w:color w:val="4B4F54"/>
                <w:sz w:val="18"/>
              </w:rPr>
              <w:t>P-98</w:t>
            </w:r>
          </w:p>
        </w:tc>
        <w:tc>
          <w:tcPr>
            <w:tcW w:w="6106" w:type="dxa"/>
            <w:tcBorders>
              <w:top w:val="single" w:sz="2" w:space="0" w:color="D9D9D9"/>
              <w:bottom w:val="single" w:sz="2" w:space="0" w:color="D9D9D9"/>
            </w:tcBorders>
            <w:tcMar>
              <w:top w:w="28" w:type="dxa"/>
            </w:tcMar>
            <w:vAlign w:val="center"/>
          </w:tcPr>
          <w:p>
            <w:pPr>
              <w:pStyle w:val="TableContents"/>
              <w:pBdr/>
              <w:bidi w:val="0"/>
              <w:spacing w:lineRule="auto" w:line="285" w:before="60" w:after="60"/>
              <w:ind w:left="0" w:right="0" w:hanging="0"/>
              <w:jc w:val="both"/>
              <w:rPr/>
            </w:pPr>
            <w:hyperlink w:anchor="TIOC">
              <w:r>
                <w:rPr>
                  <w:rStyle w:val="InternetLink"/>
                  <w:rFonts w:ascii="Arial;Helvetica;sans-serif" w:hAnsi="Arial;Helvetica;sans-serif"/>
                  <w:b w:val="false"/>
                  <w:i w:val="false"/>
                  <w:caps w:val="false"/>
                  <w:smallCaps w:val="false"/>
                  <w:color w:val="4B4F54"/>
                  <w:sz w:val="18"/>
                </w:rPr>
                <w:t>TAX IMPACT ON COMPENSATION</w:t>
              </w:r>
            </w:hyperlink>
          </w:p>
        </w:tc>
        <w:tc>
          <w:tcPr>
            <w:tcW w:w="154" w:type="dxa"/>
            <w:tcBorders>
              <w:top w:val="single" w:sz="2" w:space="0" w:color="D9D9D9"/>
              <w:bottom w:val="single" w:sz="2" w:space="0" w:color="D9D9D9"/>
            </w:tcBorders>
            <w:tcMar>
              <w:top w:w="28" w:type="dxa"/>
            </w:tcMar>
            <w:vAlign w:val="center"/>
          </w:tcPr>
          <w:p>
            <w:pPr>
              <w:pStyle w:val="TableContents"/>
              <w:pBdr/>
              <w:bidi w:val="0"/>
              <w:spacing w:lineRule="auto" w:line="285" w:before="0" w:after="0"/>
              <w:ind w:left="0" w:right="0" w:hanging="50"/>
              <w:jc w:val="both"/>
              <w:rPr>
                <w:color w:val="4B4F54"/>
              </w:rPr>
            </w:pPr>
            <w:r>
              <w:rPr>
                <w:color w:val="4B4F54"/>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This Compensation Discussion and Analysis provides an overview and analysis of Transocean’s executive compensation programs and policies, material compensation decisions for 2025, and the key factors we considered in making those decisions. It includes specific information about the compensation paid, earned or granted to the following persons who constitute our Named Executive Officers (each an “NEO”) for 2025:</w:t>
      </w:r>
    </w:p>
    <w:tbl>
      <w:tblPr>
        <w:tblW w:w="10205" w:type="dxa"/>
        <w:jc w:val="left"/>
        <w:tblInd w:w="0" w:type="dxa"/>
        <w:tblLayout w:type="fixed"/>
        <w:tblCellMar>
          <w:top w:w="0" w:type="dxa"/>
          <w:left w:w="0" w:type="dxa"/>
          <w:bottom w:w="0" w:type="dxa"/>
          <w:right w:w="0" w:type="dxa"/>
        </w:tblCellMar>
      </w:tblPr>
      <w:tblGrid>
        <w:gridCol w:w="5396"/>
        <w:gridCol w:w="109"/>
        <w:gridCol w:w="4700"/>
      </w:tblGrid>
      <w:tr>
        <w:trPr/>
        <w:tc>
          <w:tcPr>
            <w:tcW w:w="5396"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4700" w:type="dxa"/>
            <w:tcBorders/>
            <w:vAlign w:val="center"/>
          </w:tcPr>
          <w:p>
            <w:pPr>
              <w:pStyle w:val="TableContents"/>
              <w:bidi w:val="0"/>
              <w:spacing w:lineRule="auto" w:line="285" w:before="0" w:after="0"/>
              <w:ind w:left="0" w:right="0" w:hanging="0"/>
              <w:jc w:val="both"/>
              <w:rPr/>
            </w:pPr>
            <w:r>
              <w:rPr/>
              <w:t>​</w:t>
            </w:r>
          </w:p>
        </w:tc>
      </w:tr>
      <w:tr>
        <w:trPr/>
        <w:tc>
          <w:tcPr>
            <w:tcW w:w="5396" w:type="dxa"/>
            <w:tcBorders>
              <w:bottom w:val="single" w:sz="2" w:space="0" w:color="D9D9D9"/>
            </w:tcBorders>
            <w:tcMar>
              <w:bottom w:w="28" w:type="dxa"/>
            </w:tcMar>
            <w:vAlign w:val="center"/>
          </w:tcPr>
          <w:p>
            <w:pPr>
              <w:pStyle w:val="TableContents"/>
              <w:bidi w:val="0"/>
              <w:spacing w:lineRule="auto" w:line="285" w:before="48" w:after="120"/>
              <w:ind w:left="0" w:right="0" w:hanging="0"/>
              <w:jc w:val="left"/>
              <w:rPr>
                <w:rFonts w:ascii="Arial;Helvetica;sans-serif" w:hAnsi="Arial;Helvetica;sans-serif"/>
                <w:sz w:val="20"/>
              </w:rPr>
            </w:pPr>
            <w:r>
              <w:rPr>
                <w:rFonts w:ascii="Arial;Helvetica;sans-serif" w:hAnsi="Arial;Helvetica;sans-serif"/>
                <w:b/>
                <w:color w:val="005670"/>
                <w:sz w:val="20"/>
              </w:rPr>
              <w:t>KEELAN I. ADAMSON</w:t>
              <w:br/>
            </w:r>
            <w:r>
              <w:rPr>
                <w:rFonts w:ascii="Arial;Helvetica;sans-serif" w:hAnsi="Arial;Helvetica;sans-serif"/>
                <w:sz w:val="20"/>
              </w:rPr>
              <w:t>President and Chief Executive Officer</w:t>
            </w:r>
          </w:p>
        </w:tc>
        <w:tc>
          <w:tcPr>
            <w:tcW w:w="109" w:type="dxa"/>
            <w:tcBorders/>
            <w:vAlign w:val="center"/>
          </w:tcPr>
          <w:p>
            <w:pPr>
              <w:pStyle w:val="TableContents"/>
              <w:bidi w:val="0"/>
              <w:spacing w:lineRule="auto" w:line="285" w:before="0" w:after="0"/>
              <w:ind w:left="0" w:right="0" w:hanging="0"/>
              <w:jc w:val="left"/>
              <w:rPr/>
            </w:pPr>
            <w:r>
              <w:rPr/>
              <w:t>​</w:t>
            </w:r>
          </w:p>
        </w:tc>
        <w:tc>
          <w:tcPr>
            <w:tcW w:w="4700" w:type="dxa"/>
            <w:tcBorders>
              <w:bottom w:val="single" w:sz="2" w:space="0" w:color="D9D9D9"/>
            </w:tcBorders>
            <w:tcMar>
              <w:bottom w:w="28" w:type="dxa"/>
            </w:tcMar>
            <w:vAlign w:val="center"/>
          </w:tcPr>
          <w:p>
            <w:pPr>
              <w:pStyle w:val="TableContents"/>
              <w:bidi w:val="0"/>
              <w:spacing w:lineRule="auto" w:line="285" w:before="48" w:after="48"/>
              <w:ind w:left="0" w:right="0" w:hanging="0"/>
              <w:jc w:val="left"/>
              <w:rPr>
                <w:rFonts w:ascii="Arial;Helvetica;sans-serif" w:hAnsi="Arial;Helvetica;sans-serif"/>
                <w:sz w:val="20"/>
              </w:rPr>
            </w:pPr>
            <w:r>
              <w:rPr>
                <w:rFonts w:ascii="Arial;Helvetica;sans-serif" w:hAnsi="Arial;Helvetica;sans-serif"/>
                <w:b/>
                <w:color w:val="005670"/>
                <w:sz w:val="20"/>
              </w:rPr>
              <w:t>BRADY K. LONG</w:t>
              <w:br/>
            </w:r>
            <w:r>
              <w:rPr>
                <w:rFonts w:ascii="Arial;Helvetica;sans-serif" w:hAnsi="Arial;Helvetica;sans-serif"/>
                <w:sz w:val="20"/>
              </w:rPr>
              <w:t>Executive Vice President and Chief Legal Officer</w:t>
            </w:r>
          </w:p>
        </w:tc>
      </w:tr>
      <w:tr>
        <w:trPr/>
        <w:tc>
          <w:tcPr>
            <w:tcW w:w="539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8" w:after="48"/>
              <w:ind w:left="0" w:right="0" w:hanging="0"/>
              <w:jc w:val="left"/>
              <w:rPr>
                <w:rFonts w:ascii="Arial;Helvetica;sans-serif" w:hAnsi="Arial;Helvetica;sans-serif"/>
                <w:sz w:val="20"/>
              </w:rPr>
            </w:pPr>
            <w:r>
              <w:rPr>
                <w:rFonts w:ascii="Arial;Helvetica;sans-serif" w:hAnsi="Arial;Helvetica;sans-serif"/>
                <w:b/>
                <w:color w:val="005670"/>
                <w:sz w:val="20"/>
              </w:rPr>
              <w:t>R. THADDEUS VAYDA</w:t>
              <w:br/>
            </w:r>
            <w:r>
              <w:rPr>
                <w:rFonts w:ascii="Arial;Helvetica;sans-serif" w:hAnsi="Arial;Helvetica;sans-serif"/>
                <w:sz w:val="20"/>
              </w:rPr>
              <w:t>Executive Vice President and Chief Financial Officer</w:t>
            </w:r>
          </w:p>
        </w:tc>
        <w:tc>
          <w:tcPr>
            <w:tcW w:w="109" w:type="dxa"/>
            <w:tcBorders/>
            <w:vAlign w:val="center"/>
          </w:tcPr>
          <w:p>
            <w:pPr>
              <w:pStyle w:val="TableContents"/>
              <w:bidi w:val="0"/>
              <w:spacing w:lineRule="auto" w:line="285" w:before="0" w:after="0"/>
              <w:ind w:left="0" w:right="0" w:hanging="0"/>
              <w:jc w:val="left"/>
              <w:rPr/>
            </w:pPr>
            <w:r>
              <w:rPr/>
              <w:t>​</w:t>
            </w:r>
          </w:p>
        </w:tc>
        <w:tc>
          <w:tcPr>
            <w:tcW w:w="4700"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8" w:after="48"/>
              <w:ind w:left="0" w:right="0" w:hanging="0"/>
              <w:jc w:val="left"/>
              <w:rPr>
                <w:rFonts w:ascii="Arial;Helvetica;sans-serif" w:hAnsi="Arial;Helvetica;sans-serif"/>
                <w:b/>
                <w:color w:val="005670"/>
                <w:sz w:val="20"/>
              </w:rPr>
            </w:pPr>
            <w:r>
              <w:rPr>
                <w:rFonts w:ascii="Arial;Helvetica;sans-serif" w:hAnsi="Arial;Helvetica;sans-serif"/>
                <w:b/>
                <w:color w:val="005670"/>
                <w:sz w:val="20"/>
              </w:rPr>
              <w:t>RODERICK J. MACKENZIE</w:t>
            </w:r>
          </w:p>
          <w:p>
            <w:pPr>
              <w:pStyle w:val="TableContents"/>
              <w:bidi w:val="0"/>
              <w:spacing w:lineRule="auto" w:line="285" w:before="48" w:after="48"/>
              <w:ind w:left="0" w:right="0" w:hanging="0"/>
              <w:jc w:val="left"/>
              <w:rPr>
                <w:rFonts w:ascii="Arial;Helvetica;sans-serif" w:hAnsi="Arial;Helvetica;sans-serif"/>
                <w:sz w:val="20"/>
              </w:rPr>
            </w:pPr>
            <w:r>
              <w:rPr>
                <w:rFonts w:ascii="Arial;Helvetica;sans-serif" w:hAnsi="Arial;Helvetica;sans-serif"/>
                <w:sz w:val="20"/>
              </w:rPr>
              <w:t>Executive Vice President and Chief Commercial Officer</w:t>
            </w:r>
          </w:p>
        </w:tc>
      </w:tr>
      <w:tr>
        <w:trPr/>
        <w:tc>
          <w:tcPr>
            <w:tcW w:w="5396"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8" w:after="48"/>
              <w:ind w:left="0" w:right="0" w:hanging="0"/>
              <w:jc w:val="left"/>
              <w:rPr>
                <w:rFonts w:ascii="Arial;Helvetica;sans-serif" w:hAnsi="Arial;Helvetica;sans-serif"/>
                <w:b/>
                <w:color w:val="005670"/>
                <w:sz w:val="20"/>
              </w:rPr>
            </w:pPr>
            <w:r>
              <w:rPr>
                <w:rFonts w:ascii="Arial;Helvetica;sans-serif" w:hAnsi="Arial;Helvetica;sans-serif"/>
                <w:b/>
                <w:color w:val="005670"/>
                <w:sz w:val="20"/>
              </w:rPr>
              <w:t>JEREMY D. THIGPEN</w:t>
            </w:r>
          </w:p>
          <w:p>
            <w:pPr>
              <w:pStyle w:val="TableContents"/>
              <w:bidi w:val="0"/>
              <w:spacing w:lineRule="auto" w:line="285" w:before="48" w:after="48"/>
              <w:ind w:left="0" w:right="0" w:hanging="0"/>
              <w:jc w:val="left"/>
              <w:rPr>
                <w:rFonts w:ascii="Arial;Helvetica;sans-serif" w:hAnsi="Arial;Helvetica;sans-serif"/>
                <w:sz w:val="20"/>
              </w:rPr>
            </w:pPr>
            <w:r>
              <w:rPr>
                <w:rFonts w:ascii="Arial;Helvetica;sans-serif" w:hAnsi="Arial;Helvetica;sans-serif"/>
                <w:sz w:val="20"/>
              </w:rPr>
              <w:t>Executive Chair</w:t>
            </w:r>
          </w:p>
          <w:p>
            <w:pPr>
              <w:pStyle w:val="TableContents"/>
              <w:bidi w:val="0"/>
              <w:spacing w:lineRule="auto" w:line="285" w:before="48" w:after="48"/>
              <w:ind w:left="0" w:right="0" w:hanging="0"/>
              <w:jc w:val="left"/>
              <w:rPr>
                <w:rFonts w:ascii="Arial;Helvetica;sans-serif" w:hAnsi="Arial;Helvetica;sans-serif"/>
                <w:i/>
                <w:sz w:val="20"/>
              </w:rPr>
            </w:pPr>
            <w:r>
              <w:rPr>
                <w:rFonts w:ascii="Arial;Helvetica;sans-serif" w:hAnsi="Arial;Helvetica;sans-serif"/>
                <w:i/>
                <w:sz w:val="20"/>
              </w:rPr>
              <w:t>Former Chief Executive Officer (transition effective May 1, 2025)</w:t>
            </w:r>
          </w:p>
        </w:tc>
        <w:tc>
          <w:tcPr>
            <w:tcW w:w="109" w:type="dxa"/>
            <w:tcBorders/>
            <w:vAlign w:val="center"/>
          </w:tcPr>
          <w:p>
            <w:pPr>
              <w:pStyle w:val="TableContents"/>
              <w:bidi w:val="0"/>
              <w:spacing w:lineRule="auto" w:line="285" w:before="0" w:after="0"/>
              <w:ind w:left="0" w:right="0" w:hanging="0"/>
              <w:jc w:val="left"/>
              <w:rPr/>
            </w:pPr>
            <w:r>
              <w:rPr/>
              <w:t>​</w:t>
            </w:r>
          </w:p>
        </w:tc>
        <w:tc>
          <w:tcPr>
            <w:tcW w:w="4700" w:type="dxa"/>
            <w:tcBorders>
              <w:top w:val="single" w:sz="2" w:space="0" w:color="D9D9D9"/>
              <w:bottom w:val="single" w:sz="2" w:space="0" w:color="D9D9D9"/>
            </w:tcBorders>
            <w:tcMar>
              <w:top w:w="28" w:type="dxa"/>
              <w:bottom w:w="28" w:type="dxa"/>
            </w:tcMar>
            <w:vAlign w:val="center"/>
          </w:tcPr>
          <w:p>
            <w:pPr>
              <w:pStyle w:val="TableContents"/>
              <w:bidi w:val="0"/>
              <w:spacing w:lineRule="auto" w:line="285" w:before="48" w:after="48"/>
              <w:ind w:left="0" w:right="0" w:hanging="0"/>
              <w:jc w:val="left"/>
              <w:rPr>
                <w:rFonts w:ascii="Arial;Helvetica;sans-serif" w:hAnsi="Arial;Helvetica;sans-serif"/>
                <w:b/>
                <w:color w:val="005670"/>
                <w:sz w:val="20"/>
              </w:rPr>
            </w:pPr>
            <w:r>
              <w:rPr>
                <w:rFonts w:ascii="Arial;Helvetica;sans-serif" w:hAnsi="Arial;Helvetica;sans-serif"/>
                <w:b/>
                <w:color w:val="005670"/>
                <w:sz w:val="20"/>
              </w:rPr>
              <w:t>JASON B. PACK</w:t>
            </w:r>
          </w:p>
          <w:p>
            <w:pPr>
              <w:pStyle w:val="TableContents"/>
              <w:bidi w:val="0"/>
              <w:spacing w:lineRule="auto" w:line="285" w:before="48" w:after="48"/>
              <w:ind w:left="0" w:right="0" w:hanging="0"/>
              <w:jc w:val="left"/>
              <w:rPr>
                <w:rFonts w:ascii="Arial;Helvetica;sans-serif" w:hAnsi="Arial;Helvetica;sans-serif"/>
                <w:sz w:val="20"/>
              </w:rPr>
            </w:pPr>
            <w:r>
              <w:rPr>
                <w:rFonts w:ascii="Arial;Helvetica;sans-serif" w:hAnsi="Arial;Helvetica;sans-serif"/>
                <w:sz w:val="20"/>
              </w:rPr>
              <w:t>Senior Vice President and Chief Accounting Officer</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32"/>
        </w:rPr>
      </w:pPr>
      <w:bookmarkStart w:id="133" w:name="ExecutiveSummaryCDA"/>
      <w:bookmarkEnd w:id="133"/>
      <w:r>
        <w:rPr>
          <w:rFonts w:ascii="Arial;Helvetica;sans-serif" w:hAnsi="Arial;Helvetica;sans-serif"/>
          <w:sz w:val="32"/>
        </w:rPr>
        <w:t>Executive Summary</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Transocean is a leading international provider of offshore contract drilling services for oil and gas wells. We specialize in technically demanding sectors of the global offshore drilling business with a particular focus on ultra-deepwater and harsh environment drilling services, and we operate one of the largest, most technically capable and versatile offshore drilling fleets in the world.</w:t>
      </w:r>
    </w:p>
    <w:p>
      <w:pPr>
        <w:pStyle w:val="TextBody"/>
        <w:bidi w:val="0"/>
        <w:spacing w:lineRule="auto" w:line="285" w:before="0" w:after="200"/>
        <w:ind w:left="0" w:right="0" w:hanging="0"/>
        <w:jc w:val="left"/>
        <w:rPr>
          <w:rFonts w:ascii="Arial;Helvetica;sans-serif" w:hAnsi="Arial;Helvetica;sans-serif"/>
          <w:b/>
          <w:color w:val="005670"/>
          <w:sz w:val="20"/>
        </w:rPr>
      </w:pPr>
      <w:r>
        <w:rPr>
          <w:rFonts w:ascii="Arial;Helvetica;sans-serif" w:hAnsi="Arial;Helvetica;sans-serif"/>
          <w:b/>
          <w:color w:val="005670"/>
          <w:sz w:val="20"/>
        </w:rPr>
        <w:t>INDUSTRY LEADING PERFORMANCE &amp; DELIVERING LONG-TERM SUCCESS.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Transocean achieved significant progress in 2025, highlighted by outstanding operational, safety, and financial performance achievements. While continuing to maintain exceptional safety performance, we also operated with best-in-class efficiency and consistency, delivering company record-breaking uptime approaching 98%.  Further, through efforts undertaken in 2025, Company cash flow and financial flexibility were improved by reducing our cost structure as well as the Company’s future debt and interest expenses.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As Transocean has in 2025, in 2026 and beyond, we will remain focused on our key priorities: executing on our existing contracts and securing the best future opportunities for our portfolio of high specification rigs, continue to strengthen our balance sheet, and best position the Company for long-term success in what we expect to be a sustained upcycle in offshore drilling.</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Highlights of our performance in 2025 include:</w:t>
      </w:r>
    </w:p>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8746"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Delivering</w:t>
            </w:r>
            <w:r>
              <w:rPr>
                <w:caps w:val="false"/>
                <w:smallCaps w:val="false"/>
              </w:rPr>
              <w:t xml:space="preserve"> </w:t>
            </w:r>
            <w:r>
              <w:rPr>
                <w:rFonts w:ascii="Arial;Helvetica;sans-serif" w:hAnsi="Arial;Helvetica;sans-serif"/>
                <w:b w:val="false"/>
                <w:i w:val="false"/>
                <w:caps w:val="false"/>
                <w:smallCaps w:val="false"/>
                <w:sz w:val="20"/>
              </w:rPr>
              <w:t>efficient operational performance through company record uptime performance of 97.7%;</w:t>
            </w:r>
          </w:p>
        </w:tc>
      </w:tr>
    </w:tbl>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P-76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34" w:name="_85ef6851_3d1c_4fac_8cec_4cd00a2982a0"/>
      <w:bookmarkStart w:id="135" w:name="_56830027_5b67_4032_8963_08a30e4ec97f"/>
      <w:bookmarkStart w:id="136" w:name="_85ef6851_3d1c_4fac_8cec_4cd00a2982a0"/>
      <w:bookmarkStart w:id="137" w:name="_56830027_5b67_4032_8963_08a30e4ec97f"/>
      <w:bookmarkEnd w:id="136"/>
      <w:bookmarkEnd w:id="137"/>
    </w:p>
    <w:tbl>
      <w:tblPr>
        <w:tblW w:w="4640" w:type="dxa"/>
        <w:jc w:val="left"/>
        <w:tblInd w:w="0" w:type="dxa"/>
        <w:tblLayout w:type="fixed"/>
        <w:tblCellMar>
          <w:top w:w="0" w:type="dxa"/>
          <w:left w:w="0" w:type="dxa"/>
          <w:bottom w:w="0" w:type="dxa"/>
          <w:right w:w="0" w:type="dxa"/>
        </w:tblCellMar>
      </w:tblPr>
      <w:tblGrid>
        <w:gridCol w:w="124"/>
        <w:gridCol w:w="4516"/>
      </w:tblGrid>
      <w:tr>
        <w:trPr/>
        <w:tc>
          <w:tcPr>
            <w:tcW w:w="124" w:type="dxa"/>
            <w:tcBorders/>
            <w:vAlign w:val="center"/>
          </w:tcPr>
          <w:p>
            <w:pPr>
              <w:pStyle w:val="TableContents"/>
              <w:bidi w:val="0"/>
              <w:spacing w:lineRule="auto" w:line="285" w:before="0" w:after="0"/>
              <w:ind w:left="0" w:right="0" w:hanging="0"/>
              <w:jc w:val="both"/>
              <w:rPr/>
            </w:pPr>
            <w:r>
              <w:rPr/>
              <w:t>​</w:t>
            </w:r>
          </w:p>
        </w:tc>
        <w:tc>
          <w:tcPr>
            <w:tcW w:w="45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451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COMPENSATION DISCUSSION AND ANALYSIS</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Ensuring safe operations for our employees and environment, recording zero operational integrity events and zero lost-time incidents across our entire fleet, and ending the year with a TRIR of 0.19;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Continuing to book and earn market-leading rates – consistent with our focus on owning the highest-specification drilling rigs in the industry.</w:t>
            </w:r>
          </w:p>
        </w:tc>
      </w:tr>
    </w:tbl>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Our active fleet is near full utilization into 2026; and, as of the February 2026 Fleet Status Report, our backlog is approximately $6.1 billion.</w:t>
      </w:r>
    </w:p>
    <w:p>
      <w:pPr>
        <w:pStyle w:val="TextBody"/>
        <w:bidi w:val="0"/>
        <w:spacing w:lineRule="auto" w:line="285" w:before="200" w:after="160"/>
        <w:ind w:left="0" w:right="0" w:hanging="0"/>
        <w:jc w:val="both"/>
        <w:rPr>
          <w:rFonts w:ascii="Arial;Helvetica;sans-serif" w:hAnsi="Arial;Helvetica;sans-serif"/>
          <w:sz w:val="32"/>
        </w:rPr>
      </w:pPr>
      <w:bookmarkStart w:id="138" w:name="COMPENSATIONPROGRAMOV"/>
      <w:bookmarkEnd w:id="138"/>
      <w:r>
        <w:rPr>
          <w:rFonts w:ascii="Arial;Helvetica;sans-serif" w:hAnsi="Arial;Helvetica;sans-serif"/>
          <w:sz w:val="32"/>
        </w:rPr>
        <w:t>2025 Compensation Program Overview</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Our Compensation Committee of the Board of Directors (the “Committee”) considers the long-term interests of the Company and our shareholders when making decisions regarding our compensation programs.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2025 compensation program design for our Named Executive Officers appropriately reflects our strong commitment to best practices in compensation governance and achieves the program design objectives of:</w:t>
      </w:r>
    </w:p>
    <w:p>
      <w:pPr>
        <w:pStyle w:val="TextBody"/>
        <w:bidi w:val="0"/>
        <w:spacing w:lineRule="auto" w:line="285" w:before="0" w:after="0"/>
        <w:ind w:left="0" w:right="0" w:hanging="0"/>
        <w:jc w:val="both"/>
        <w:rPr/>
      </w:pPr>
      <w:r>
        <w:rPr/>
        <w:t>​</w:t>
      </w:r>
    </w:p>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Retaining and motivating our executives to achieve important business objectives;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Rewarding our executives for delivering superior financial, operational, environmental and safety performance; and,</w:t>
            </w:r>
          </w:p>
        </w:tc>
      </w:tr>
    </w:tbl>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Strongly aligning executive pay with Company performance and the shareholder experience.</w:t>
            </w:r>
          </w:p>
        </w:tc>
      </w:tr>
    </w:tbl>
    <w:p>
      <w:pPr>
        <w:pStyle w:val="TextBody"/>
        <w:bidi w:val="0"/>
        <w:spacing w:lineRule="auto" w:line="285" w:before="200" w:after="200"/>
        <w:ind w:left="0" w:right="0" w:hanging="0"/>
        <w:jc w:val="left"/>
        <w:rPr>
          <w:rFonts w:ascii="Arial;Helvetica;sans-serif" w:hAnsi="Arial;Helvetica;sans-serif"/>
          <w:b/>
          <w:color w:val="005670"/>
          <w:sz w:val="20"/>
        </w:rPr>
      </w:pPr>
      <w:r>
        <w:rPr>
          <w:rFonts w:ascii="Arial;Helvetica;sans-serif" w:hAnsi="Arial;Helvetica;sans-serif"/>
          <w:b/>
          <w:color w:val="005670"/>
          <w:sz w:val="20"/>
        </w:rPr>
        <w:t>THE 2025 COMPENSATION ACTIONS REFLECT OUR CONTINUED FOCUS ON BEST-PRACTICE COMPENSATION GOVERNANCE, WHILE MAINTAINING PRUDENTLY DESIGNED, COMPETITIVE COMPENSATION PACKAGES.</w:t>
      </w:r>
    </w:p>
    <w:p>
      <w:pPr>
        <w:pStyle w:val="TextBody"/>
        <w:bidi w:val="0"/>
        <w:spacing w:lineRule="auto" w:line="285" w:before="240" w:after="240"/>
        <w:ind w:left="0" w:right="0" w:hanging="0"/>
        <w:jc w:val="both"/>
        <w:rPr>
          <w:rFonts w:ascii="Arial;Helvetica;sans-serif" w:hAnsi="Arial;Helvetica;sans-serif"/>
          <w:sz w:val="20"/>
        </w:rPr>
      </w:pPr>
      <w:r>
        <w:rPr>
          <w:rFonts w:ascii="Arial;Helvetica;sans-serif" w:hAnsi="Arial;Helvetica;sans-serif"/>
          <w:sz w:val="20"/>
        </w:rPr>
        <w:t>In February 2025, using competitive market analysis provided by its consultant, the Committee evaluated all elements of the compensation program. The Committee’s critical objectives were: retaining key executive talent required for current and future Company financial performance and succession, assessing the alignment between performance and compensation, and analyzing realizable pay relative to target pay as compared to our peers.</w:t>
      </w:r>
    </w:p>
    <w:p>
      <w:pPr>
        <w:pStyle w:val="TextBody"/>
        <w:bidi w:val="0"/>
        <w:spacing w:lineRule="auto" w:line="304" w:before="0" w:after="160"/>
        <w:ind w:left="0" w:right="0" w:hanging="0"/>
        <w:jc w:val="left"/>
        <w:rPr>
          <w:rFonts w:ascii="Arial;Helvetica;sans-serif" w:hAnsi="Arial;Helvetica;sans-serif"/>
          <w:sz w:val="32"/>
        </w:rPr>
      </w:pPr>
      <w:bookmarkStart w:id="139" w:name="CompPhilosophy"/>
      <w:bookmarkStart w:id="140" w:name="Philosophy_329220"/>
      <w:bookmarkEnd w:id="139"/>
      <w:bookmarkEnd w:id="140"/>
      <w:r>
        <w:rPr>
          <w:rFonts w:ascii="Arial;Helvetica;sans-serif" w:hAnsi="Arial;Helvetica;sans-serif"/>
          <w:sz w:val="32"/>
        </w:rPr>
        <w:t>Compensation Philosophy, Strategy and Design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Our executive compensation program includes a range of features that align the interests of our senior management with those of our shareholders and excludes features that may result in misalignment.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Important features of our executive compensation programs and practices are provided in the following table:</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P-77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41" w:name="_a3175b07_0bfc_4273_882e_70aa44627fcf"/>
      <w:bookmarkStart w:id="142" w:name="_a3175b07_0bfc_4273_882e_70aa44627fcf"/>
      <w:bookmarkEnd w:id="142"/>
    </w:p>
    <w:tbl>
      <w:tblPr>
        <w:tblW w:w="4640" w:type="dxa"/>
        <w:jc w:val="left"/>
        <w:tblInd w:w="0" w:type="dxa"/>
        <w:tblLayout w:type="fixed"/>
        <w:tblCellMar>
          <w:top w:w="0" w:type="dxa"/>
          <w:left w:w="0" w:type="dxa"/>
          <w:bottom w:w="0" w:type="dxa"/>
          <w:right w:w="0" w:type="dxa"/>
        </w:tblCellMar>
      </w:tblPr>
      <w:tblGrid>
        <w:gridCol w:w="4486"/>
        <w:gridCol w:w="154"/>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448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COMPENSATION DISCUSSION AND ANALYSIS</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28" w:type="dxa"/>
          <w:right w:w="0" w:type="dxa"/>
        </w:tblCellMar>
      </w:tblPr>
      <w:tblGrid>
        <w:gridCol w:w="4096"/>
        <w:gridCol w:w="346"/>
        <w:gridCol w:w="346"/>
        <w:gridCol w:w="5417"/>
      </w:tblGrid>
      <w:tr>
        <w:trPr/>
        <w:tc>
          <w:tcPr>
            <w:tcW w:w="4096" w:type="dxa"/>
            <w:tcBorders>
              <w:bottom w:val="single" w:sz="12" w:space="0" w:color="ECA44A"/>
            </w:tcBorders>
            <w:vAlign w:val="center"/>
          </w:tcPr>
          <w:p>
            <w:pPr>
              <w:pStyle w:val="TableContents"/>
              <w:pBdr/>
              <w:bidi w:val="0"/>
              <w:spacing w:lineRule="auto" w:line="304" w:before="120" w:after="0"/>
              <w:ind w:left="0" w:right="0" w:hanging="0"/>
              <w:jc w:val="left"/>
              <w:rPr>
                <w:rFonts w:ascii="Arial;Helvetica;sans-serif" w:hAnsi="Arial;Helvetica;sans-serif"/>
                <w:b/>
                <w:color w:val="4B4F54"/>
                <w:sz w:val="20"/>
              </w:rPr>
            </w:pPr>
            <w:r>
              <w:rPr>
                <w:rFonts w:ascii="Arial;Helvetica;sans-serif" w:hAnsi="Arial;Helvetica;sans-serif"/>
                <w:b/>
                <w:color w:val="4B4F54"/>
                <w:sz w:val="20"/>
              </w:rPr>
              <w:t>WHAT WE DO</w:t>
            </w:r>
          </w:p>
        </w:tc>
        <w:tc>
          <w:tcPr>
            <w:tcW w:w="346" w:type="dxa"/>
            <w:tcBorders>
              <w:right w:val="single" w:sz="2" w:space="0" w:color="D9D9D9"/>
            </w:tcBorders>
            <w:tcMar>
              <w:bottom w:w="0" w:type="dxa"/>
              <w:right w:w="28" w:type="dxa"/>
            </w:tcMar>
            <w:vAlign w:val="center"/>
          </w:tcPr>
          <w:p>
            <w:pPr>
              <w:pStyle w:val="TableContents"/>
              <w:bidi w:val="0"/>
              <w:spacing w:lineRule="auto" w:line="285" w:before="0" w:after="0"/>
              <w:ind w:left="0" w:right="0" w:hanging="0"/>
              <w:jc w:val="both"/>
              <w:rPr/>
            </w:pPr>
            <w:r>
              <w:rPr/>
              <w:t>  ​ ​ ​</w:t>
            </w:r>
          </w:p>
        </w:tc>
        <w:tc>
          <w:tcPr>
            <w:tcW w:w="346" w:type="dxa"/>
            <w:tcBorders>
              <w:left w:val="single" w:sz="2" w:space="0" w:color="D9D9D9"/>
            </w:tcBorders>
            <w:tcMar>
              <w:left w:w="28" w:type="dxa"/>
              <w:bottom w:w="0" w:type="dxa"/>
            </w:tcMar>
            <w:vAlign w:val="center"/>
          </w:tcPr>
          <w:p>
            <w:pPr>
              <w:pStyle w:val="TableContents"/>
              <w:bidi w:val="0"/>
              <w:spacing w:lineRule="auto" w:line="285" w:before="0" w:after="0"/>
              <w:ind w:left="0" w:right="0" w:hanging="0"/>
              <w:jc w:val="both"/>
              <w:rPr/>
            </w:pPr>
            <w:r>
              <w:rPr/>
              <w:t>  ​ ​ ​</w:t>
            </w:r>
          </w:p>
        </w:tc>
        <w:tc>
          <w:tcPr>
            <w:tcW w:w="5417" w:type="dxa"/>
            <w:tcBorders>
              <w:bottom w:val="single" w:sz="12" w:space="0" w:color="ECA44A"/>
            </w:tcBorders>
            <w:vAlign w:val="center"/>
          </w:tcPr>
          <w:p>
            <w:pPr>
              <w:pStyle w:val="TableContents"/>
              <w:pBdr/>
              <w:bidi w:val="0"/>
              <w:spacing w:lineRule="auto" w:line="304" w:before="120" w:after="0"/>
              <w:ind w:left="0" w:right="0" w:hanging="0"/>
              <w:jc w:val="left"/>
              <w:rPr>
                <w:rFonts w:ascii="Arial;Helvetica;sans-serif" w:hAnsi="Arial;Helvetica;sans-serif"/>
                <w:b/>
                <w:color w:val="4B4F54"/>
                <w:sz w:val="20"/>
              </w:rPr>
            </w:pPr>
            <w:r>
              <w:rPr>
                <w:rFonts w:ascii="Arial;Helvetica;sans-serif" w:hAnsi="Arial;Helvetica;sans-serif"/>
                <w:b/>
                <w:color w:val="4B4F54"/>
                <w:sz w:val="20"/>
              </w:rPr>
              <w:t>WHAT WE DON’T DO</w:t>
            </w:r>
          </w:p>
        </w:tc>
      </w:tr>
      <w:tr>
        <w:trPr/>
        <w:tc>
          <w:tcPr>
            <w:tcW w:w="4096" w:type="dxa"/>
            <w:tcBorders>
              <w:top w:val="single" w:sz="12" w:space="0" w:color="ECA44A"/>
            </w:tcBorders>
            <w:tcMar>
              <w:top w:w="28" w:type="dxa"/>
              <w:bottom w:w="0" w:type="dxa"/>
            </w:tcMar>
            <w:vAlign w:val="center"/>
          </w:tcPr>
          <w:p>
            <w:pPr>
              <w:pStyle w:val="TableContents"/>
              <w:pBdr/>
              <w:bidi w:val="0"/>
              <w:spacing w:lineRule="atLeast" w:line="220" w:before="120" w:after="120"/>
              <w:ind w:left="0" w:right="0" w:hanging="360"/>
              <w:jc w:val="left"/>
              <w:rPr/>
            </w:pPr>
            <w:r>
              <w:rPr>
                <w:color w:val="00556F"/>
              </w:rPr>
              <w:t>✓</w:t>
            </w:r>
            <w:r>
              <w:rPr/>
              <w:t>    </w:t>
            </w:r>
            <w:r>
              <w:rPr>
                <w:rFonts w:ascii="Arial;Helvetica;sans-serif" w:hAnsi="Arial;Helvetica;sans-serif"/>
                <w:sz w:val="20"/>
              </w:rPr>
              <w:t>Conduct an annual review of our compensation strategy, including a review of our compensation-related risk profile</w:t>
            </w:r>
          </w:p>
          <w:p>
            <w:pPr>
              <w:pStyle w:val="TableContents"/>
              <w:pBdr/>
              <w:bidi w:val="0"/>
              <w:spacing w:lineRule="atLeast" w:line="220" w:before="120" w:after="120"/>
              <w:ind w:left="0" w:right="0" w:hanging="360"/>
              <w:jc w:val="left"/>
              <w:rPr/>
            </w:pPr>
            <w:r>
              <w:rPr>
                <w:color w:val="00556F"/>
              </w:rPr>
              <w:t>✓</w:t>
            </w:r>
            <w:r>
              <w:rPr/>
              <w:t>    </w:t>
            </w:r>
            <w:r>
              <w:rPr>
                <w:rFonts w:ascii="Arial;Helvetica;sans-serif" w:hAnsi="Arial;Helvetica;sans-serif"/>
                <w:sz w:val="20"/>
              </w:rPr>
              <w:t xml:space="preserve">Seek shareholder feedback annually on our executive compensation program through an advisory vote </w:t>
            </w:r>
          </w:p>
          <w:p>
            <w:pPr>
              <w:pStyle w:val="TableContents"/>
              <w:pBdr/>
              <w:bidi w:val="0"/>
              <w:spacing w:lineRule="atLeast" w:line="220" w:before="120" w:after="120"/>
              <w:ind w:left="0" w:right="0" w:hanging="360"/>
              <w:jc w:val="left"/>
              <w:rPr/>
            </w:pPr>
            <w:r>
              <w:rPr>
                <w:color w:val="00556F"/>
              </w:rPr>
              <w:t>✓</w:t>
            </w:r>
            <w:r>
              <w:rPr/>
              <w:t>    </w:t>
            </w:r>
            <w:r>
              <w:rPr>
                <w:rFonts w:ascii="Arial;Helvetica;sans-serif" w:hAnsi="Arial;Helvetica;sans-serif"/>
                <w:sz w:val="20"/>
              </w:rPr>
              <w:t>Mandate meaningful share ownership requirements for our executives</w:t>
            </w:r>
          </w:p>
          <w:p>
            <w:pPr>
              <w:pStyle w:val="TableContents"/>
              <w:pBdr/>
              <w:bidi w:val="0"/>
              <w:spacing w:lineRule="atLeast" w:line="220" w:before="120" w:after="120"/>
              <w:ind w:left="0" w:right="0" w:hanging="360"/>
              <w:jc w:val="left"/>
              <w:rPr/>
            </w:pPr>
            <w:r>
              <w:rPr>
                <w:color w:val="00556F"/>
              </w:rPr>
              <w:t>✓</w:t>
            </w:r>
            <w:r>
              <w:rPr/>
              <w:t>    </w:t>
            </w:r>
            <w:r>
              <w:rPr>
                <w:rFonts w:ascii="Arial;Helvetica;sans-serif" w:hAnsi="Arial;Helvetica;sans-serif"/>
                <w:sz w:val="20"/>
              </w:rPr>
              <w:t>Maintain a clawback policy in accordance with SEC and NYSE requirements providing for the recovery of erroneously awarded incentive-based compensation (cash and equity) in the case of an accounting restatement</w:t>
            </w:r>
          </w:p>
          <w:p>
            <w:pPr>
              <w:pStyle w:val="TableContents"/>
              <w:pBdr/>
              <w:bidi w:val="0"/>
              <w:spacing w:lineRule="atLeast" w:line="220" w:before="120" w:after="120"/>
              <w:ind w:left="0" w:right="0" w:hanging="360"/>
              <w:jc w:val="left"/>
              <w:rPr/>
            </w:pPr>
            <w:r>
              <w:rPr>
                <w:color w:val="00556F"/>
              </w:rPr>
              <w:t>✓</w:t>
            </w:r>
            <w:r>
              <w:rPr/>
              <w:t>    </w:t>
            </w:r>
            <w:r>
              <w:rPr>
                <w:rFonts w:ascii="Arial;Helvetica;sans-serif" w:hAnsi="Arial;Helvetica;sans-serif"/>
                <w:sz w:val="20"/>
              </w:rPr>
              <w:t>Allow for outstanding equity awards to be forfeited for violation of human resource or legal compliance and ethics policies, including the Company’s Code of Integrity</w:t>
            </w:r>
          </w:p>
          <w:p>
            <w:pPr>
              <w:pStyle w:val="TableContents"/>
              <w:pBdr/>
              <w:bidi w:val="0"/>
              <w:spacing w:lineRule="atLeast" w:line="220" w:before="120" w:after="120"/>
              <w:ind w:left="0" w:right="0" w:hanging="360"/>
              <w:jc w:val="left"/>
              <w:rPr/>
            </w:pPr>
            <w:r>
              <w:rPr>
                <w:color w:val="00556F"/>
              </w:rPr>
              <w:t>✓</w:t>
            </w:r>
            <w:r>
              <w:rPr/>
              <w:t>    </w:t>
            </w:r>
            <w:r>
              <w:rPr>
                <w:rFonts w:ascii="Arial;Helvetica;sans-serif" w:hAnsi="Arial;Helvetica;sans-serif"/>
                <w:sz w:val="20"/>
              </w:rPr>
              <w:t>Base annual incentive performance on quantitative, formulaic metrics</w:t>
            </w:r>
          </w:p>
          <w:p>
            <w:pPr>
              <w:pStyle w:val="TableContents"/>
              <w:pBdr/>
              <w:bidi w:val="0"/>
              <w:spacing w:lineRule="atLeast" w:line="220" w:before="120" w:after="120"/>
              <w:ind w:left="0" w:right="0" w:hanging="360"/>
              <w:jc w:val="left"/>
              <w:rPr/>
            </w:pPr>
            <w:r>
              <w:rPr>
                <w:color w:val="00556F"/>
              </w:rPr>
              <w:t>✓</w:t>
            </w:r>
            <w:r>
              <w:rPr/>
              <w:t>    </w:t>
            </w:r>
            <w:r>
              <w:rPr>
                <w:rFonts w:ascii="Arial;Helvetica;sans-serif" w:hAnsi="Arial;Helvetica;sans-serif"/>
                <w:sz w:val="20"/>
              </w:rPr>
              <w:t>Maintain compensation plans that are weighted significantly toward variable pay to align our executive compensation with long-term shareholder interests</w:t>
            </w:r>
          </w:p>
          <w:p>
            <w:pPr>
              <w:pStyle w:val="TableContents"/>
              <w:pBdr/>
              <w:bidi w:val="0"/>
              <w:spacing w:lineRule="atLeast" w:line="220" w:before="120" w:after="120"/>
              <w:ind w:left="0" w:right="0" w:hanging="360"/>
              <w:jc w:val="left"/>
              <w:rPr/>
            </w:pPr>
            <w:r>
              <w:rPr>
                <w:color w:val="00556F"/>
              </w:rPr>
              <w:t>✓</w:t>
            </w:r>
            <w:r>
              <w:rPr/>
              <w:t>    </w:t>
            </w:r>
            <w:r>
              <w:rPr>
                <w:rFonts w:ascii="Arial;Helvetica;sans-serif" w:hAnsi="Arial;Helvetica;sans-serif"/>
                <w:sz w:val="20"/>
              </w:rPr>
              <w:t>Utilize multiple measurement periods and metrics for incentive compensation</w:t>
            </w:r>
          </w:p>
          <w:p>
            <w:pPr>
              <w:pStyle w:val="TableContents"/>
              <w:pBdr/>
              <w:bidi w:val="0"/>
              <w:spacing w:lineRule="auto" w:line="304" w:before="120" w:after="120"/>
              <w:ind w:left="0" w:right="0" w:hanging="360"/>
              <w:jc w:val="left"/>
              <w:rPr/>
            </w:pPr>
            <w:r>
              <w:rPr>
                <w:color w:val="00556F"/>
              </w:rPr>
              <w:t>✓</w:t>
            </w:r>
            <w:r>
              <w:rPr/>
              <w:t>    </w:t>
            </w:r>
            <w:r>
              <w:rPr>
                <w:rFonts w:ascii="Arial;Helvetica;sans-serif" w:hAnsi="Arial;Helvetica;sans-serif"/>
                <w:sz w:val="20"/>
              </w:rPr>
              <w:t>Link long-term incentive compensation to relative performance metrics</w:t>
            </w:r>
          </w:p>
          <w:p>
            <w:pPr>
              <w:pStyle w:val="TableContents"/>
              <w:pBdr/>
              <w:bidi w:val="0"/>
              <w:spacing w:lineRule="auto" w:line="304" w:before="120" w:after="120"/>
              <w:ind w:left="0" w:right="0" w:hanging="360"/>
              <w:jc w:val="left"/>
              <w:rPr/>
            </w:pPr>
            <w:r>
              <w:rPr>
                <w:color w:val="00556F"/>
              </w:rPr>
              <w:t>✓</w:t>
            </w:r>
            <w:r>
              <w:rPr/>
              <w:t>    </w:t>
            </w:r>
            <w:r>
              <w:rPr>
                <w:rFonts w:ascii="Arial;Helvetica;sans-serif" w:hAnsi="Arial;Helvetica;sans-serif"/>
                <w:sz w:val="20"/>
              </w:rPr>
              <w:t>Deliver 100% of long-term incentives in equity, at least 50% of which is in performance-based awards</w:t>
            </w:r>
          </w:p>
          <w:p>
            <w:pPr>
              <w:pStyle w:val="TableContents"/>
              <w:pBdr/>
              <w:bidi w:val="0"/>
              <w:spacing w:lineRule="auto" w:line="304" w:before="120" w:after="120"/>
              <w:ind w:left="0" w:right="0" w:hanging="360"/>
              <w:jc w:val="left"/>
              <w:rPr/>
            </w:pPr>
            <w:r>
              <w:rPr>
                <w:color w:val="00556F"/>
              </w:rPr>
              <w:t>✓</w:t>
            </w:r>
            <w:r>
              <w:rPr/>
              <w:t>    </w:t>
            </w:r>
            <w:r>
              <w:rPr>
                <w:rFonts w:ascii="Arial;Helvetica;sans-serif" w:hAnsi="Arial;Helvetica;sans-serif"/>
                <w:sz w:val="20"/>
              </w:rPr>
              <w:t>Cap the overall performance unit payouts to prevent unintended windfalls</w:t>
            </w:r>
          </w:p>
          <w:p>
            <w:pPr>
              <w:pStyle w:val="TableContents"/>
              <w:pBdr/>
              <w:bidi w:val="0"/>
              <w:spacing w:lineRule="auto" w:line="304" w:before="120" w:after="120"/>
              <w:ind w:left="0" w:right="0" w:hanging="360"/>
              <w:jc w:val="left"/>
              <w:rPr/>
            </w:pPr>
            <w:r>
              <w:rPr>
                <w:color w:val="00556F"/>
              </w:rPr>
              <w:t>✓</w:t>
            </w:r>
            <w:r>
              <w:rPr/>
              <w:t>    </w:t>
            </w:r>
            <w:r>
              <w:rPr>
                <w:rFonts w:ascii="Arial;Helvetica;sans-serif" w:hAnsi="Arial;Helvetica;sans-serif"/>
                <w:sz w:val="20"/>
              </w:rPr>
              <w:t>Retain an independent consultant who reports only to our Compensation Committee (not management)</w:t>
            </w:r>
          </w:p>
          <w:p>
            <w:pPr>
              <w:pStyle w:val="TableContents"/>
              <w:pBdr/>
              <w:bidi w:val="0"/>
              <w:spacing w:lineRule="auto" w:line="304" w:before="120" w:after="120"/>
              <w:ind w:left="0" w:right="0" w:hanging="0"/>
              <w:jc w:val="left"/>
              <w:rPr/>
            </w:pPr>
            <w:r>
              <w:rPr>
                <w:color w:val="00556F"/>
              </w:rPr>
              <w:t>✓</w:t>
            </w:r>
            <w:r>
              <w:rPr/>
              <w:t>    </w:t>
            </w:r>
            <w:r>
              <w:rPr>
                <w:rFonts w:ascii="Arial;Helvetica;sans-serif" w:hAnsi="Arial;Helvetica;sans-serif"/>
                <w:sz w:val="20"/>
              </w:rPr>
              <w:t>Maintain double trigger change-in-control provisions</w:t>
            </w:r>
          </w:p>
        </w:tc>
        <w:tc>
          <w:tcPr>
            <w:tcW w:w="346" w:type="dxa"/>
            <w:tcBorders>
              <w:right w:val="single" w:sz="2" w:space="0" w:color="D9D9D9"/>
            </w:tcBorders>
            <w:tcMar>
              <w:bottom w:w="0" w:type="dxa"/>
              <w:right w:w="28" w:type="dxa"/>
            </w:tcMar>
            <w:vAlign w:val="center"/>
          </w:tcPr>
          <w:p>
            <w:pPr>
              <w:pStyle w:val="TableContents"/>
              <w:bidi w:val="0"/>
              <w:spacing w:lineRule="auto" w:line="285" w:before="0" w:after="0"/>
              <w:ind w:left="0" w:right="0" w:hanging="0"/>
              <w:jc w:val="both"/>
              <w:rPr/>
            </w:pPr>
            <w:r>
              <w:rPr/>
              <w:t>​</w:t>
            </w:r>
          </w:p>
        </w:tc>
        <w:tc>
          <w:tcPr>
            <w:tcW w:w="346" w:type="dxa"/>
            <w:tcBorders>
              <w:left w:val="single" w:sz="2" w:space="0" w:color="D9D9D9"/>
            </w:tcBorders>
            <w:tcMar>
              <w:left w:w="28" w:type="dxa"/>
              <w:bottom w:w="0" w:type="dxa"/>
            </w:tcMar>
            <w:vAlign w:val="center"/>
          </w:tcPr>
          <w:p>
            <w:pPr>
              <w:pStyle w:val="TableContents"/>
              <w:bidi w:val="0"/>
              <w:spacing w:lineRule="auto" w:line="285" w:before="0" w:after="0"/>
              <w:ind w:left="0" w:right="0" w:hanging="0"/>
              <w:jc w:val="both"/>
              <w:rPr/>
            </w:pPr>
            <w:r>
              <w:rPr/>
              <w:t>​</w:t>
            </w:r>
          </w:p>
        </w:tc>
        <w:tc>
          <w:tcPr>
            <w:tcW w:w="5417" w:type="dxa"/>
            <w:tcBorders/>
            <w:tcMar>
              <w:bottom w:w="0" w:type="dxa"/>
            </w:tcMar>
            <w:vAlign w:val="center"/>
          </w:tcPr>
          <w:p>
            <w:pPr>
              <w:pStyle w:val="TableContents"/>
              <w:pBdr/>
              <w:bidi w:val="0"/>
              <w:spacing w:lineRule="auto" w:line="304" w:before="120" w:after="120"/>
              <w:ind w:left="0" w:right="0" w:hanging="360"/>
              <w:jc w:val="left"/>
              <w:rPr/>
            </w:pPr>
            <w:r>
              <w:rPr>
                <w:color w:val="4B4F54"/>
              </w:rPr>
              <w:t>✕  ​ ​</w:t>
            </w:r>
            <w:r>
              <w:rPr>
                <w:rFonts w:ascii="Arial;Helvetica;sans-serif" w:hAnsi="Arial;Helvetica;sans-serif"/>
                <w:sz w:val="20"/>
              </w:rPr>
              <w:t>Allow our executives to hedge, sell short or hold derivative instruments tied to our shares (other than derivative instruments issued by us)</w:t>
            </w:r>
          </w:p>
          <w:p>
            <w:pPr>
              <w:pStyle w:val="TableContents"/>
              <w:pBdr/>
              <w:bidi w:val="0"/>
              <w:spacing w:lineRule="auto" w:line="304" w:before="120" w:after="120"/>
              <w:ind w:left="0" w:right="0" w:hanging="360"/>
              <w:jc w:val="left"/>
              <w:rPr/>
            </w:pPr>
            <w:r>
              <w:rPr>
                <w:color w:val="4B4F54"/>
              </w:rPr>
              <w:t>✕  ​ ​</w:t>
            </w:r>
            <w:r>
              <w:rPr>
                <w:rFonts w:ascii="Arial;Helvetica;sans-serif" w:hAnsi="Arial;Helvetica;sans-serif"/>
                <w:sz w:val="20"/>
              </w:rPr>
              <w:t>Allow our executives or directors to pledge Company shares</w:t>
            </w:r>
          </w:p>
          <w:p>
            <w:pPr>
              <w:pStyle w:val="TableContents"/>
              <w:pBdr/>
              <w:bidi w:val="0"/>
              <w:spacing w:lineRule="auto" w:line="304" w:before="120" w:after="120"/>
              <w:ind w:left="0" w:right="0" w:hanging="360"/>
              <w:jc w:val="left"/>
              <w:rPr/>
            </w:pPr>
            <w:r>
              <w:rPr>
                <w:color w:val="4B4F54"/>
              </w:rPr>
              <w:t>✕  ​ ​</w:t>
            </w:r>
            <w:r>
              <w:rPr>
                <w:rFonts w:ascii="Arial;Helvetica;sans-serif" w:hAnsi="Arial;Helvetica;sans-serif"/>
                <w:sz w:val="20"/>
              </w:rPr>
              <w:t>Allow unearned performance-based full value awards and/or stock options to be counted towards executive stock ownership requirements</w:t>
            </w:r>
          </w:p>
          <w:p>
            <w:pPr>
              <w:pStyle w:val="TableContents"/>
              <w:pBdr/>
              <w:bidi w:val="0"/>
              <w:spacing w:lineRule="auto" w:line="304" w:before="120" w:after="120"/>
              <w:ind w:left="0" w:right="0" w:hanging="360"/>
              <w:jc w:val="left"/>
              <w:rPr/>
            </w:pPr>
            <w:r>
              <w:rPr>
                <w:color w:val="4B4F54"/>
              </w:rPr>
              <w:t>✕  ​ ​</w:t>
            </w:r>
            <w:r>
              <w:rPr>
                <w:rFonts w:ascii="Arial;Helvetica;sans-serif" w:hAnsi="Arial;Helvetica;sans-serif"/>
                <w:sz w:val="20"/>
              </w:rPr>
              <w:t>Have pre-arranged individual severance agreements or special change-in-control compensation agreements with any Executive Officers; however, to the extent permitted under Swiss law, our executives are eligible for severance and change-in-control provisions pursuant to our policies, in exchange for covenants that protect the Company</w:t>
            </w:r>
          </w:p>
          <w:p>
            <w:pPr>
              <w:pStyle w:val="TableContents"/>
              <w:pBdr/>
              <w:bidi w:val="0"/>
              <w:spacing w:lineRule="auto" w:line="304" w:before="120" w:after="120"/>
              <w:ind w:left="0" w:right="0" w:hanging="360"/>
              <w:jc w:val="left"/>
              <w:rPr/>
            </w:pPr>
            <w:r>
              <w:rPr>
                <w:color w:val="4B4F54"/>
              </w:rPr>
              <w:t>✕  ​ ​</w:t>
            </w:r>
            <w:r>
              <w:rPr>
                <w:rFonts w:ascii="Arial;Helvetica;sans-serif" w:hAnsi="Arial;Helvetica;sans-serif"/>
                <w:sz w:val="20"/>
              </w:rPr>
              <w:t>Provide gross-ups for severance payments</w:t>
            </w:r>
          </w:p>
          <w:p>
            <w:pPr>
              <w:pStyle w:val="TableContents"/>
              <w:pBdr/>
              <w:bidi w:val="0"/>
              <w:spacing w:lineRule="auto" w:line="304" w:before="120" w:after="120"/>
              <w:ind w:left="0" w:right="0" w:hanging="360"/>
              <w:jc w:val="left"/>
              <w:rPr/>
            </w:pPr>
            <w:r>
              <w:rPr>
                <w:color w:val="4B4F54"/>
              </w:rPr>
              <w:t>✕  ​ ​</w:t>
            </w:r>
            <w:r>
              <w:rPr>
                <w:rFonts w:ascii="Arial;Helvetica;sans-serif" w:hAnsi="Arial;Helvetica;sans-serif"/>
                <w:sz w:val="20"/>
              </w:rPr>
              <w:t>Guarantee salary increases, non-performance based bonuses or unrestricted equity compensation</w:t>
            </w:r>
          </w:p>
          <w:p>
            <w:pPr>
              <w:pStyle w:val="TableContents"/>
              <w:pBdr/>
              <w:bidi w:val="0"/>
              <w:spacing w:lineRule="auto" w:line="304" w:before="120" w:after="120"/>
              <w:ind w:left="0" w:right="0" w:hanging="360"/>
              <w:jc w:val="left"/>
              <w:rPr/>
            </w:pPr>
            <w:r>
              <w:rPr>
                <w:color w:val="4B4F54"/>
              </w:rPr>
              <w:t>✕  ​ ​</w:t>
            </w:r>
            <w:r>
              <w:rPr>
                <w:rFonts w:ascii="Arial;Helvetica;sans-serif" w:hAnsi="Arial;Helvetica;sans-serif"/>
                <w:sz w:val="20"/>
              </w:rPr>
              <w:t>Provide any payments or reimbursements for tax equalization</w:t>
            </w:r>
          </w:p>
          <w:p>
            <w:pPr>
              <w:pStyle w:val="TableContents"/>
              <w:pBdr/>
              <w:bidi w:val="0"/>
              <w:spacing w:lineRule="auto" w:line="304" w:before="120" w:after="120"/>
              <w:ind w:left="0" w:right="0" w:hanging="360"/>
              <w:jc w:val="left"/>
              <w:rPr/>
            </w:pPr>
            <w:r>
              <w:rPr>
                <w:color w:val="4B4F54"/>
              </w:rPr>
              <w:t>✕  ​ ​</w:t>
            </w:r>
            <w:r>
              <w:rPr>
                <w:rFonts w:ascii="Arial;Helvetica;sans-serif" w:hAnsi="Arial;Helvetica;sans-serif"/>
                <w:sz w:val="20"/>
              </w:rPr>
              <w:t>Pay dividends or dividend equivalents on performance-based equity that has not vested</w:t>
            </w:r>
          </w:p>
          <w:p>
            <w:pPr>
              <w:pStyle w:val="TableContents"/>
              <w:pBdr/>
              <w:bidi w:val="0"/>
              <w:spacing w:lineRule="auto" w:line="304" w:before="120" w:after="120"/>
              <w:ind w:left="0" w:right="0" w:hanging="360"/>
              <w:jc w:val="left"/>
              <w:rPr/>
            </w:pPr>
            <w:r>
              <w:rPr>
                <w:color w:val="4B4F54"/>
              </w:rPr>
              <w:t>✕  ​ ​</w:t>
            </w:r>
            <w:r>
              <w:rPr>
                <w:rFonts w:ascii="Arial;Helvetica;sans-serif" w:hAnsi="Arial;Helvetica;sans-serif"/>
                <w:sz w:val="20"/>
              </w:rPr>
              <w:t>Offer executive perquisites</w:t>
            </w:r>
          </w:p>
        </w:tc>
      </w:tr>
    </w:tbl>
    <w:p>
      <w:pPr>
        <w:pStyle w:val="TextBody"/>
        <w:bidi w:val="0"/>
        <w:spacing w:lineRule="auto" w:line="285" w:before="0" w:after="0"/>
        <w:ind w:left="0" w:right="0" w:hanging="0"/>
        <w:jc w:val="both"/>
        <w:rPr/>
      </w:pPr>
      <w:r>
        <w:rPr/>
        <w:t>​</w:t>
      </w:r>
    </w:p>
    <w:p>
      <w:pPr>
        <w:pStyle w:val="TextBody"/>
        <w:bidi w:val="0"/>
        <w:spacing w:lineRule="auto" w:line="285" w:before="240" w:after="240"/>
        <w:ind w:left="0" w:right="0" w:hanging="0"/>
        <w:jc w:val="both"/>
        <w:rPr>
          <w:rFonts w:ascii="Arial;Helvetica;sans-serif" w:hAnsi="Arial;Helvetica;sans-serif"/>
          <w:b/>
          <w:color w:val="005670"/>
          <w:sz w:val="20"/>
        </w:rPr>
      </w:pPr>
      <w:r>
        <w:rPr>
          <w:rFonts w:ascii="Arial;Helvetica;sans-serif" w:hAnsi="Arial;Helvetica;sans-serif"/>
          <w:b/>
          <w:color w:val="005670"/>
          <w:sz w:val="20"/>
        </w:rPr>
        <w:t>THE PRIMARY GOAL OF OUR COMPENSATION PROGRAM IS TO ALIGN PAY WITH PERFORMANCE.</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We accomplish our goal of aligning pay with performance by providing our executives with a competitive compensation package that rewards performance against specific, strategic, financial and operational goals that the Committee believes are critical to the Company’s long-term success and the achievement of sustainable long-term shareholder returns. Attracting, retaining and motivating talented management is essential to creating shareholder value throughout the business cycles of our industry.</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P-78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124"/>
        <w:gridCol w:w="4516"/>
      </w:tblGrid>
      <w:tr>
        <w:trPr/>
        <w:tc>
          <w:tcPr>
            <w:tcW w:w="124" w:type="dxa"/>
            <w:tcBorders/>
            <w:vAlign w:val="center"/>
          </w:tcPr>
          <w:p>
            <w:pPr>
              <w:pStyle w:val="TableContents"/>
              <w:bidi w:val="0"/>
              <w:spacing w:lineRule="auto" w:line="285" w:before="0" w:after="0"/>
              <w:ind w:left="0" w:right="0" w:hanging="0"/>
              <w:jc w:val="both"/>
              <w:rPr/>
            </w:pPr>
            <w:r>
              <w:rPr/>
              <w:t>​</w:t>
            </w:r>
          </w:p>
        </w:tc>
        <w:tc>
          <w:tcPr>
            <w:tcW w:w="45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451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COMPENSATION DISCUSSION AND ANALYSIS</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 administering our executive compensation program, we are guided by the following principal objectives:</w:t>
      </w:r>
    </w:p>
    <w:tbl>
      <w:tblPr>
        <w:tblW w:w="8781" w:type="dxa"/>
        <w:jc w:val="left"/>
        <w:tblInd w:w="0" w:type="dxa"/>
        <w:tblLayout w:type="fixed"/>
        <w:tblCellMar>
          <w:top w:w="28" w:type="dxa"/>
          <w:left w:w="28" w:type="dxa"/>
          <w:bottom w:w="28" w:type="dxa"/>
          <w:right w:w="28" w:type="dxa"/>
        </w:tblCellMar>
      </w:tblPr>
      <w:tblGrid>
        <w:gridCol w:w="124"/>
        <w:gridCol w:w="256"/>
        <w:gridCol w:w="8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84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Aligning annual incentive compensation with financial, operational and strategic objectives; and</w:t>
            </w:r>
          </w:p>
        </w:tc>
      </w:tr>
    </w:tbl>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Rewarding share price appreciation and relative performance through long-term equity incentive awards.</w:t>
            </w:r>
          </w:p>
        </w:tc>
      </w:tr>
    </w:tbl>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At the 2025 Annual General Meeting, approximately 88% of the votes cast were in favor of the NEO compensation for fiscal year 2025. The Committee recognized the support received from shareholders and viewed the results as a confirmation of our executive compensation programs and policies. We deliver the vast majority of executive pay as performance-based, “at-risk” incentive compensation, with a portion allocated to the delivery of shorter-term periodic results and the majority weighted toward the delivery of longer-term shareholder value. This approach achieves our objective of aligning pay and performance, without providing an incentive for excessive risk-taking. Our shareholders have consistently expressed their support for the Company’s executive compensation principles, and, for the prior ten fiscal years, the shareholder approval levels have been 88% or higher with eight of those years exceeding 95%. The Committee will maintain the practice of assessing shareholder votes and feedback when developing our executive compensation programs.</w:t>
      </w:r>
    </w:p>
    <w:p>
      <w:pPr>
        <w:pStyle w:val="TextBody"/>
        <w:bidi w:val="0"/>
        <w:spacing w:lineRule="auto" w:line="285" w:before="0" w:after="200"/>
        <w:ind w:left="0" w:right="0" w:hanging="0"/>
        <w:jc w:val="center"/>
        <w:rPr>
          <w:rFonts w:ascii="Arial;Helvetica;sans-serif" w:hAnsi="Arial;Helvetica;sans-serif"/>
          <w:b/>
          <w:sz w:val="24"/>
        </w:rPr>
      </w:pPr>
      <w:r>
        <w:rPr>
          <w:rFonts w:ascii="Arial;Helvetica;sans-serif" w:hAnsi="Arial;Helvetica;sans-serif"/>
          <w:b/>
          <w:sz w:val="24"/>
        </w:rPr>
        <w:t>2025 Target Compensation</w:t>
      </w:r>
    </w:p>
    <w:p>
      <w:pPr>
        <w:pStyle w:val="TextBody"/>
        <w:bidi w:val="0"/>
        <w:spacing w:lineRule="auto" w:line="285" w:before="0" w:after="200"/>
        <w:ind w:left="0" w:right="0" w:hanging="0"/>
        <w:jc w:val="center"/>
        <w:rPr/>
      </w:pPr>
      <w:r>
        <w:rPr/>
        <w:drawing>
          <wp:inline distT="0" distB="0" distL="0" distR="0">
            <wp:extent cx="6163310" cy="2642870"/>
            <wp:effectExtent l="0" t="0" r="0" b="0"/>
            <wp:docPr id="205"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24" descr=""/>
                    <pic:cNvPicPr>
                      <a:picLocks noChangeAspect="1" noChangeArrowheads="1"/>
                    </pic:cNvPicPr>
                  </pic:nvPicPr>
                  <pic:blipFill>
                    <a:blip r:embed="rId125"/>
                    <a:stretch>
                      <a:fillRect/>
                    </a:stretch>
                  </pic:blipFill>
                  <pic:spPr bwMode="auto">
                    <a:xfrm>
                      <a:off x="0" y="0"/>
                      <a:ext cx="6163310" cy="2642870"/>
                    </a:xfrm>
                    <a:prstGeom prst="rect">
                      <a:avLst/>
                    </a:prstGeom>
                  </pic:spPr>
                </pic:pic>
              </a:graphicData>
            </a:graphic>
          </wp:inline>
        </w:drawing>
      </w:r>
    </w:p>
    <w:p>
      <w:pPr>
        <w:pStyle w:val="TextBody"/>
        <w:bidi w:val="0"/>
        <w:spacing w:lineRule="auto" w:line="285" w:before="200" w:after="200"/>
        <w:ind w:left="0" w:right="0" w:hanging="0"/>
        <w:jc w:val="both"/>
        <w:rPr>
          <w:rFonts w:ascii="Arial;Helvetica;sans-serif" w:hAnsi="Arial;Helvetica;sans-serif"/>
          <w:sz w:val="16"/>
        </w:rPr>
      </w:pPr>
      <w:r>
        <w:rPr>
          <w:rFonts w:ascii="Arial;Helvetica;sans-serif" w:hAnsi="Arial;Helvetica;sans-serif"/>
          <w:sz w:val="16"/>
        </w:rPr>
        <w:t>*  The individuals who were non-CEO Named Executive Officers during the applicable year are Messrs. Vayda, Long, Mackenzie, and Pack.</w:t>
      </w:r>
    </w:p>
    <w:p>
      <w:pPr>
        <w:pStyle w:val="TextBody"/>
        <w:bidi w:val="0"/>
        <w:spacing w:lineRule="auto" w:line="285" w:before="200" w:after="200"/>
        <w:ind w:left="0" w:right="0" w:hanging="0"/>
        <w:jc w:val="both"/>
        <w:rPr>
          <w:rFonts w:ascii="Arial;Helvetica;sans-serif" w:hAnsi="Arial;Helvetica;sans-serif"/>
          <w:sz w:val="32"/>
        </w:rPr>
      </w:pPr>
      <w:r>
        <w:rPr>
          <w:rFonts w:ascii="Arial;Helvetica;sans-serif" w:hAnsi="Arial;Helvetica;sans-serif"/>
          <w:sz w:val="32"/>
        </w:rPr>
        <w:t>2025 Named Executive Officer Transitions</w:t>
      </w:r>
    </w:p>
    <w:p>
      <w:pPr>
        <w:pStyle w:val="TextBody"/>
        <w:bidi w:val="0"/>
        <w:spacing w:lineRule="auto" w:line="285" w:before="200" w:after="200"/>
        <w:ind w:left="0" w:right="0" w:hanging="0"/>
        <w:jc w:val="both"/>
        <w:rPr>
          <w:rFonts w:ascii="Arial;Helvetica;sans-serif" w:hAnsi="Arial;Helvetica;sans-serif"/>
          <w:sz w:val="20"/>
        </w:rPr>
      </w:pPr>
      <w:r>
        <w:rPr>
          <w:rFonts w:ascii="Arial;Helvetica;sans-serif" w:hAnsi="Arial;Helvetica;sans-serif"/>
          <w:sz w:val="20"/>
        </w:rPr>
        <w:t>In April 2025, the Company announced the transition of two Named Executive Officers: Keelan Adamson was promoted to President and Chief Executive Officer and Jeremy Thigpen became Executive Chair. Additional details regarding Mr. Adamson and Mr. Thigpen’s transition to new roles may be found in the section titled “2025 Named Executive Officer Transitions” included in the Compensation Discussion and Analysis.</w:t>
      </w:r>
    </w:p>
    <w:p>
      <w:pPr>
        <w:pStyle w:val="TextBody"/>
        <w:bidi w:val="0"/>
        <w:spacing w:lineRule="auto" w:line="285" w:before="200" w:after="200"/>
        <w:ind w:left="0" w:right="0" w:hanging="0"/>
        <w:jc w:val="both"/>
        <w:rPr>
          <w:rFonts w:ascii="Arial;Helvetica;sans-serif" w:hAnsi="Arial;Helvetica;sans-serif"/>
          <w:sz w:val="32"/>
        </w:rPr>
      </w:pPr>
      <w:bookmarkStart w:id="143" w:name="SettingComp"/>
      <w:bookmarkStart w:id="144" w:name="Setting_218299"/>
      <w:bookmarkEnd w:id="143"/>
      <w:bookmarkEnd w:id="144"/>
      <w:r>
        <w:rPr>
          <w:rFonts w:ascii="Arial;Helvetica;sans-serif" w:hAnsi="Arial;Helvetica;sans-serif"/>
          <w:sz w:val="32"/>
        </w:rPr>
        <w:t>Setting Executive Compensation</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We annually review our executive compensation program to ensure that we provide the opportunity for each of our Named Executive Officers to receive competitive compensation without providing an incentive for excessive risk-taking. With support from its independent compensation consultant, the Committee annually reviews each </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P-79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4486"/>
        <w:gridCol w:w="154"/>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448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COMPENSATION DISCUSSION AND ANALYSIS</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individual component of compensation as well as the aggregate compensation that may be paid or awarded to each of our Named Executive Officers and compares them:</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Externally against compensation awarded and paid to executive officers holding comparable positions at companies with which we compete for executive talent;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Internally against other members of the executive team to ensure internal equity, taking into account individual performance, skills, experience, and tenure.</w:t>
            </w:r>
          </w:p>
        </w:tc>
      </w:tr>
    </w:tbl>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We assess our compensation programs with the aim of positioning elements of compensation competitively to that of other executives in our industry sector and among companies in other industries of comparable size, international scope, and organizational complexity. We also seek to provide a direct link between pay and the enhancement of shareholder value. The Committee’s independent compensation consultant guides the Committee in evaluating and establishing the appropriate peer groups for this assessment.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Committee, with support from its independent compensation consultant, employs two peer groups for the purpose of evaluating executive compensation. The “Compensation Peer Group” is used to assess the competitiveness of the compensation of our Named Executive Officers, and the “Performance Peer Group” is used to evaluate the relative performance of the Company.</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COMPENSATION PEER GROUP</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We compete for executive talent across many different sectors around the world. However, our primary competitive market generally includes other companies in the energy industry (oil and gas companies, offshore drilling companies and other energy services companies). In making compensation decisions for the Named Executive Officers, the total direct compensation and each underlying element thereof are compared against published and publicly available compensation data.</w:t>
      </w:r>
    </w:p>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Compensation Peer Group for 2025 comprised the following companies:</w:t>
      </w:r>
    </w:p>
    <w:tbl>
      <w:tblPr>
        <w:tblW w:w="9276" w:type="dxa"/>
        <w:jc w:val="left"/>
        <w:tblInd w:w="0" w:type="dxa"/>
        <w:tblLayout w:type="fixed"/>
        <w:tblCellMar>
          <w:top w:w="0" w:type="dxa"/>
          <w:left w:w="28" w:type="dxa"/>
          <w:bottom w:w="0" w:type="dxa"/>
          <w:right w:w="0" w:type="dxa"/>
        </w:tblCellMar>
      </w:tblPr>
      <w:tblGrid>
        <w:gridCol w:w="391"/>
        <w:gridCol w:w="2851"/>
        <w:gridCol w:w="376"/>
        <w:gridCol w:w="2641"/>
        <w:gridCol w:w="376"/>
        <w:gridCol w:w="2641"/>
      </w:tblGrid>
      <w:tr>
        <w:trPr/>
        <w:tc>
          <w:tcPr>
            <w:tcW w:w="391" w:type="dxa"/>
            <w:tcBorders>
              <w:left w:val="single" w:sz="2" w:space="0" w:color="D9D9D9"/>
            </w:tcBorders>
            <w:vAlign w:val="center"/>
          </w:tcPr>
          <w:p>
            <w:pPr>
              <w:pStyle w:val="TableContents"/>
              <w:bidi w:val="0"/>
              <w:spacing w:lineRule="auto" w:line="285" w:before="0" w:after="0"/>
              <w:ind w:left="0" w:right="0" w:hanging="0"/>
              <w:jc w:val="both"/>
              <w:rPr/>
            </w:pPr>
            <w:r>
              <w:rPr/>
              <w:t>​</w:t>
            </w:r>
          </w:p>
        </w:tc>
        <w:tc>
          <w:tcPr>
            <w:tcW w:w="2851" w:type="dxa"/>
            <w:tcBorders/>
            <w:tcMar>
              <w:left w:w="0" w:type="dxa"/>
            </w:tcMar>
            <w:vAlign w:val="center"/>
          </w:tcPr>
          <w:p>
            <w:pPr>
              <w:pStyle w:val="TableContents"/>
              <w:bidi w:val="0"/>
              <w:spacing w:lineRule="auto" w:line="285" w:before="0" w:after="0"/>
              <w:ind w:left="0" w:right="0" w:hanging="0"/>
              <w:jc w:val="both"/>
              <w:rPr/>
            </w:pPr>
            <w:r>
              <w:rPr/>
              <w:t>​</w:t>
            </w:r>
          </w:p>
        </w:tc>
        <w:tc>
          <w:tcPr>
            <w:tcW w:w="376" w:type="dxa"/>
            <w:tcBorders/>
            <w:tcMar>
              <w:left w:w="0" w:type="dxa"/>
            </w:tcMar>
            <w:vAlign w:val="center"/>
          </w:tcPr>
          <w:p>
            <w:pPr>
              <w:pStyle w:val="TableContents"/>
              <w:bidi w:val="0"/>
              <w:spacing w:lineRule="auto" w:line="285" w:before="0" w:after="0"/>
              <w:ind w:left="0" w:right="0" w:hanging="0"/>
              <w:jc w:val="both"/>
              <w:rPr/>
            </w:pPr>
            <w:r>
              <w:rPr/>
              <w:t>​</w:t>
            </w:r>
          </w:p>
        </w:tc>
        <w:tc>
          <w:tcPr>
            <w:tcW w:w="2641" w:type="dxa"/>
            <w:tcBorders/>
            <w:tcMar>
              <w:left w:w="0" w:type="dxa"/>
            </w:tcMar>
            <w:vAlign w:val="center"/>
          </w:tcPr>
          <w:p>
            <w:pPr>
              <w:pStyle w:val="TableContents"/>
              <w:bidi w:val="0"/>
              <w:spacing w:lineRule="auto" w:line="285" w:before="0" w:after="0"/>
              <w:ind w:left="0" w:right="0" w:hanging="0"/>
              <w:jc w:val="both"/>
              <w:rPr/>
            </w:pPr>
            <w:r>
              <w:rPr/>
              <w:t>​</w:t>
            </w:r>
          </w:p>
        </w:tc>
        <w:tc>
          <w:tcPr>
            <w:tcW w:w="376" w:type="dxa"/>
            <w:tcBorders/>
            <w:tcMar>
              <w:left w:w="0" w:type="dxa"/>
            </w:tcMar>
            <w:vAlign w:val="center"/>
          </w:tcPr>
          <w:p>
            <w:pPr>
              <w:pStyle w:val="TableContents"/>
              <w:bidi w:val="0"/>
              <w:spacing w:lineRule="auto" w:line="285" w:before="0" w:after="0"/>
              <w:ind w:left="0" w:right="0" w:hanging="0"/>
              <w:jc w:val="both"/>
              <w:rPr/>
            </w:pPr>
            <w:r>
              <w:rPr/>
              <w:t>​</w:t>
            </w:r>
          </w:p>
        </w:tc>
        <w:tc>
          <w:tcPr>
            <w:tcW w:w="2641" w:type="dxa"/>
            <w:tcBorders/>
            <w:tcMar>
              <w:left w:w="0" w:type="dxa"/>
            </w:tcMar>
            <w:vAlign w:val="center"/>
          </w:tcPr>
          <w:p>
            <w:pPr>
              <w:pStyle w:val="TableContents"/>
              <w:bidi w:val="0"/>
              <w:spacing w:lineRule="auto" w:line="285" w:before="0" w:after="0"/>
              <w:ind w:left="0" w:right="0" w:hanging="0"/>
              <w:jc w:val="both"/>
              <w:rPr/>
            </w:pPr>
            <w:r>
              <w:rPr/>
              <w:t>​</w:t>
            </w:r>
          </w:p>
        </w:tc>
      </w:tr>
      <w:tr>
        <w:trPr/>
        <w:tc>
          <w:tcPr>
            <w:tcW w:w="391" w:type="dxa"/>
            <w:tcBorders>
              <w:left w:val="single" w:sz="2" w:space="0" w:color="D9D9D9"/>
            </w:tcBorders>
            <w:vAlign w:val="center"/>
          </w:tcPr>
          <w:p>
            <w:pPr>
              <w:pStyle w:val="TableContents"/>
              <w:pBdr/>
              <w:bidi w:val="0"/>
              <w:spacing w:lineRule="auto" w:line="304" w:before="100" w:after="0"/>
              <w:ind w:left="0" w:right="0" w:hanging="0"/>
              <w:jc w:val="both"/>
              <w:rPr>
                <w:color w:val="005670"/>
              </w:rPr>
            </w:pPr>
            <w:r>
              <w:rPr>
                <w:color w:val="005670"/>
              </w:rPr>
              <w:t>■  ​</w:t>
            </w:r>
          </w:p>
        </w:tc>
        <w:tc>
          <w:tcPr>
            <w:tcW w:w="2851"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APA Corporation</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641"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McDermott International, Ltd.</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641" w:type="dxa"/>
            <w:tcBorders/>
            <w:tcMar>
              <w:left w:w="0"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Petrofac Limited</w:t>
            </w:r>
          </w:p>
        </w:tc>
      </w:tr>
      <w:tr>
        <w:trPr/>
        <w:tc>
          <w:tcPr>
            <w:tcW w:w="391" w:type="dxa"/>
            <w:tcBorders>
              <w:left w:val="single" w:sz="2" w:space="0" w:color="D9D9D9"/>
            </w:tcBorders>
            <w:vAlign w:val="center"/>
          </w:tcPr>
          <w:p>
            <w:pPr>
              <w:pStyle w:val="TableContents"/>
              <w:pBdr/>
              <w:bidi w:val="0"/>
              <w:spacing w:lineRule="auto" w:line="304" w:before="100" w:after="0"/>
              <w:ind w:left="0" w:right="0" w:hanging="0"/>
              <w:jc w:val="both"/>
              <w:rPr>
                <w:color w:val="005670"/>
              </w:rPr>
            </w:pPr>
            <w:r>
              <w:rPr>
                <w:color w:val="005670"/>
              </w:rPr>
              <w:t>■  ​</w:t>
            </w:r>
          </w:p>
        </w:tc>
        <w:tc>
          <w:tcPr>
            <w:tcW w:w="2851"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Diamond Offshore Drilling, Inc.*</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641"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Murphy Oil Corporation</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641" w:type="dxa"/>
            <w:tcBorders/>
            <w:tcMar>
              <w:left w:w="0"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TechnipFMC plc</w:t>
            </w:r>
          </w:p>
        </w:tc>
      </w:tr>
      <w:tr>
        <w:trPr/>
        <w:tc>
          <w:tcPr>
            <w:tcW w:w="391" w:type="dxa"/>
            <w:tcBorders>
              <w:left w:val="single" w:sz="2" w:space="0" w:color="D9D9D9"/>
            </w:tcBorders>
            <w:vAlign w:val="center"/>
          </w:tcPr>
          <w:p>
            <w:pPr>
              <w:pStyle w:val="TableContents"/>
              <w:pBdr/>
              <w:bidi w:val="0"/>
              <w:spacing w:lineRule="auto" w:line="304" w:before="100" w:after="0"/>
              <w:ind w:left="0" w:right="0" w:hanging="0"/>
              <w:jc w:val="both"/>
              <w:rPr>
                <w:color w:val="005670"/>
              </w:rPr>
            </w:pPr>
            <w:r>
              <w:rPr>
                <w:color w:val="005670"/>
              </w:rPr>
              <w:t>■  ​</w:t>
            </w:r>
          </w:p>
        </w:tc>
        <w:tc>
          <w:tcPr>
            <w:tcW w:w="2851"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Expand Energy Corporation</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641"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Nabors Industries Ltd.</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641" w:type="dxa"/>
            <w:tcBorders/>
            <w:tcMar>
              <w:left w:w="0"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Valaris Limited</w:t>
            </w:r>
          </w:p>
        </w:tc>
      </w:tr>
      <w:tr>
        <w:trPr/>
        <w:tc>
          <w:tcPr>
            <w:tcW w:w="391" w:type="dxa"/>
            <w:tcBorders>
              <w:left w:val="single" w:sz="2" w:space="0" w:color="D9D9D9"/>
            </w:tcBorders>
            <w:vAlign w:val="center"/>
          </w:tcPr>
          <w:p>
            <w:pPr>
              <w:pStyle w:val="TableContents"/>
              <w:pBdr/>
              <w:bidi w:val="0"/>
              <w:spacing w:lineRule="auto" w:line="304" w:before="100" w:after="0"/>
              <w:ind w:left="0" w:right="0" w:hanging="0"/>
              <w:jc w:val="both"/>
              <w:rPr>
                <w:color w:val="005670"/>
              </w:rPr>
            </w:pPr>
            <w:r>
              <w:rPr>
                <w:color w:val="005670"/>
              </w:rPr>
              <w:t>■  ​</w:t>
            </w:r>
          </w:p>
        </w:tc>
        <w:tc>
          <w:tcPr>
            <w:tcW w:w="2851"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Helmerich &amp; Payne, Inc.</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641"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NOV Inc.</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641" w:type="dxa"/>
            <w:tcBorders/>
            <w:tcMar>
              <w:left w:w="0"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Weatherford International plc</w:t>
            </w:r>
          </w:p>
        </w:tc>
      </w:tr>
      <w:tr>
        <w:trPr/>
        <w:tc>
          <w:tcPr>
            <w:tcW w:w="391" w:type="dxa"/>
            <w:tcBorders>
              <w:left w:val="single" w:sz="2" w:space="0" w:color="D9D9D9"/>
            </w:tcBorders>
            <w:vAlign w:val="center"/>
          </w:tcPr>
          <w:p>
            <w:pPr>
              <w:pStyle w:val="TableContents"/>
              <w:pBdr/>
              <w:bidi w:val="0"/>
              <w:spacing w:lineRule="auto" w:line="304" w:before="100" w:after="0"/>
              <w:ind w:left="0" w:right="0" w:hanging="0"/>
              <w:jc w:val="both"/>
              <w:rPr>
                <w:color w:val="005670"/>
              </w:rPr>
            </w:pPr>
            <w:r>
              <w:rPr>
                <w:color w:val="005670"/>
              </w:rPr>
              <w:t>■  ​</w:t>
            </w:r>
          </w:p>
        </w:tc>
        <w:tc>
          <w:tcPr>
            <w:tcW w:w="2851"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Hess Corporation*</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641"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Noble Corporation plc*</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641" w:type="dxa"/>
            <w:tcBorders/>
            <w:tcMar>
              <w:left w:w="0" w:type="dxa"/>
            </w:tcMar>
            <w:vAlign w:val="center"/>
          </w:tcPr>
          <w:p>
            <w:pPr>
              <w:pStyle w:val="TableContents"/>
              <w:bidi w:val="0"/>
              <w:spacing w:before="0" w:after="283"/>
              <w:ind w:left="0" w:right="0" w:hanging="0"/>
              <w:jc w:val="left"/>
              <w:rPr>
                <w:sz w:val="4"/>
                <w:szCs w:val="4"/>
              </w:rPr>
            </w:pPr>
            <w:r>
              <w:rPr>
                <w:sz w:val="4"/>
                <w:szCs w:val="4"/>
              </w:rPr>
            </w:r>
          </w:p>
        </w:tc>
      </w:tr>
      <w:tr>
        <w:trPr/>
        <w:tc>
          <w:tcPr>
            <w:tcW w:w="391" w:type="dxa"/>
            <w:tcBorders>
              <w:left w:val="single" w:sz="2" w:space="0" w:color="D9D9D9"/>
            </w:tcBorders>
            <w:vAlign w:val="center"/>
          </w:tcPr>
          <w:p>
            <w:pPr>
              <w:pStyle w:val="TableContents"/>
              <w:pBdr/>
              <w:bidi w:val="0"/>
              <w:spacing w:lineRule="auto" w:line="304" w:before="100" w:after="0"/>
              <w:ind w:left="0" w:right="0" w:hanging="0"/>
              <w:jc w:val="both"/>
              <w:rPr>
                <w:color w:val="005670"/>
              </w:rPr>
            </w:pPr>
            <w:r>
              <w:rPr>
                <w:color w:val="005670"/>
              </w:rPr>
              <w:t>■  ​</w:t>
            </w:r>
          </w:p>
        </w:tc>
        <w:tc>
          <w:tcPr>
            <w:tcW w:w="2851"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Marathon Oil Corporation*</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641"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Ovintiv Inc.</w:t>
            </w:r>
          </w:p>
        </w:tc>
        <w:tc>
          <w:tcPr>
            <w:tcW w:w="376" w:type="dxa"/>
            <w:tcBorders>
              <w:left w:val="single" w:sz="2" w:space="0" w:color="D9D9D9"/>
            </w:tcBorders>
            <w:vAlign w:val="center"/>
          </w:tcPr>
          <w:p>
            <w:pPr>
              <w:pStyle w:val="TableContents"/>
              <w:bidi w:val="0"/>
              <w:spacing w:lineRule="auto" w:line="285" w:before="100" w:after="0"/>
              <w:ind w:left="0" w:right="0" w:hanging="0"/>
              <w:jc w:val="both"/>
              <w:rPr>
                <w:color w:val="005670"/>
              </w:rPr>
            </w:pPr>
            <w:r>
              <w:rPr>
                <w:color w:val="005670"/>
              </w:rPr>
              <w:t>​</w:t>
            </w:r>
          </w:p>
        </w:tc>
        <w:tc>
          <w:tcPr>
            <w:tcW w:w="2641" w:type="dxa"/>
            <w:tcBorders/>
            <w:tcMar>
              <w:left w:w="0" w:type="dxa"/>
            </w:tcMar>
            <w:vAlign w:val="center"/>
          </w:tcPr>
          <w:p>
            <w:pPr>
              <w:pStyle w:val="TableContents"/>
              <w:bidi w:val="0"/>
              <w:spacing w:lineRule="auto" w:line="285" w:before="100" w:after="0"/>
              <w:ind w:left="0" w:right="0" w:hanging="0"/>
              <w:jc w:val="both"/>
              <w:rPr>
                <w:color w:val="005670"/>
              </w:rPr>
            </w:pPr>
            <w:r>
              <w:rPr>
                <w:color w:val="005670"/>
              </w:rPr>
              <w:t>​</w:t>
            </w:r>
          </w:p>
        </w:tc>
      </w:tr>
      <w:tr>
        <w:trPr/>
        <w:tc>
          <w:tcPr>
            <w:tcW w:w="9276" w:type="dxa"/>
            <w:gridSpan w:val="6"/>
            <w:tcBorders/>
            <w:tcMar>
              <w:left w:w="0" w:type="dxa"/>
            </w:tcMar>
            <w:vAlign w:val="center"/>
          </w:tcPr>
          <w:p>
            <w:pPr>
              <w:pStyle w:val="TableContents"/>
              <w:bidi w:val="0"/>
              <w:spacing w:lineRule="auto" w:line="304" w:before="100" w:after="0"/>
              <w:ind w:left="0" w:right="0" w:hanging="0"/>
              <w:jc w:val="both"/>
              <w:rPr>
                <w:rFonts w:ascii="Arial;Helvetica;sans-serif" w:hAnsi="Arial;Helvetica;sans-serif"/>
                <w:sz w:val="16"/>
              </w:rPr>
            </w:pPr>
            <w:r>
              <w:rPr>
                <w:rFonts w:ascii="Arial;Helvetica;sans-serif" w:hAnsi="Arial;Helvetica;sans-serif"/>
                <w:sz w:val="16"/>
              </w:rPr>
              <w:t>*The Compensation Peer Group for 2025 was established prior to certain corporate transactions involving these companies.</w:t>
            </w:r>
          </w:p>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See additional details regarding prospective changes to the peer group below.</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Recognizing the cyclical nature of the market in which we operate, and the impact that may have on the relative revenue and market capitalization of each peer company at any given time during the course of a downturn or recovery cycle, the Committee maintains a consistent approach to the overall peer company selection so that compensation benchmarks are stable over the course of the market cycle. The Committee adjusts the Compensation Peer Group as peer company consolidation occurs or changes to long-term market conditions evolve.</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Further, we consider the compensation practices of general non-energy industry peers of comparable size and international scope in setting executive compensation levels, and we use general industry data as a secondary market reference to ensure that a comprehensive view of the market is considered. These non-energy general industry peers are expected to vary from year-to-year based on changes in the marketplace and the availability of published survey data for companies that meet the defined size, international scope and organizational structure criteria.</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P-80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124"/>
        <w:gridCol w:w="4516"/>
      </w:tblGrid>
      <w:tr>
        <w:trPr/>
        <w:tc>
          <w:tcPr>
            <w:tcW w:w="124" w:type="dxa"/>
            <w:tcBorders/>
            <w:vAlign w:val="center"/>
          </w:tcPr>
          <w:p>
            <w:pPr>
              <w:pStyle w:val="TableContents"/>
              <w:bidi w:val="0"/>
              <w:spacing w:lineRule="auto" w:line="285" w:before="0" w:after="0"/>
              <w:ind w:left="0" w:right="0" w:hanging="0"/>
              <w:jc w:val="both"/>
              <w:rPr/>
            </w:pPr>
            <w:r>
              <w:rPr/>
              <w:t>​</w:t>
            </w:r>
          </w:p>
        </w:tc>
        <w:tc>
          <w:tcPr>
            <w:tcW w:w="45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451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COMPENSATION DISCUSSION AND ANALYSIS</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Our target market position is determined based on the data believed to be most relevant for a given position. For example, the Compensation Peer Group data are weighted more heavily for positions in Operations and Marketing, whereas general industry data are also considered for executives overseeing corporate functions. However, in accordance with our pay-for-performance philosophy, the Compensation Peer Group data is the primary reference for assessing base salary, short-term incentive and long-term incentive compensation levels.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Following continued consolidation within the industry, as well as feedback from shareholders that encouraged us to consider eliminating certain peers that were at the larger end of our scope range, the Committee’s independent consultant conducted an updated review of the compensation peer group to ensure the peer set continues to provide an accurate representation of the Company’s most relevant markets for talent while taking into account investor feedback. After reviewing the analysis, in late 2025, the Committee further refined the go-forward compensation peer group by eliminating Diamond Offshore, Hess, Marathon Oil, Ovintiv and Petrofac and adding Coterra Energy, Liberty Energy, Matador Resources Company, Oceaneering International Inc., and Patterson-UTI Energy Inc.</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updated Compensation Peer Group comprised the following companies:</w:t>
      </w:r>
    </w:p>
    <w:tbl>
      <w:tblPr>
        <w:tblW w:w="9186" w:type="dxa"/>
        <w:jc w:val="left"/>
        <w:tblInd w:w="0" w:type="dxa"/>
        <w:tblLayout w:type="fixed"/>
        <w:tblCellMar>
          <w:top w:w="0" w:type="dxa"/>
          <w:left w:w="28" w:type="dxa"/>
          <w:bottom w:w="0" w:type="dxa"/>
          <w:right w:w="0" w:type="dxa"/>
        </w:tblCellMar>
      </w:tblPr>
      <w:tblGrid>
        <w:gridCol w:w="391"/>
        <w:gridCol w:w="2686"/>
        <w:gridCol w:w="376"/>
        <w:gridCol w:w="2716"/>
        <w:gridCol w:w="376"/>
        <w:gridCol w:w="2641"/>
      </w:tblGrid>
      <w:tr>
        <w:trPr/>
        <w:tc>
          <w:tcPr>
            <w:tcW w:w="391" w:type="dxa"/>
            <w:tcBorders>
              <w:left w:val="single" w:sz="2" w:space="0" w:color="D9D9D9"/>
            </w:tcBorders>
            <w:vAlign w:val="center"/>
          </w:tcPr>
          <w:p>
            <w:pPr>
              <w:pStyle w:val="TableContents"/>
              <w:bidi w:val="0"/>
              <w:spacing w:lineRule="auto" w:line="285" w:before="0" w:after="0"/>
              <w:ind w:left="0" w:right="0" w:hanging="0"/>
              <w:jc w:val="both"/>
              <w:rPr/>
            </w:pPr>
            <w:r>
              <w:rPr/>
              <w:t>​</w:t>
            </w:r>
          </w:p>
        </w:tc>
        <w:tc>
          <w:tcPr>
            <w:tcW w:w="2686" w:type="dxa"/>
            <w:tcBorders/>
            <w:tcMar>
              <w:left w:w="0" w:type="dxa"/>
            </w:tcMar>
            <w:vAlign w:val="center"/>
          </w:tcPr>
          <w:p>
            <w:pPr>
              <w:pStyle w:val="TableContents"/>
              <w:bidi w:val="0"/>
              <w:spacing w:lineRule="auto" w:line="285" w:before="0" w:after="0"/>
              <w:ind w:left="0" w:right="0" w:hanging="0"/>
              <w:jc w:val="both"/>
              <w:rPr/>
            </w:pPr>
            <w:r>
              <w:rPr/>
              <w:t>​</w:t>
            </w:r>
          </w:p>
        </w:tc>
        <w:tc>
          <w:tcPr>
            <w:tcW w:w="376" w:type="dxa"/>
            <w:tcBorders/>
            <w:tcMar>
              <w:left w:w="0" w:type="dxa"/>
            </w:tcMar>
            <w:vAlign w:val="center"/>
          </w:tcPr>
          <w:p>
            <w:pPr>
              <w:pStyle w:val="TableContents"/>
              <w:bidi w:val="0"/>
              <w:spacing w:lineRule="auto" w:line="285" w:before="0" w:after="0"/>
              <w:ind w:left="0" w:right="0" w:hanging="0"/>
              <w:jc w:val="both"/>
              <w:rPr/>
            </w:pPr>
            <w:r>
              <w:rPr/>
              <w:t>​</w:t>
            </w:r>
          </w:p>
        </w:tc>
        <w:tc>
          <w:tcPr>
            <w:tcW w:w="2716" w:type="dxa"/>
            <w:tcBorders/>
            <w:tcMar>
              <w:left w:w="0" w:type="dxa"/>
            </w:tcMar>
            <w:vAlign w:val="center"/>
          </w:tcPr>
          <w:p>
            <w:pPr>
              <w:pStyle w:val="TableContents"/>
              <w:bidi w:val="0"/>
              <w:spacing w:lineRule="auto" w:line="285" w:before="0" w:after="0"/>
              <w:ind w:left="0" w:right="0" w:hanging="0"/>
              <w:jc w:val="both"/>
              <w:rPr/>
            </w:pPr>
            <w:r>
              <w:rPr/>
              <w:t>​</w:t>
            </w:r>
          </w:p>
        </w:tc>
        <w:tc>
          <w:tcPr>
            <w:tcW w:w="376" w:type="dxa"/>
            <w:tcBorders/>
            <w:tcMar>
              <w:left w:w="0" w:type="dxa"/>
            </w:tcMar>
            <w:vAlign w:val="center"/>
          </w:tcPr>
          <w:p>
            <w:pPr>
              <w:pStyle w:val="TableContents"/>
              <w:bidi w:val="0"/>
              <w:spacing w:lineRule="auto" w:line="285" w:before="0" w:after="0"/>
              <w:ind w:left="0" w:right="0" w:hanging="0"/>
              <w:jc w:val="both"/>
              <w:rPr/>
            </w:pPr>
            <w:r>
              <w:rPr/>
              <w:t>​</w:t>
            </w:r>
          </w:p>
        </w:tc>
        <w:tc>
          <w:tcPr>
            <w:tcW w:w="2641" w:type="dxa"/>
            <w:tcBorders/>
            <w:tcMar>
              <w:left w:w="0" w:type="dxa"/>
            </w:tcMar>
            <w:vAlign w:val="center"/>
          </w:tcPr>
          <w:p>
            <w:pPr>
              <w:pStyle w:val="TableContents"/>
              <w:bidi w:val="0"/>
              <w:spacing w:lineRule="auto" w:line="285" w:before="0" w:after="0"/>
              <w:ind w:left="0" w:right="0" w:hanging="0"/>
              <w:jc w:val="both"/>
              <w:rPr/>
            </w:pPr>
            <w:r>
              <w:rPr/>
              <w:t>​</w:t>
            </w:r>
          </w:p>
        </w:tc>
      </w:tr>
      <w:tr>
        <w:trPr/>
        <w:tc>
          <w:tcPr>
            <w:tcW w:w="391" w:type="dxa"/>
            <w:tcBorders>
              <w:left w:val="single" w:sz="2" w:space="0" w:color="D9D9D9"/>
            </w:tcBorders>
            <w:vAlign w:val="center"/>
          </w:tcPr>
          <w:p>
            <w:pPr>
              <w:pStyle w:val="TableContents"/>
              <w:pBdr/>
              <w:bidi w:val="0"/>
              <w:spacing w:lineRule="auto" w:line="304" w:before="100" w:after="0"/>
              <w:ind w:left="0" w:right="0" w:hanging="0"/>
              <w:jc w:val="both"/>
              <w:rPr>
                <w:color w:val="005670"/>
              </w:rPr>
            </w:pPr>
            <w:r>
              <w:rPr>
                <w:color w:val="005670"/>
              </w:rPr>
              <w:t>■  ​</w:t>
            </w:r>
          </w:p>
        </w:tc>
        <w:tc>
          <w:tcPr>
            <w:tcW w:w="2686"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APA Corporation</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716"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McDermott International, Inc.</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641" w:type="dxa"/>
            <w:tcBorders/>
            <w:tcMar>
              <w:left w:w="0"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Patterson-UTI Energy Inc.</w:t>
            </w:r>
          </w:p>
        </w:tc>
      </w:tr>
      <w:tr>
        <w:trPr/>
        <w:tc>
          <w:tcPr>
            <w:tcW w:w="391" w:type="dxa"/>
            <w:tcBorders>
              <w:left w:val="single" w:sz="2" w:space="0" w:color="D9D9D9"/>
            </w:tcBorders>
            <w:vAlign w:val="center"/>
          </w:tcPr>
          <w:p>
            <w:pPr>
              <w:pStyle w:val="TableContents"/>
              <w:pBdr/>
              <w:bidi w:val="0"/>
              <w:spacing w:lineRule="auto" w:line="304" w:before="100" w:after="0"/>
              <w:ind w:left="0" w:right="0" w:hanging="0"/>
              <w:jc w:val="both"/>
              <w:rPr>
                <w:color w:val="005670"/>
              </w:rPr>
            </w:pPr>
            <w:r>
              <w:rPr>
                <w:color w:val="005670"/>
              </w:rPr>
              <w:t>■  ​</w:t>
            </w:r>
          </w:p>
        </w:tc>
        <w:tc>
          <w:tcPr>
            <w:tcW w:w="2686"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Coterra Energy</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716"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Murphy Oil Corporation</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641" w:type="dxa"/>
            <w:tcBorders/>
            <w:tcMar>
              <w:left w:w="0"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TechnipFMC plc</w:t>
            </w:r>
          </w:p>
        </w:tc>
      </w:tr>
      <w:tr>
        <w:trPr/>
        <w:tc>
          <w:tcPr>
            <w:tcW w:w="391" w:type="dxa"/>
            <w:tcBorders>
              <w:left w:val="single" w:sz="2" w:space="0" w:color="D9D9D9"/>
            </w:tcBorders>
            <w:vAlign w:val="center"/>
          </w:tcPr>
          <w:p>
            <w:pPr>
              <w:pStyle w:val="TableContents"/>
              <w:pBdr/>
              <w:bidi w:val="0"/>
              <w:spacing w:lineRule="auto" w:line="304" w:before="100" w:after="0"/>
              <w:ind w:left="0" w:right="0" w:hanging="0"/>
              <w:jc w:val="both"/>
              <w:rPr>
                <w:color w:val="005670"/>
              </w:rPr>
            </w:pPr>
            <w:r>
              <w:rPr>
                <w:color w:val="005670"/>
              </w:rPr>
              <w:t>■  ​</w:t>
            </w:r>
          </w:p>
        </w:tc>
        <w:tc>
          <w:tcPr>
            <w:tcW w:w="2686"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Expand Energy Corporation</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716"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Nabors Industries Ltd</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641" w:type="dxa"/>
            <w:tcBorders/>
            <w:tcMar>
              <w:left w:w="0"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Valaris Limited</w:t>
            </w:r>
          </w:p>
        </w:tc>
      </w:tr>
      <w:tr>
        <w:trPr/>
        <w:tc>
          <w:tcPr>
            <w:tcW w:w="391" w:type="dxa"/>
            <w:tcBorders>
              <w:left w:val="single" w:sz="2" w:space="0" w:color="D9D9D9"/>
            </w:tcBorders>
            <w:vAlign w:val="center"/>
          </w:tcPr>
          <w:p>
            <w:pPr>
              <w:pStyle w:val="TableContents"/>
              <w:pBdr/>
              <w:bidi w:val="0"/>
              <w:spacing w:lineRule="auto" w:line="304" w:before="100" w:after="0"/>
              <w:ind w:left="0" w:right="0" w:hanging="0"/>
              <w:jc w:val="both"/>
              <w:rPr>
                <w:color w:val="005670"/>
              </w:rPr>
            </w:pPr>
            <w:r>
              <w:rPr>
                <w:color w:val="005670"/>
              </w:rPr>
              <w:t>■  ​</w:t>
            </w:r>
          </w:p>
        </w:tc>
        <w:tc>
          <w:tcPr>
            <w:tcW w:w="2686"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Helmerich &amp; Payne, Inc.</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716"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Noble Corporation plc</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641" w:type="dxa"/>
            <w:tcBorders/>
            <w:tcMar>
              <w:left w:w="0"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Weatherford International plc</w:t>
            </w:r>
          </w:p>
        </w:tc>
      </w:tr>
      <w:tr>
        <w:trPr/>
        <w:tc>
          <w:tcPr>
            <w:tcW w:w="391" w:type="dxa"/>
            <w:tcBorders>
              <w:left w:val="single" w:sz="2" w:space="0" w:color="D9D9D9"/>
            </w:tcBorders>
            <w:vAlign w:val="center"/>
          </w:tcPr>
          <w:p>
            <w:pPr>
              <w:pStyle w:val="TableContents"/>
              <w:pBdr/>
              <w:bidi w:val="0"/>
              <w:spacing w:lineRule="auto" w:line="304" w:before="100" w:after="0"/>
              <w:ind w:left="0" w:right="0" w:hanging="0"/>
              <w:jc w:val="both"/>
              <w:rPr>
                <w:color w:val="005670"/>
              </w:rPr>
            </w:pPr>
            <w:r>
              <w:rPr>
                <w:color w:val="005670"/>
              </w:rPr>
              <w:t>■  ​</w:t>
            </w:r>
          </w:p>
        </w:tc>
        <w:tc>
          <w:tcPr>
            <w:tcW w:w="2686"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Liberty Energy Inc.</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716"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NOV Inc.</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641" w:type="dxa"/>
            <w:tcBorders/>
            <w:tcMar>
              <w:left w:w="0" w:type="dxa"/>
            </w:tcMar>
            <w:vAlign w:val="center"/>
          </w:tcPr>
          <w:p>
            <w:pPr>
              <w:pStyle w:val="TableContents"/>
              <w:bidi w:val="0"/>
              <w:spacing w:before="0" w:after="283"/>
              <w:ind w:left="0" w:right="0" w:hanging="0"/>
              <w:jc w:val="left"/>
              <w:rPr>
                <w:sz w:val="4"/>
                <w:szCs w:val="4"/>
              </w:rPr>
            </w:pPr>
            <w:r>
              <w:rPr>
                <w:sz w:val="4"/>
                <w:szCs w:val="4"/>
              </w:rPr>
            </w:r>
          </w:p>
        </w:tc>
      </w:tr>
      <w:tr>
        <w:trPr/>
        <w:tc>
          <w:tcPr>
            <w:tcW w:w="391" w:type="dxa"/>
            <w:tcBorders>
              <w:left w:val="single" w:sz="2" w:space="0" w:color="D9D9D9"/>
            </w:tcBorders>
            <w:vAlign w:val="center"/>
          </w:tcPr>
          <w:p>
            <w:pPr>
              <w:pStyle w:val="TableContents"/>
              <w:pBdr/>
              <w:bidi w:val="0"/>
              <w:spacing w:lineRule="auto" w:line="304" w:before="100" w:after="0"/>
              <w:ind w:left="0" w:right="0" w:hanging="0"/>
              <w:jc w:val="both"/>
              <w:rPr>
                <w:color w:val="005670"/>
              </w:rPr>
            </w:pPr>
            <w:r>
              <w:rPr>
                <w:color w:val="005670"/>
              </w:rPr>
              <w:t>■  ​</w:t>
            </w:r>
          </w:p>
        </w:tc>
        <w:tc>
          <w:tcPr>
            <w:tcW w:w="2686"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Matador Resources Company</w:t>
            </w:r>
          </w:p>
        </w:tc>
        <w:tc>
          <w:tcPr>
            <w:tcW w:w="376" w:type="dxa"/>
            <w:tcBorders>
              <w:left w:val="single" w:sz="2" w:space="0" w:color="D9D9D9"/>
            </w:tcBorders>
            <w:vAlign w:val="center"/>
          </w:tcPr>
          <w:p>
            <w:pPr>
              <w:pStyle w:val="TableContents"/>
              <w:bidi w:val="0"/>
              <w:spacing w:lineRule="auto" w:line="304" w:before="100" w:after="0"/>
              <w:ind w:left="0" w:right="0" w:hanging="0"/>
              <w:jc w:val="both"/>
              <w:rPr>
                <w:color w:val="005670"/>
              </w:rPr>
            </w:pPr>
            <w:r>
              <w:rPr>
                <w:color w:val="005670"/>
              </w:rPr>
              <w:t>■  ​</w:t>
            </w:r>
          </w:p>
        </w:tc>
        <w:tc>
          <w:tcPr>
            <w:tcW w:w="2716" w:type="dxa"/>
            <w:tcBorders>
              <w:right w:val="single" w:sz="2" w:space="0" w:color="D9D9D9"/>
            </w:tcBorders>
            <w:tcMar>
              <w:left w:w="0" w:type="dxa"/>
              <w:right w:w="28" w:type="dxa"/>
            </w:tcMar>
            <w:vAlign w:val="center"/>
          </w:tcPr>
          <w:p>
            <w:pPr>
              <w:pStyle w:val="TableContents"/>
              <w:bidi w:val="0"/>
              <w:spacing w:lineRule="auto" w:line="304" w:before="100" w:after="0"/>
              <w:ind w:left="0" w:right="0" w:hanging="0"/>
              <w:jc w:val="both"/>
              <w:rPr>
                <w:rFonts w:ascii="Arial;Helvetica;sans-serif" w:hAnsi="Arial;Helvetica;sans-serif"/>
                <w:sz w:val="20"/>
              </w:rPr>
            </w:pPr>
            <w:r>
              <w:rPr>
                <w:rFonts w:ascii="Arial;Helvetica;sans-serif" w:hAnsi="Arial;Helvetica;sans-serif"/>
                <w:sz w:val="20"/>
              </w:rPr>
              <w:t xml:space="preserve">Oceaneering International Inc </w:t>
            </w:r>
          </w:p>
        </w:tc>
        <w:tc>
          <w:tcPr>
            <w:tcW w:w="376" w:type="dxa"/>
            <w:tcBorders>
              <w:left w:val="single" w:sz="2" w:space="0" w:color="D9D9D9"/>
            </w:tcBorders>
            <w:vAlign w:val="center"/>
          </w:tcPr>
          <w:p>
            <w:pPr>
              <w:pStyle w:val="TableContents"/>
              <w:bidi w:val="0"/>
              <w:spacing w:lineRule="auto" w:line="285" w:before="100" w:after="0"/>
              <w:ind w:left="0" w:right="0" w:hanging="0"/>
              <w:jc w:val="both"/>
              <w:rPr>
                <w:color w:val="005670"/>
              </w:rPr>
            </w:pPr>
            <w:r>
              <w:rPr>
                <w:color w:val="005670"/>
              </w:rPr>
              <w:t>​</w:t>
            </w:r>
          </w:p>
        </w:tc>
        <w:tc>
          <w:tcPr>
            <w:tcW w:w="2641" w:type="dxa"/>
            <w:tcBorders/>
            <w:tcMar>
              <w:left w:w="0" w:type="dxa"/>
            </w:tcMar>
            <w:vAlign w:val="center"/>
          </w:tcPr>
          <w:p>
            <w:pPr>
              <w:pStyle w:val="TableContents"/>
              <w:bidi w:val="0"/>
              <w:spacing w:lineRule="auto" w:line="285" w:before="100" w:after="0"/>
              <w:ind w:left="0" w:right="0" w:hanging="0"/>
              <w:jc w:val="both"/>
              <w:rPr>
                <w:color w:val="005670"/>
              </w:rPr>
            </w:pPr>
            <w:r>
              <w:rPr>
                <w:color w:val="005670"/>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PERFORMANCE PEER GROUP</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While the competition for executive talent spans a broader market, our Performance Peer Group is specific to the companies most closely aligned to our business with expertise in technically demanding oilfield services and which are most likely to compete with us for investor capital.</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 February 2025, the Committee evaluated the previously established Performance Peer Group used to measure the Company’s TSR performance relative to that of companies considered to be direct business competitors and competitors for investment capital for inclusion in the 2025 long-term incentive program. The Committee engaged its compensation consultant to perform analyses to assist in the refinement of the peer group by assessing which companies have the strongest correlation to the Company, giving consideration to factors such as emergence from bankruptcy/restructuring and strategic transactions. As a result, the Committee adopted an updated Performance Peer Group that introduced two new peer companies and eliminated one prior peer company.</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resulting Performance Peer Group for 2025 consisted of:</w:t>
      </w:r>
    </w:p>
    <w:tbl>
      <w:tblPr>
        <w:tblW w:w="7716" w:type="dxa"/>
        <w:jc w:val="left"/>
        <w:tblInd w:w="0" w:type="dxa"/>
        <w:tblLayout w:type="fixed"/>
        <w:tblCellMar>
          <w:top w:w="0" w:type="dxa"/>
          <w:left w:w="0" w:type="dxa"/>
          <w:bottom w:w="0" w:type="dxa"/>
          <w:right w:w="0" w:type="dxa"/>
        </w:tblCellMar>
      </w:tblPr>
      <w:tblGrid>
        <w:gridCol w:w="391"/>
        <w:gridCol w:w="2221"/>
        <w:gridCol w:w="376"/>
        <w:gridCol w:w="2776"/>
        <w:gridCol w:w="376"/>
        <w:gridCol w:w="1576"/>
      </w:tblGrid>
      <w:tr>
        <w:trPr/>
        <w:tc>
          <w:tcPr>
            <w:tcW w:w="391" w:type="dxa"/>
            <w:tcBorders/>
            <w:vAlign w:val="center"/>
          </w:tcPr>
          <w:p>
            <w:pPr>
              <w:pStyle w:val="TableContents"/>
              <w:bidi w:val="0"/>
              <w:spacing w:before="0" w:after="283"/>
              <w:ind w:left="0" w:right="0" w:hanging="0"/>
              <w:jc w:val="left"/>
              <w:rPr>
                <w:sz w:val="4"/>
                <w:szCs w:val="4"/>
              </w:rPr>
            </w:pPr>
            <w:r>
              <w:rPr>
                <w:sz w:val="4"/>
                <w:szCs w:val="4"/>
              </w:rPr>
            </w:r>
          </w:p>
        </w:tc>
        <w:tc>
          <w:tcPr>
            <w:tcW w:w="2221"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2776"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1576" w:type="dxa"/>
            <w:tcBorders/>
            <w:vAlign w:val="center"/>
          </w:tcPr>
          <w:p>
            <w:pPr>
              <w:pStyle w:val="TableContents"/>
              <w:bidi w:val="0"/>
              <w:spacing w:before="0" w:after="283"/>
              <w:ind w:left="0" w:right="0" w:hanging="0"/>
              <w:jc w:val="left"/>
              <w:rPr>
                <w:sz w:val="4"/>
                <w:szCs w:val="4"/>
              </w:rPr>
            </w:pPr>
            <w:r>
              <w:rPr>
                <w:sz w:val="4"/>
                <w:szCs w:val="4"/>
              </w:rPr>
            </w:r>
          </w:p>
        </w:tc>
      </w:tr>
      <w:tr>
        <w:trPr/>
        <w:tc>
          <w:tcPr>
            <w:tcW w:w="391" w:type="dxa"/>
            <w:tcBorders>
              <w:left w:val="single" w:sz="2" w:space="0" w:color="D9D9D9"/>
            </w:tcBorders>
            <w:tcMar>
              <w:left w:w="28" w:type="dxa"/>
            </w:tcMar>
            <w:vAlign w:val="center"/>
          </w:tcPr>
          <w:p>
            <w:pPr>
              <w:pStyle w:val="TableContents"/>
              <w:bidi w:val="0"/>
              <w:spacing w:lineRule="auto" w:line="302" w:before="100" w:after="0"/>
              <w:ind w:left="0" w:right="0" w:hanging="0"/>
              <w:jc w:val="left"/>
              <w:rPr>
                <w:color w:val="005670"/>
              </w:rPr>
            </w:pPr>
            <w:r>
              <w:rPr>
                <w:color w:val="005670"/>
              </w:rPr>
              <w:t>■  ​</w:t>
            </w:r>
          </w:p>
        </w:tc>
        <w:tc>
          <w:tcPr>
            <w:tcW w:w="2221" w:type="dxa"/>
            <w:tcBorders>
              <w:right w:val="single" w:sz="2" w:space="0" w:color="D9D9D9"/>
            </w:tcBorders>
            <w:tcMar>
              <w:right w:w="28" w:type="dxa"/>
            </w:tcMar>
            <w:vAlign w:val="center"/>
          </w:tcPr>
          <w:p>
            <w:pPr>
              <w:pStyle w:val="TableContents"/>
              <w:bidi w:val="0"/>
              <w:spacing w:lineRule="auto" w:line="302" w:before="100" w:after="0"/>
              <w:ind w:left="0" w:right="0" w:hanging="0"/>
              <w:jc w:val="left"/>
              <w:rPr>
                <w:rFonts w:ascii="Arial;Helvetica;sans-serif" w:hAnsi="Arial;Helvetica;sans-serif"/>
                <w:sz w:val="20"/>
              </w:rPr>
            </w:pPr>
            <w:r>
              <w:rPr>
                <w:rFonts w:ascii="Arial;Helvetica;sans-serif" w:hAnsi="Arial;Helvetica;sans-serif"/>
                <w:sz w:val="20"/>
              </w:rPr>
              <w:t>Aker Solutions</w:t>
            </w:r>
          </w:p>
        </w:tc>
        <w:tc>
          <w:tcPr>
            <w:tcW w:w="376" w:type="dxa"/>
            <w:tcBorders>
              <w:left w:val="single" w:sz="2" w:space="0" w:color="D9D9D9"/>
            </w:tcBorders>
            <w:tcMar>
              <w:left w:w="28" w:type="dxa"/>
            </w:tcMar>
            <w:vAlign w:val="center"/>
          </w:tcPr>
          <w:p>
            <w:pPr>
              <w:pStyle w:val="TableContents"/>
              <w:bidi w:val="0"/>
              <w:spacing w:lineRule="auto" w:line="302" w:before="100" w:after="0"/>
              <w:ind w:left="0" w:right="0" w:hanging="0"/>
              <w:jc w:val="left"/>
              <w:rPr>
                <w:color w:val="005670"/>
              </w:rPr>
            </w:pPr>
            <w:r>
              <w:rPr>
                <w:color w:val="005670"/>
              </w:rPr>
              <w:t>■  ​</w:t>
            </w:r>
          </w:p>
        </w:tc>
        <w:tc>
          <w:tcPr>
            <w:tcW w:w="2776" w:type="dxa"/>
            <w:tcBorders>
              <w:right w:val="single" w:sz="2" w:space="0" w:color="D9D9D9"/>
            </w:tcBorders>
            <w:tcMar>
              <w:right w:w="28" w:type="dxa"/>
            </w:tcMar>
            <w:vAlign w:val="center"/>
          </w:tcPr>
          <w:p>
            <w:pPr>
              <w:pStyle w:val="TableContents"/>
              <w:bidi w:val="0"/>
              <w:spacing w:lineRule="auto" w:line="302" w:before="100" w:after="0"/>
              <w:ind w:left="0" w:right="0" w:hanging="0"/>
              <w:jc w:val="left"/>
              <w:rPr>
                <w:rFonts w:ascii="Arial;Helvetica;sans-serif" w:hAnsi="Arial;Helvetica;sans-serif"/>
                <w:sz w:val="20"/>
              </w:rPr>
            </w:pPr>
            <w:r>
              <w:rPr>
                <w:rFonts w:ascii="Arial;Helvetica;sans-serif" w:hAnsi="Arial;Helvetica;sans-serif"/>
                <w:sz w:val="20"/>
              </w:rPr>
              <w:t>NOV Inc.</w:t>
            </w:r>
          </w:p>
        </w:tc>
        <w:tc>
          <w:tcPr>
            <w:tcW w:w="376" w:type="dxa"/>
            <w:tcBorders>
              <w:left w:val="single" w:sz="2" w:space="0" w:color="D9D9D9"/>
            </w:tcBorders>
            <w:tcMar>
              <w:left w:w="28" w:type="dxa"/>
            </w:tcMar>
            <w:vAlign w:val="center"/>
          </w:tcPr>
          <w:p>
            <w:pPr>
              <w:pStyle w:val="TableContents"/>
              <w:bidi w:val="0"/>
              <w:spacing w:lineRule="auto" w:line="302" w:before="100" w:after="0"/>
              <w:ind w:left="0" w:right="0" w:hanging="0"/>
              <w:jc w:val="left"/>
              <w:rPr>
                <w:color w:val="005670"/>
              </w:rPr>
            </w:pPr>
            <w:r>
              <w:rPr>
                <w:color w:val="005670"/>
              </w:rPr>
              <w:t>■  ​</w:t>
            </w:r>
          </w:p>
        </w:tc>
        <w:tc>
          <w:tcPr>
            <w:tcW w:w="1576" w:type="dxa"/>
            <w:tcBorders/>
            <w:vAlign w:val="center"/>
          </w:tcPr>
          <w:p>
            <w:pPr>
              <w:pStyle w:val="TableContents"/>
              <w:bidi w:val="0"/>
              <w:spacing w:lineRule="auto" w:line="304" w:before="100" w:after="0"/>
              <w:ind w:left="0" w:right="0" w:hanging="0"/>
              <w:jc w:val="left"/>
              <w:rPr>
                <w:rFonts w:ascii="Arial;Helvetica;sans-serif" w:hAnsi="Arial;Helvetica;sans-serif"/>
                <w:sz w:val="20"/>
              </w:rPr>
            </w:pPr>
            <w:r>
              <w:rPr>
                <w:rFonts w:ascii="Arial;Helvetica;sans-serif" w:hAnsi="Arial;Helvetica;sans-serif"/>
                <w:sz w:val="20"/>
              </w:rPr>
              <w:t>TechnipFMC plc</w:t>
            </w:r>
          </w:p>
        </w:tc>
      </w:tr>
      <w:tr>
        <w:trPr/>
        <w:tc>
          <w:tcPr>
            <w:tcW w:w="391" w:type="dxa"/>
            <w:tcBorders>
              <w:left w:val="single" w:sz="2" w:space="0" w:color="D9D9D9"/>
            </w:tcBorders>
            <w:tcMar>
              <w:left w:w="28" w:type="dxa"/>
            </w:tcMar>
            <w:vAlign w:val="center"/>
          </w:tcPr>
          <w:p>
            <w:pPr>
              <w:pStyle w:val="TableContents"/>
              <w:bidi w:val="0"/>
              <w:spacing w:lineRule="auto" w:line="302" w:before="100" w:after="0"/>
              <w:ind w:left="0" w:right="0" w:hanging="0"/>
              <w:jc w:val="left"/>
              <w:rPr>
                <w:color w:val="005670"/>
              </w:rPr>
            </w:pPr>
            <w:r>
              <w:rPr>
                <w:color w:val="005670"/>
              </w:rPr>
              <w:t>■  ​</w:t>
            </w:r>
          </w:p>
        </w:tc>
        <w:tc>
          <w:tcPr>
            <w:tcW w:w="2221" w:type="dxa"/>
            <w:tcBorders>
              <w:right w:val="single" w:sz="2" w:space="0" w:color="D9D9D9"/>
            </w:tcBorders>
            <w:tcMar>
              <w:right w:w="28" w:type="dxa"/>
            </w:tcMar>
            <w:vAlign w:val="center"/>
          </w:tcPr>
          <w:p>
            <w:pPr>
              <w:pStyle w:val="TableContents"/>
              <w:bidi w:val="0"/>
              <w:spacing w:lineRule="auto" w:line="302" w:before="100" w:after="0"/>
              <w:ind w:left="0" w:right="0" w:hanging="0"/>
              <w:jc w:val="left"/>
              <w:rPr>
                <w:rFonts w:ascii="Arial;Helvetica;sans-serif" w:hAnsi="Arial;Helvetica;sans-serif"/>
                <w:sz w:val="20"/>
              </w:rPr>
            </w:pPr>
            <w:r>
              <w:rPr>
                <w:rFonts w:ascii="Arial;Helvetica;sans-serif" w:hAnsi="Arial;Helvetica;sans-serif"/>
                <w:sz w:val="20"/>
              </w:rPr>
              <w:t>Baker Hughes Company</w:t>
            </w:r>
          </w:p>
        </w:tc>
        <w:tc>
          <w:tcPr>
            <w:tcW w:w="376" w:type="dxa"/>
            <w:tcBorders>
              <w:left w:val="single" w:sz="2" w:space="0" w:color="D9D9D9"/>
            </w:tcBorders>
            <w:tcMar>
              <w:left w:w="28" w:type="dxa"/>
            </w:tcMar>
            <w:vAlign w:val="center"/>
          </w:tcPr>
          <w:p>
            <w:pPr>
              <w:pStyle w:val="TableContents"/>
              <w:bidi w:val="0"/>
              <w:spacing w:lineRule="auto" w:line="302" w:before="100" w:after="0"/>
              <w:ind w:left="0" w:right="0" w:hanging="0"/>
              <w:jc w:val="left"/>
              <w:rPr>
                <w:color w:val="005670"/>
              </w:rPr>
            </w:pPr>
            <w:r>
              <w:rPr>
                <w:color w:val="005670"/>
              </w:rPr>
              <w:t>■  ​</w:t>
            </w:r>
          </w:p>
        </w:tc>
        <w:tc>
          <w:tcPr>
            <w:tcW w:w="2776" w:type="dxa"/>
            <w:tcBorders>
              <w:right w:val="single" w:sz="2" w:space="0" w:color="D9D9D9"/>
            </w:tcBorders>
            <w:tcMar>
              <w:right w:w="28" w:type="dxa"/>
            </w:tcMar>
            <w:vAlign w:val="center"/>
          </w:tcPr>
          <w:p>
            <w:pPr>
              <w:pStyle w:val="TableContents"/>
              <w:bidi w:val="0"/>
              <w:spacing w:lineRule="auto" w:line="302" w:before="100" w:after="0"/>
              <w:ind w:left="0" w:right="0" w:hanging="0"/>
              <w:jc w:val="left"/>
              <w:rPr>
                <w:rFonts w:ascii="Arial;Helvetica;sans-serif" w:hAnsi="Arial;Helvetica;sans-serif"/>
                <w:sz w:val="20"/>
              </w:rPr>
            </w:pPr>
            <w:r>
              <w:rPr>
                <w:rFonts w:ascii="Arial;Helvetica;sans-serif" w:hAnsi="Arial;Helvetica;sans-serif"/>
                <w:sz w:val="20"/>
              </w:rPr>
              <w:t>Oceaneering International, Inc.</w:t>
            </w:r>
          </w:p>
        </w:tc>
        <w:tc>
          <w:tcPr>
            <w:tcW w:w="376" w:type="dxa"/>
            <w:tcBorders>
              <w:left w:val="single" w:sz="2" w:space="0" w:color="D9D9D9"/>
            </w:tcBorders>
            <w:tcMar>
              <w:left w:w="28" w:type="dxa"/>
            </w:tcMar>
            <w:vAlign w:val="center"/>
          </w:tcPr>
          <w:p>
            <w:pPr>
              <w:pStyle w:val="TableContents"/>
              <w:bidi w:val="0"/>
              <w:spacing w:lineRule="auto" w:line="304" w:before="100" w:after="0"/>
              <w:ind w:left="0" w:right="0" w:hanging="0"/>
              <w:jc w:val="left"/>
              <w:rPr>
                <w:color w:val="005670"/>
              </w:rPr>
            </w:pPr>
            <w:r>
              <w:rPr>
                <w:color w:val="005670"/>
              </w:rPr>
              <w:t>■  ​</w:t>
            </w:r>
          </w:p>
        </w:tc>
        <w:tc>
          <w:tcPr>
            <w:tcW w:w="1576" w:type="dxa"/>
            <w:tcBorders/>
            <w:vAlign w:val="center"/>
          </w:tcPr>
          <w:p>
            <w:pPr>
              <w:pStyle w:val="TableContents"/>
              <w:bidi w:val="0"/>
              <w:spacing w:lineRule="auto" w:line="304" w:before="100" w:after="0"/>
              <w:ind w:left="0" w:right="0" w:hanging="0"/>
              <w:jc w:val="left"/>
              <w:rPr>
                <w:rFonts w:ascii="Arial;Helvetica;sans-serif" w:hAnsi="Arial;Helvetica;sans-serif"/>
                <w:sz w:val="20"/>
              </w:rPr>
            </w:pPr>
            <w:r>
              <w:rPr>
                <w:rFonts w:ascii="Arial;Helvetica;sans-serif" w:hAnsi="Arial;Helvetica;sans-serif"/>
                <w:sz w:val="20"/>
              </w:rPr>
              <w:t>Tidewater Inc.</w:t>
            </w:r>
          </w:p>
        </w:tc>
      </w:tr>
      <w:tr>
        <w:trPr/>
        <w:tc>
          <w:tcPr>
            <w:tcW w:w="391" w:type="dxa"/>
            <w:tcBorders>
              <w:left w:val="single" w:sz="2" w:space="0" w:color="D9D9D9"/>
            </w:tcBorders>
            <w:tcMar>
              <w:left w:w="28" w:type="dxa"/>
            </w:tcMar>
            <w:vAlign w:val="center"/>
          </w:tcPr>
          <w:p>
            <w:pPr>
              <w:pStyle w:val="TableContents"/>
              <w:bidi w:val="0"/>
              <w:spacing w:lineRule="auto" w:line="302" w:before="100" w:after="0"/>
              <w:ind w:left="0" w:right="0" w:hanging="0"/>
              <w:jc w:val="left"/>
              <w:rPr>
                <w:color w:val="005670"/>
              </w:rPr>
            </w:pPr>
            <w:r>
              <w:rPr>
                <w:color w:val="005670"/>
              </w:rPr>
              <w:t>■  ​</w:t>
            </w:r>
          </w:p>
        </w:tc>
        <w:tc>
          <w:tcPr>
            <w:tcW w:w="2221" w:type="dxa"/>
            <w:tcBorders>
              <w:right w:val="single" w:sz="2" w:space="0" w:color="D9D9D9"/>
            </w:tcBorders>
            <w:tcMar>
              <w:right w:w="28" w:type="dxa"/>
            </w:tcMar>
            <w:vAlign w:val="center"/>
          </w:tcPr>
          <w:p>
            <w:pPr>
              <w:pStyle w:val="TableContents"/>
              <w:bidi w:val="0"/>
              <w:spacing w:lineRule="auto" w:line="302" w:before="100" w:after="0"/>
              <w:ind w:left="0" w:right="0" w:hanging="0"/>
              <w:jc w:val="left"/>
              <w:rPr>
                <w:rFonts w:ascii="Arial;Helvetica;sans-serif" w:hAnsi="Arial;Helvetica;sans-serif"/>
                <w:sz w:val="20"/>
              </w:rPr>
            </w:pPr>
            <w:r>
              <w:rPr>
                <w:rFonts w:ascii="Arial;Helvetica;sans-serif" w:hAnsi="Arial;Helvetica;sans-serif"/>
                <w:sz w:val="20"/>
              </w:rPr>
              <w:t>Borr Drilling Limited</w:t>
            </w:r>
          </w:p>
        </w:tc>
        <w:tc>
          <w:tcPr>
            <w:tcW w:w="376" w:type="dxa"/>
            <w:tcBorders>
              <w:left w:val="single" w:sz="2" w:space="0" w:color="D9D9D9"/>
            </w:tcBorders>
            <w:tcMar>
              <w:left w:w="28" w:type="dxa"/>
            </w:tcMar>
            <w:vAlign w:val="center"/>
          </w:tcPr>
          <w:p>
            <w:pPr>
              <w:pStyle w:val="TableContents"/>
              <w:bidi w:val="0"/>
              <w:spacing w:lineRule="auto" w:line="302" w:before="100" w:after="0"/>
              <w:ind w:left="0" w:right="0" w:hanging="0"/>
              <w:jc w:val="left"/>
              <w:rPr>
                <w:color w:val="005670"/>
              </w:rPr>
            </w:pPr>
            <w:r>
              <w:rPr>
                <w:color w:val="005670"/>
              </w:rPr>
              <w:t>■  ​</w:t>
            </w:r>
          </w:p>
        </w:tc>
        <w:tc>
          <w:tcPr>
            <w:tcW w:w="2776" w:type="dxa"/>
            <w:tcBorders>
              <w:right w:val="single" w:sz="2" w:space="0" w:color="D9D9D9"/>
            </w:tcBorders>
            <w:tcMar>
              <w:right w:w="28" w:type="dxa"/>
            </w:tcMar>
            <w:vAlign w:val="center"/>
          </w:tcPr>
          <w:p>
            <w:pPr>
              <w:pStyle w:val="TableContents"/>
              <w:bidi w:val="0"/>
              <w:spacing w:lineRule="auto" w:line="302" w:before="100" w:after="0"/>
              <w:ind w:left="0" w:right="0" w:hanging="0"/>
              <w:jc w:val="left"/>
              <w:rPr>
                <w:rFonts w:ascii="Arial;Helvetica;sans-serif" w:hAnsi="Arial;Helvetica;sans-serif"/>
                <w:sz w:val="20"/>
              </w:rPr>
            </w:pPr>
            <w:r>
              <w:rPr>
                <w:rFonts w:ascii="Arial;Helvetica;sans-serif" w:hAnsi="Arial;Helvetica;sans-serif"/>
                <w:sz w:val="20"/>
              </w:rPr>
              <w:t>Oil States International, Inc.</w:t>
            </w:r>
          </w:p>
        </w:tc>
        <w:tc>
          <w:tcPr>
            <w:tcW w:w="376" w:type="dxa"/>
            <w:tcBorders>
              <w:left w:val="single" w:sz="2" w:space="0" w:color="D9D9D9"/>
            </w:tcBorders>
            <w:tcMar>
              <w:left w:w="28" w:type="dxa"/>
            </w:tcMar>
            <w:vAlign w:val="center"/>
          </w:tcPr>
          <w:p>
            <w:pPr>
              <w:pStyle w:val="TableContents"/>
              <w:bidi w:val="0"/>
              <w:spacing w:lineRule="auto" w:line="304" w:before="100" w:after="0"/>
              <w:ind w:left="0" w:right="0" w:hanging="0"/>
              <w:jc w:val="left"/>
              <w:rPr>
                <w:color w:val="005670"/>
              </w:rPr>
            </w:pPr>
            <w:r>
              <w:rPr>
                <w:color w:val="005670"/>
              </w:rPr>
              <w:t>■  ​</w:t>
            </w:r>
          </w:p>
        </w:tc>
        <w:tc>
          <w:tcPr>
            <w:tcW w:w="1576" w:type="dxa"/>
            <w:tcBorders/>
            <w:vAlign w:val="center"/>
          </w:tcPr>
          <w:p>
            <w:pPr>
              <w:pStyle w:val="TableContents"/>
              <w:bidi w:val="0"/>
              <w:spacing w:lineRule="auto" w:line="304" w:before="100" w:after="0"/>
              <w:ind w:left="0" w:right="0" w:hanging="0"/>
              <w:jc w:val="left"/>
              <w:rPr>
                <w:rFonts w:ascii="Arial;Helvetica;sans-serif" w:hAnsi="Arial;Helvetica;sans-serif"/>
                <w:sz w:val="20"/>
              </w:rPr>
            </w:pPr>
            <w:r>
              <w:rPr>
                <w:rFonts w:ascii="Arial;Helvetica;sans-serif" w:hAnsi="Arial;Helvetica;sans-serif"/>
                <w:sz w:val="20"/>
              </w:rPr>
              <w:t>Valaris Limited</w:t>
            </w:r>
          </w:p>
        </w:tc>
      </w:tr>
      <w:tr>
        <w:trPr/>
        <w:tc>
          <w:tcPr>
            <w:tcW w:w="391" w:type="dxa"/>
            <w:tcBorders>
              <w:left w:val="single" w:sz="2" w:space="0" w:color="D9D9D9"/>
            </w:tcBorders>
            <w:tcMar>
              <w:left w:w="28" w:type="dxa"/>
            </w:tcMar>
            <w:vAlign w:val="center"/>
          </w:tcPr>
          <w:p>
            <w:pPr>
              <w:pStyle w:val="TableContents"/>
              <w:bidi w:val="0"/>
              <w:spacing w:lineRule="auto" w:line="302" w:before="100" w:after="0"/>
              <w:ind w:left="0" w:right="0" w:hanging="0"/>
              <w:jc w:val="left"/>
              <w:rPr>
                <w:color w:val="005670"/>
              </w:rPr>
            </w:pPr>
            <w:r>
              <w:rPr>
                <w:color w:val="005670"/>
              </w:rPr>
              <w:t>■  ​</w:t>
            </w:r>
          </w:p>
        </w:tc>
        <w:tc>
          <w:tcPr>
            <w:tcW w:w="2221" w:type="dxa"/>
            <w:tcBorders>
              <w:right w:val="single" w:sz="2" w:space="0" w:color="D9D9D9"/>
            </w:tcBorders>
            <w:tcMar>
              <w:right w:w="28" w:type="dxa"/>
            </w:tcMar>
            <w:vAlign w:val="center"/>
          </w:tcPr>
          <w:p>
            <w:pPr>
              <w:pStyle w:val="TableContents"/>
              <w:bidi w:val="0"/>
              <w:spacing w:lineRule="auto" w:line="302" w:before="100" w:after="0"/>
              <w:ind w:left="0" w:right="0" w:hanging="0"/>
              <w:jc w:val="left"/>
              <w:rPr>
                <w:rFonts w:ascii="Arial;Helvetica;sans-serif" w:hAnsi="Arial;Helvetica;sans-serif"/>
                <w:sz w:val="20"/>
              </w:rPr>
            </w:pPr>
            <w:r>
              <w:rPr>
                <w:rFonts w:ascii="Arial;Helvetica;sans-serif" w:hAnsi="Arial;Helvetica;sans-serif"/>
                <w:sz w:val="20"/>
              </w:rPr>
              <w:t>Helmrich &amp; Payne, Inc.</w:t>
            </w:r>
          </w:p>
        </w:tc>
        <w:tc>
          <w:tcPr>
            <w:tcW w:w="376" w:type="dxa"/>
            <w:tcBorders>
              <w:left w:val="single" w:sz="2" w:space="0" w:color="D9D9D9"/>
            </w:tcBorders>
            <w:tcMar>
              <w:left w:w="28" w:type="dxa"/>
            </w:tcMar>
            <w:vAlign w:val="center"/>
          </w:tcPr>
          <w:p>
            <w:pPr>
              <w:pStyle w:val="TableContents"/>
              <w:bidi w:val="0"/>
              <w:spacing w:lineRule="auto" w:line="302" w:before="100" w:after="0"/>
              <w:ind w:left="0" w:right="0" w:hanging="0"/>
              <w:jc w:val="left"/>
              <w:rPr>
                <w:color w:val="005670"/>
              </w:rPr>
            </w:pPr>
            <w:r>
              <w:rPr>
                <w:color w:val="005670"/>
              </w:rPr>
              <w:t>■  ​</w:t>
            </w:r>
          </w:p>
        </w:tc>
        <w:tc>
          <w:tcPr>
            <w:tcW w:w="2776" w:type="dxa"/>
            <w:tcBorders>
              <w:right w:val="single" w:sz="2" w:space="0" w:color="D9D9D9"/>
            </w:tcBorders>
            <w:tcMar>
              <w:right w:w="28" w:type="dxa"/>
            </w:tcMar>
            <w:vAlign w:val="center"/>
          </w:tcPr>
          <w:p>
            <w:pPr>
              <w:pStyle w:val="TableContents"/>
              <w:bidi w:val="0"/>
              <w:spacing w:lineRule="auto" w:line="302" w:before="100" w:after="0"/>
              <w:ind w:left="0" w:right="0" w:hanging="0"/>
              <w:jc w:val="left"/>
              <w:rPr>
                <w:rFonts w:ascii="Arial;Helvetica;sans-serif" w:hAnsi="Arial;Helvetica;sans-serif"/>
                <w:sz w:val="20"/>
              </w:rPr>
            </w:pPr>
            <w:r>
              <w:rPr>
                <w:rFonts w:ascii="Arial;Helvetica;sans-serif" w:hAnsi="Arial;Helvetica;sans-serif"/>
                <w:sz w:val="20"/>
              </w:rPr>
              <w:t>Seadrill Limited</w:t>
            </w:r>
          </w:p>
        </w:tc>
        <w:tc>
          <w:tcPr>
            <w:tcW w:w="376" w:type="dxa"/>
            <w:tcBorders>
              <w:left w:val="single" w:sz="2" w:space="0" w:color="D9D9D9"/>
            </w:tcBorders>
            <w:tcMar>
              <w:left w:w="28" w:type="dxa"/>
            </w:tcMar>
            <w:vAlign w:val="center"/>
          </w:tcPr>
          <w:p>
            <w:pPr>
              <w:pStyle w:val="TableContents"/>
              <w:bidi w:val="0"/>
              <w:spacing w:lineRule="auto" w:line="304" w:before="100" w:after="0"/>
              <w:ind w:left="0" w:right="0" w:hanging="0"/>
              <w:jc w:val="left"/>
              <w:rPr>
                <w:color w:val="005670"/>
              </w:rPr>
            </w:pPr>
            <w:r>
              <w:rPr>
                <w:color w:val="005670"/>
              </w:rPr>
              <w:t>  ​</w:t>
            </w:r>
          </w:p>
        </w:tc>
        <w:tc>
          <w:tcPr>
            <w:tcW w:w="1576" w:type="dxa"/>
            <w:tcBorders/>
            <w:vAlign w:val="center"/>
          </w:tcPr>
          <w:p>
            <w:pPr>
              <w:pStyle w:val="TableContents"/>
              <w:bidi w:val="0"/>
              <w:spacing w:before="0" w:after="283"/>
              <w:ind w:left="0" w:right="0" w:hanging="0"/>
              <w:jc w:val="left"/>
              <w:rPr>
                <w:sz w:val="4"/>
                <w:szCs w:val="4"/>
              </w:rPr>
            </w:pPr>
            <w:r>
              <w:rPr>
                <w:sz w:val="4"/>
                <w:szCs w:val="4"/>
              </w:rPr>
            </w:r>
          </w:p>
        </w:tc>
      </w:tr>
      <w:tr>
        <w:trPr/>
        <w:tc>
          <w:tcPr>
            <w:tcW w:w="391" w:type="dxa"/>
            <w:tcBorders>
              <w:left w:val="single" w:sz="2" w:space="0" w:color="D9D9D9"/>
            </w:tcBorders>
            <w:tcMar>
              <w:left w:w="28" w:type="dxa"/>
            </w:tcMar>
            <w:vAlign w:val="center"/>
          </w:tcPr>
          <w:p>
            <w:pPr>
              <w:pStyle w:val="TableContents"/>
              <w:bidi w:val="0"/>
              <w:spacing w:lineRule="auto" w:line="302" w:before="100" w:after="0"/>
              <w:ind w:left="0" w:right="0" w:hanging="0"/>
              <w:jc w:val="left"/>
              <w:rPr>
                <w:color w:val="005670"/>
              </w:rPr>
            </w:pPr>
            <w:r>
              <w:rPr>
                <w:color w:val="005670"/>
              </w:rPr>
              <w:t>■  ​</w:t>
            </w:r>
          </w:p>
        </w:tc>
        <w:tc>
          <w:tcPr>
            <w:tcW w:w="2221" w:type="dxa"/>
            <w:tcBorders>
              <w:right w:val="single" w:sz="2" w:space="0" w:color="D9D9D9"/>
            </w:tcBorders>
            <w:tcMar>
              <w:right w:w="28" w:type="dxa"/>
            </w:tcMar>
            <w:vAlign w:val="center"/>
          </w:tcPr>
          <w:p>
            <w:pPr>
              <w:pStyle w:val="TableContents"/>
              <w:bidi w:val="0"/>
              <w:spacing w:lineRule="auto" w:line="302" w:before="100" w:after="0"/>
              <w:ind w:left="0" w:right="0" w:hanging="0"/>
              <w:jc w:val="left"/>
              <w:rPr>
                <w:rFonts w:ascii="Arial;Helvetica;sans-serif" w:hAnsi="Arial;Helvetica;sans-serif"/>
                <w:sz w:val="20"/>
              </w:rPr>
            </w:pPr>
            <w:r>
              <w:rPr>
                <w:rFonts w:ascii="Arial;Helvetica;sans-serif" w:hAnsi="Arial;Helvetica;sans-serif"/>
                <w:sz w:val="20"/>
              </w:rPr>
              <w:t>Noble Corporation plc</w:t>
            </w:r>
          </w:p>
        </w:tc>
        <w:tc>
          <w:tcPr>
            <w:tcW w:w="376" w:type="dxa"/>
            <w:tcBorders>
              <w:left w:val="single" w:sz="2" w:space="0" w:color="D9D9D9"/>
            </w:tcBorders>
            <w:tcMar>
              <w:left w:w="28" w:type="dxa"/>
            </w:tcMar>
            <w:vAlign w:val="center"/>
          </w:tcPr>
          <w:p>
            <w:pPr>
              <w:pStyle w:val="TableContents"/>
              <w:bidi w:val="0"/>
              <w:spacing w:lineRule="auto" w:line="302" w:before="100" w:after="0"/>
              <w:ind w:left="0" w:right="0" w:hanging="0"/>
              <w:jc w:val="left"/>
              <w:rPr>
                <w:color w:val="005670"/>
              </w:rPr>
            </w:pPr>
            <w:r>
              <w:rPr>
                <w:color w:val="005670"/>
              </w:rPr>
              <w:t>■  ​</w:t>
            </w:r>
          </w:p>
        </w:tc>
        <w:tc>
          <w:tcPr>
            <w:tcW w:w="2776" w:type="dxa"/>
            <w:tcBorders>
              <w:right w:val="single" w:sz="2" w:space="0" w:color="D9D9D9"/>
            </w:tcBorders>
            <w:tcMar>
              <w:right w:w="28" w:type="dxa"/>
            </w:tcMar>
            <w:vAlign w:val="center"/>
          </w:tcPr>
          <w:p>
            <w:pPr>
              <w:pStyle w:val="TableContents"/>
              <w:bidi w:val="0"/>
              <w:spacing w:lineRule="auto" w:line="302" w:before="100" w:after="0"/>
              <w:ind w:left="0" w:right="0" w:hanging="0"/>
              <w:jc w:val="left"/>
              <w:rPr>
                <w:rFonts w:ascii="Arial;Helvetica;sans-serif" w:hAnsi="Arial;Helvetica;sans-serif"/>
                <w:sz w:val="20"/>
              </w:rPr>
            </w:pPr>
            <w:r>
              <w:rPr>
                <w:rFonts w:ascii="Arial;Helvetica;sans-serif" w:hAnsi="Arial;Helvetica;sans-serif"/>
                <w:sz w:val="20"/>
              </w:rPr>
              <w:t>Subsea 7 S.A.</w:t>
            </w:r>
          </w:p>
        </w:tc>
        <w:tc>
          <w:tcPr>
            <w:tcW w:w="376" w:type="dxa"/>
            <w:tcBorders>
              <w:left w:val="single" w:sz="2" w:space="0" w:color="D9D9D9"/>
            </w:tcBorders>
            <w:tcMar>
              <w:left w:w="28" w:type="dxa"/>
            </w:tcMar>
            <w:vAlign w:val="center"/>
          </w:tcPr>
          <w:p>
            <w:pPr>
              <w:pStyle w:val="TableContents"/>
              <w:bidi w:val="0"/>
              <w:spacing w:before="0" w:after="283"/>
              <w:ind w:left="0" w:right="0" w:hanging="0"/>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bookmarkStart w:id="145" w:name="ExecutiveCompElements"/>
      <w:bookmarkStart w:id="146" w:name="ExecutiveComp_120092"/>
      <w:bookmarkEnd w:id="145"/>
      <w:bookmarkEnd w:id="146"/>
      <w:r>
        <w:rPr>
          <w:rFonts w:ascii="Arial;Helvetica;sans-serif" w:hAnsi="Arial;Helvetica;sans-serif"/>
          <w:sz w:val="32"/>
        </w:rPr>
        <w:t>2025 Executive</w:t>
      </w:r>
      <w:r>
        <w:rPr>
          <w:rFonts w:ascii="Arial;Helvetica;sans-serif" w:hAnsi="Arial;Helvetica;sans-serif"/>
          <w:sz w:val="20"/>
        </w:rPr>
        <w:t xml:space="preserve"> </w:t>
      </w:r>
      <w:r>
        <w:rPr>
          <w:rFonts w:ascii="Arial;Helvetica;sans-serif" w:hAnsi="Arial;Helvetica;sans-serif"/>
          <w:sz w:val="32"/>
        </w:rPr>
        <w:t>Compensation Elements</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P-81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4486"/>
        <w:gridCol w:w="154"/>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448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COMPENSATION DISCUSSION AND ANALYSIS</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005670"/>
          <w:sz w:val="20"/>
        </w:rPr>
      </w:pPr>
      <w:r>
        <w:rPr>
          <w:rFonts w:ascii="Arial;Helvetica;sans-serif" w:hAnsi="Arial;Helvetica;sans-serif"/>
          <w:b/>
          <w:color w:val="005670"/>
          <w:sz w:val="20"/>
        </w:rPr>
        <w:t>OUR EXECUTIVE COMPENSATION PROGRAM IS DESIGNED TO MEET THE OBJECTIVES OF OUR “PAY FOR PERFORMANCE” PHILOSOPHY BY LINKING A SIGNIFICANT PORTION OF EACH EXECUTIVE’S COMPENSATION TO COMPANY PERFORMANCE.</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following table summarizes the purpose and key characteristics of each of the primary components of our executive compensation program.</w:t>
      </w:r>
    </w:p>
    <w:tbl>
      <w:tblPr>
        <w:tblW w:w="10205" w:type="dxa"/>
        <w:jc w:val="left"/>
        <w:tblInd w:w="0" w:type="dxa"/>
        <w:tblLayout w:type="fixed"/>
        <w:tblCellMar>
          <w:top w:w="0" w:type="dxa"/>
          <w:left w:w="0" w:type="dxa"/>
          <w:bottom w:w="0" w:type="dxa"/>
          <w:right w:w="0" w:type="dxa"/>
        </w:tblCellMar>
      </w:tblPr>
      <w:tblGrid>
        <w:gridCol w:w="2491"/>
        <w:gridCol w:w="109"/>
        <w:gridCol w:w="665"/>
        <w:gridCol w:w="2550"/>
        <w:gridCol w:w="109"/>
        <w:gridCol w:w="342"/>
        <w:gridCol w:w="1629"/>
        <w:gridCol w:w="2310"/>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581785" cy="29210"/>
                      <wp:effectExtent l="0" t="0" r="0" b="0"/>
                      <wp:wrapNone/>
                      <wp:docPr id="206" name="Frame82"/>
                      <a:graphic xmlns:a="http://schemas.openxmlformats.org/drawingml/2006/main">
                        <a:graphicData uri="http://schemas.microsoft.com/office/word/2010/wordprocessingShape">
                          <wps:wsp>
                            <wps:cNvSpPr txBox="1"/>
                            <wps:spPr>
                              <a:xfrm>
                                <a:off x="0" y="0"/>
                                <a:ext cx="15817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74"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91490" cy="29210"/>
                      <wp:effectExtent l="0" t="0" r="0" b="0"/>
                      <wp:wrapNone/>
                      <wp:docPr id="207" name="Frame83"/>
                      <a:graphic xmlns:a="http://schemas.openxmlformats.org/drawingml/2006/main">
                        <a:graphicData uri="http://schemas.microsoft.com/office/word/2010/wordprocessingShape">
                          <wps:wsp>
                            <wps:cNvSpPr txBox="1"/>
                            <wps:spPr>
                              <a:xfrm>
                                <a:off x="0" y="0"/>
                                <a:ext cx="4914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619250" cy="29210"/>
                      <wp:effectExtent l="0" t="0" r="0" b="0"/>
                      <wp:wrapNone/>
                      <wp:docPr id="208" name="Frame84"/>
                      <a:graphic xmlns:a="http://schemas.openxmlformats.org/drawingml/2006/main">
                        <a:graphicData uri="http://schemas.microsoft.com/office/word/2010/wordprocessingShape">
                          <wps:wsp>
                            <wps:cNvSpPr txBox="1"/>
                            <wps:spPr>
                              <a:xfrm>
                                <a:off x="0" y="0"/>
                                <a:ext cx="16192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5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86385" cy="29210"/>
                      <wp:effectExtent l="0" t="0" r="0" b="0"/>
                      <wp:wrapNone/>
                      <wp:docPr id="209" name="Frame85"/>
                      <a:graphic xmlns:a="http://schemas.openxmlformats.org/drawingml/2006/main">
                        <a:graphicData uri="http://schemas.microsoft.com/office/word/2010/wordprocessingShape">
                          <wps:wsp>
                            <wps:cNvSpPr txBox="1"/>
                            <wps:spPr>
                              <a:xfrm>
                                <a:off x="0" y="0"/>
                                <a:ext cx="286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034415" cy="29210"/>
                      <wp:effectExtent l="0" t="0" r="0" b="0"/>
                      <wp:wrapNone/>
                      <wp:docPr id="210" name="Frame86"/>
                      <a:graphic xmlns:a="http://schemas.openxmlformats.org/drawingml/2006/main">
                        <a:graphicData uri="http://schemas.microsoft.com/office/word/2010/wordprocessingShape">
                          <wps:wsp>
                            <wps:cNvSpPr txBox="1"/>
                            <wps:spPr>
                              <a:xfrm>
                                <a:off x="0" y="0"/>
                                <a:ext cx="10344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310" w:type="dxa"/>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bottom w:val="single" w:sz="12" w:space="0" w:color="ECA44A"/>
            </w:tcBorders>
            <w:tcMar>
              <w:bottom w:w="28" w:type="dxa"/>
            </w:tcMar>
            <w:vAlign w:val="center"/>
          </w:tcPr>
          <w:p>
            <w:pPr>
              <w:pStyle w:val="TableContents"/>
              <w:pBdr/>
              <w:bidi w:val="0"/>
              <w:spacing w:lineRule="auto" w:line="304" w:before="0" w:after="0"/>
              <w:ind w:left="0" w:right="0" w:hanging="0"/>
              <w:jc w:val="center"/>
              <w:rPr>
                <w:rFonts w:ascii="Arial;Helvetica;sans-serif" w:hAnsi="Arial;Helvetica;sans-serif"/>
                <w:b/>
                <w:color w:val="4B4F54"/>
                <w:sz w:val="18"/>
              </w:rPr>
            </w:pPr>
            <w:r>
              <w:rPr>
                <w:rFonts w:ascii="Arial;Helvetica;sans-serif" w:hAnsi="Arial;Helvetica;sans-serif"/>
                <w:b/>
                <w:color w:val="4B4F54"/>
                <w:sz w:val="18"/>
              </w:rPr>
              <w:t>COMPENSATION ELEMENT</w:t>
            </w:r>
          </w:p>
        </w:tc>
        <w:tc>
          <w:tcPr>
            <w:tcW w:w="109"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color w:val="4B4F54"/>
              </w:rPr>
            </w:pPr>
            <w:r>
              <w:rPr>
                <w:color w:val="4B4F54"/>
              </w:rPr>
              <w:t>​</w:t>
            </w:r>
          </w:p>
        </w:tc>
        <w:tc>
          <w:tcPr>
            <w:tcW w:w="3215" w:type="dxa"/>
            <w:gridSpan w:val="2"/>
            <w:tcBorders>
              <w:bottom w:val="single" w:sz="12" w:space="0" w:color="ECA44A"/>
            </w:tcBorders>
            <w:tcMar>
              <w:bottom w:w="28" w:type="dxa"/>
            </w:tcMar>
            <w:vAlign w:val="center"/>
          </w:tcPr>
          <w:p>
            <w:pPr>
              <w:pStyle w:val="TableContents"/>
              <w:bidi w:val="0"/>
              <w:spacing w:lineRule="auto" w:line="302"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PURPOSE</w:t>
            </w:r>
          </w:p>
        </w:tc>
        <w:tc>
          <w:tcPr>
            <w:tcW w:w="109"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color w:val="4B4F54"/>
              </w:rPr>
            </w:pPr>
            <w:r>
              <w:rPr>
                <w:color w:val="4B4F54"/>
              </w:rPr>
              <w:t>​</w:t>
            </w:r>
          </w:p>
        </w:tc>
        <w:tc>
          <w:tcPr>
            <w:tcW w:w="4281" w:type="dxa"/>
            <w:gridSpan w:val="3"/>
            <w:tcBorders>
              <w:bottom w:val="single" w:sz="12" w:space="0" w:color="ECA44A"/>
            </w:tcBorders>
            <w:tcMar>
              <w:bottom w:w="28" w:type="dxa"/>
            </w:tcMar>
            <w:vAlign w:val="center"/>
          </w:tcPr>
          <w:p>
            <w:pPr>
              <w:pStyle w:val="TableContents"/>
              <w:bidi w:val="0"/>
              <w:spacing w:lineRule="auto" w:line="302" w:before="0" w:after="0"/>
              <w:ind w:left="0" w:right="0" w:hanging="0"/>
              <w:jc w:val="left"/>
              <w:rPr>
                <w:rFonts w:ascii="Arial;Helvetica;sans-serif" w:hAnsi="Arial;Helvetica;sans-serif"/>
                <w:b/>
                <w:color w:val="4B4F54"/>
                <w:sz w:val="18"/>
              </w:rPr>
            </w:pPr>
            <w:r>
              <w:rPr>
                <w:rFonts w:ascii="Arial;Helvetica;sans-serif" w:hAnsi="Arial;Helvetica;sans-serif"/>
                <w:b/>
                <w:color w:val="4B4F54"/>
                <w:sz w:val="18"/>
              </w:rPr>
              <w:t>KEY CHARACTERISTICS</w:t>
            </w:r>
          </w:p>
        </w:tc>
      </w:tr>
      <w:tr>
        <w:trPr/>
        <w:tc>
          <w:tcPr>
            <w:tcW w:w="2491" w:type="dxa"/>
            <w:tcBorders>
              <w:top w:val="single" w:sz="12" w:space="0" w:color="ECA44A"/>
            </w:tcBorders>
            <w:tcMar>
              <w:top w:w="28" w:type="dxa"/>
            </w:tcMar>
            <w:vAlign w:val="center"/>
          </w:tcPr>
          <w:p>
            <w:pPr>
              <w:pStyle w:val="TableContents"/>
              <w:bidi w:val="0"/>
              <w:spacing w:lineRule="auto" w:line="285" w:before="0" w:after="0"/>
              <w:ind w:left="0" w:right="0" w:hanging="0"/>
              <w:jc w:val="both"/>
              <w:rPr>
                <w:color w:val="F2F2F2"/>
              </w:rPr>
            </w:pPr>
            <w:r>
              <w:rPr>
                <w:color w:val="F2F2F2"/>
              </w:rPr>
              <w:t>​</w:t>
            </w:r>
          </w:p>
        </w:tc>
        <w:tc>
          <w:tcPr>
            <w:tcW w:w="109" w:type="dxa"/>
            <w:tcBorders/>
            <w:vAlign w:val="center"/>
          </w:tcPr>
          <w:p>
            <w:pPr>
              <w:pStyle w:val="TableContents"/>
              <w:bidi w:val="0"/>
              <w:spacing w:lineRule="auto" w:line="285" w:before="0" w:after="0"/>
              <w:ind w:left="0" w:right="0" w:hanging="0"/>
              <w:jc w:val="both"/>
              <w:rPr/>
            </w:pPr>
            <w:r>
              <w:rPr/>
              <w:t>​</w:t>
            </w:r>
          </w:p>
        </w:tc>
        <w:tc>
          <w:tcPr>
            <w:tcW w:w="3215" w:type="dxa"/>
            <w:gridSpan w:val="2"/>
            <w:tcBorders>
              <w:top w:val="single" w:sz="12" w:space="0" w:color="ECA44A"/>
            </w:tcBorders>
            <w:tcMar>
              <w:top w:w="28" w:type="dxa"/>
            </w:tcMar>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4281" w:type="dxa"/>
            <w:gridSpan w:val="3"/>
            <w:tcBorders>
              <w:top w:val="single" w:sz="12" w:space="0" w:color="ECA44A"/>
            </w:tcBorders>
            <w:tcMar>
              <w:top w:w="28" w:type="dxa"/>
            </w:tcMar>
            <w:vAlign w:val="center"/>
          </w:tcPr>
          <w:p>
            <w:pPr>
              <w:pStyle w:val="TableContents"/>
              <w:bidi w:val="0"/>
              <w:spacing w:lineRule="auto" w:line="285" w:before="0" w:after="0"/>
              <w:ind w:left="0" w:right="0" w:hanging="0"/>
              <w:jc w:val="both"/>
              <w:rPr/>
            </w:pPr>
            <w:r>
              <w:rPr/>
              <w:t>​</w:t>
            </w:r>
          </w:p>
        </w:tc>
      </w:tr>
      <w:tr>
        <w:trPr/>
        <w:tc>
          <w:tcPr>
            <w:tcW w:w="2491" w:type="dxa"/>
            <w:tcBorders>
              <w:bottom w:val="single" w:sz="2" w:space="0" w:color="D9D9D9"/>
            </w:tcBorders>
            <w:shd w:fill="005670" w:val="clear"/>
            <w:tcMar>
              <w:bottom w:w="28" w:type="dxa"/>
            </w:tcMar>
            <w:vAlign w:val="center"/>
          </w:tcPr>
          <w:p>
            <w:pPr>
              <w:pStyle w:val="TableContents"/>
              <w:bidi w:val="0"/>
              <w:spacing w:lineRule="auto" w:line="302" w:before="80" w:after="0"/>
              <w:ind w:left="0" w:right="0" w:hanging="0"/>
              <w:jc w:val="both"/>
              <w:rPr>
                <w:rFonts w:ascii="Arial;Helvetica;sans-serif" w:hAnsi="Arial;Helvetica;sans-serif"/>
                <w:b/>
                <w:color w:val="F2F2F2"/>
                <w:sz w:val="18"/>
              </w:rPr>
            </w:pPr>
            <w:r>
              <w:rPr>
                <w:rFonts w:ascii="Arial;Helvetica;sans-serif" w:hAnsi="Arial;Helvetica;sans-serif"/>
                <w:b/>
                <w:color w:val="F2F2F2"/>
                <w:sz w:val="18"/>
              </w:rPr>
              <w:t>BASE SALARY</w:t>
            </w:r>
          </w:p>
        </w:tc>
        <w:tc>
          <w:tcPr>
            <w:tcW w:w="109" w:type="dxa"/>
            <w:tcBorders/>
            <w:vAlign w:val="center"/>
          </w:tcPr>
          <w:p>
            <w:pPr>
              <w:pStyle w:val="TableContents"/>
              <w:bidi w:val="0"/>
              <w:spacing w:lineRule="auto" w:line="285" w:before="0" w:after="0"/>
              <w:ind w:left="0" w:right="0" w:hanging="0"/>
              <w:jc w:val="both"/>
              <w:rPr/>
            </w:pPr>
            <w:r>
              <w:rPr/>
              <w:t>​</w:t>
            </w:r>
          </w:p>
        </w:tc>
        <w:tc>
          <w:tcPr>
            <w:tcW w:w="3215" w:type="dxa"/>
            <w:gridSpan w:val="2"/>
            <w:tcBorders>
              <w:bottom w:val="single" w:sz="2" w:space="0" w:color="D9D9D9"/>
            </w:tcBorders>
            <w:tcMar>
              <w:bottom w:w="28" w:type="dxa"/>
            </w:tcMar>
            <w:vAlign w:val="center"/>
          </w:tcPr>
          <w:p>
            <w:pPr>
              <w:pStyle w:val="TableContents"/>
              <w:bidi w:val="0"/>
              <w:spacing w:lineRule="auto" w:line="302" w:before="0" w:after="0"/>
              <w:ind w:left="0" w:right="0" w:hanging="0"/>
              <w:jc w:val="left"/>
              <w:rPr>
                <w:rFonts w:ascii="Arial;Helvetica;sans-serif" w:hAnsi="Arial;Helvetica;sans-serif"/>
                <w:sz w:val="18"/>
              </w:rPr>
            </w:pPr>
            <w:r>
              <w:rPr>
                <w:rFonts w:ascii="Arial;Helvetica;sans-serif" w:hAnsi="Arial;Helvetica;sans-serif"/>
                <w:sz w:val="18"/>
              </w:rPr>
              <w:t>Provide a market competitive base level of income for executive talent.</w:t>
            </w:r>
          </w:p>
        </w:tc>
        <w:tc>
          <w:tcPr>
            <w:tcW w:w="109" w:type="dxa"/>
            <w:tcBorders/>
            <w:vAlign w:val="center"/>
          </w:tcPr>
          <w:p>
            <w:pPr>
              <w:pStyle w:val="TableContents"/>
              <w:bidi w:val="0"/>
              <w:spacing w:lineRule="auto" w:line="285" w:before="0" w:after="0"/>
              <w:ind w:left="0" w:right="0" w:hanging="0"/>
              <w:jc w:val="left"/>
              <w:rPr/>
            </w:pPr>
            <w:r>
              <w:rPr/>
              <w:t>​</w:t>
            </w:r>
          </w:p>
        </w:tc>
        <w:tc>
          <w:tcPr>
            <w:tcW w:w="4281" w:type="dxa"/>
            <w:gridSpan w:val="3"/>
            <w:tcBorders>
              <w:bottom w:val="single" w:sz="2" w:space="0" w:color="D9D9D9"/>
            </w:tcBorders>
            <w:tcMar>
              <w:bottom w:w="28" w:type="dxa"/>
            </w:tcMar>
            <w:vAlign w:val="center"/>
          </w:tcPr>
          <w:p>
            <w:pPr>
              <w:pStyle w:val="TableContents"/>
              <w:bidi w:val="0"/>
              <w:spacing w:lineRule="auto" w:line="300" w:before="0" w:after="0"/>
              <w:ind w:left="0" w:right="0" w:hanging="0"/>
              <w:jc w:val="left"/>
              <w:rPr>
                <w:rFonts w:ascii="Arial;Helvetica;sans-serif" w:hAnsi="Arial;Helvetica;sans-serif"/>
                <w:sz w:val="18"/>
              </w:rPr>
            </w:pPr>
            <w:r>
              <w:rPr>
                <w:rFonts w:ascii="Arial;Helvetica;sans-serif" w:hAnsi="Arial;Helvetica;sans-serif"/>
                <w:sz w:val="18"/>
              </w:rPr>
              <w:t>Fixed compensation.</w:t>
            </w:r>
          </w:p>
          <w:p>
            <w:pPr>
              <w:pStyle w:val="TableContents"/>
              <w:bidi w:val="0"/>
              <w:spacing w:lineRule="auto" w:line="302" w:before="0" w:after="120"/>
              <w:ind w:left="0" w:right="0" w:hanging="0"/>
              <w:jc w:val="left"/>
              <w:rPr>
                <w:rFonts w:ascii="Arial;Helvetica;sans-serif" w:hAnsi="Arial;Helvetica;sans-serif"/>
                <w:sz w:val="18"/>
              </w:rPr>
            </w:pPr>
            <w:r>
              <w:rPr>
                <w:rFonts w:ascii="Arial;Helvetica;sans-serif" w:hAnsi="Arial;Helvetica;sans-serif"/>
                <w:sz w:val="18"/>
              </w:rPr>
              <w:t>Reviewed annually and adjusted as appropriate.</w:t>
            </w:r>
          </w:p>
        </w:tc>
      </w:tr>
      <w:tr>
        <w:trPr/>
        <w:tc>
          <w:tcPr>
            <w:tcW w:w="2491" w:type="dxa"/>
            <w:tcBorders>
              <w:top w:val="single" w:sz="2" w:space="0" w:color="D9D9D9"/>
            </w:tcBorders>
            <w:tcMar>
              <w:top w:w="28" w:type="dxa"/>
            </w:tcMar>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3215" w:type="dxa"/>
            <w:gridSpan w:val="2"/>
            <w:tcBorders>
              <w:top w:val="single" w:sz="2" w:space="0" w:color="D9D9D9"/>
            </w:tcBorders>
            <w:tcMar>
              <w:top w:w="28" w:type="dxa"/>
            </w:tcMar>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4281" w:type="dxa"/>
            <w:gridSpan w:val="3"/>
            <w:tcBorders>
              <w:top w:val="single" w:sz="2" w:space="0" w:color="D9D9D9"/>
            </w:tcBorders>
            <w:tcMar>
              <w:top w:w="28" w:type="dxa"/>
            </w:tcMar>
            <w:vAlign w:val="center"/>
          </w:tcPr>
          <w:p>
            <w:pPr>
              <w:pStyle w:val="TableContents"/>
              <w:bidi w:val="0"/>
              <w:spacing w:lineRule="auto" w:line="285" w:before="0" w:after="0"/>
              <w:ind w:left="0" w:right="0" w:hanging="0"/>
              <w:jc w:val="left"/>
              <w:rPr/>
            </w:pPr>
            <w:r>
              <w:rPr/>
              <w:t>​</w:t>
            </w:r>
          </w:p>
        </w:tc>
      </w:tr>
      <w:tr>
        <w:trPr/>
        <w:tc>
          <w:tcPr>
            <w:tcW w:w="2491" w:type="dxa"/>
            <w:tcBorders/>
            <w:shd w:fill="808080" w:val="clear"/>
            <w:vAlign w:val="center"/>
          </w:tcPr>
          <w:p>
            <w:pPr>
              <w:pStyle w:val="TableContents"/>
              <w:bidi w:val="0"/>
              <w:spacing w:lineRule="auto" w:line="302" w:before="80" w:after="0"/>
              <w:ind w:left="0" w:right="0" w:hanging="0"/>
              <w:jc w:val="left"/>
              <w:rPr>
                <w:rFonts w:ascii="Arial;Helvetica;sans-serif" w:hAnsi="Arial;Helvetica;sans-serif"/>
                <w:b/>
                <w:color w:val="FFFFFF"/>
                <w:sz w:val="18"/>
              </w:rPr>
            </w:pPr>
            <w:r>
              <w:rPr>
                <w:rFonts w:ascii="Arial;Helvetica;sans-serif" w:hAnsi="Arial;Helvetica;sans-serif"/>
                <w:b/>
                <w:color w:val="FFFFFF"/>
                <w:sz w:val="18"/>
              </w:rPr>
              <w:t>ANNUAL CASH BONUS</w:t>
            </w:r>
          </w:p>
        </w:tc>
        <w:tc>
          <w:tcPr>
            <w:tcW w:w="109" w:type="dxa"/>
            <w:tcBorders/>
            <w:vAlign w:val="center"/>
          </w:tcPr>
          <w:p>
            <w:pPr>
              <w:pStyle w:val="TableContents"/>
              <w:bidi w:val="0"/>
              <w:spacing w:lineRule="auto" w:line="285" w:before="0" w:after="0"/>
              <w:ind w:left="0" w:right="0" w:hanging="0"/>
              <w:jc w:val="both"/>
              <w:rPr/>
            </w:pPr>
            <w:r>
              <w:rPr/>
              <w:t>​</w:t>
            </w:r>
          </w:p>
        </w:tc>
        <w:tc>
          <w:tcPr>
            <w:tcW w:w="3215" w:type="dxa"/>
            <w:gridSpan w:val="2"/>
            <w:tcBorders>
              <w:bottom w:val="single" w:sz="2" w:space="0" w:color="D9D9D9"/>
            </w:tcBorders>
            <w:tcMar>
              <w:bottom w:w="28" w:type="dxa"/>
            </w:tcMar>
            <w:vAlign w:val="center"/>
          </w:tcPr>
          <w:p>
            <w:pPr>
              <w:pStyle w:val="TableContents"/>
              <w:bidi w:val="0"/>
              <w:spacing w:lineRule="auto" w:line="302" w:before="0" w:after="0"/>
              <w:ind w:left="0" w:right="0" w:hanging="0"/>
              <w:jc w:val="left"/>
              <w:rPr>
                <w:rFonts w:ascii="Arial;Helvetica;sans-serif" w:hAnsi="Arial;Helvetica;sans-serif"/>
                <w:sz w:val="18"/>
              </w:rPr>
            </w:pPr>
            <w:r>
              <w:rPr>
                <w:rFonts w:ascii="Arial;Helvetica;sans-serif" w:hAnsi="Arial;Helvetica;sans-serif"/>
                <w:sz w:val="18"/>
              </w:rPr>
              <w:t>Motivate executives to achieve our short-term financial, operational, environmental and safety objectives.</w:t>
            </w:r>
          </w:p>
        </w:tc>
        <w:tc>
          <w:tcPr>
            <w:tcW w:w="109" w:type="dxa"/>
            <w:tcBorders/>
            <w:vAlign w:val="center"/>
          </w:tcPr>
          <w:p>
            <w:pPr>
              <w:pStyle w:val="TableContents"/>
              <w:bidi w:val="0"/>
              <w:spacing w:lineRule="auto" w:line="285" w:before="0" w:after="0"/>
              <w:ind w:left="0" w:right="0" w:hanging="0"/>
              <w:jc w:val="left"/>
              <w:rPr/>
            </w:pPr>
            <w:r>
              <w:rPr/>
              <w:t>​</w:t>
            </w:r>
          </w:p>
        </w:tc>
        <w:tc>
          <w:tcPr>
            <w:tcW w:w="4281" w:type="dxa"/>
            <w:gridSpan w:val="3"/>
            <w:tcBorders>
              <w:bottom w:val="single" w:sz="2" w:space="0" w:color="D9D9D9"/>
            </w:tcBorders>
            <w:tcMar>
              <w:bottom w:w="28" w:type="dxa"/>
            </w:tcMar>
            <w:vAlign w:val="center"/>
          </w:tcPr>
          <w:p>
            <w:pPr>
              <w:pStyle w:val="TableContents"/>
              <w:bidi w:val="0"/>
              <w:spacing w:lineRule="auto" w:line="302" w:before="0" w:after="0"/>
              <w:ind w:left="0" w:right="0" w:hanging="0"/>
              <w:jc w:val="left"/>
              <w:rPr>
                <w:rFonts w:ascii="Arial;Helvetica;sans-serif" w:hAnsi="Arial;Helvetica;sans-serif"/>
                <w:sz w:val="18"/>
              </w:rPr>
            </w:pPr>
            <w:r>
              <w:rPr>
                <w:rFonts w:ascii="Arial;Helvetica;sans-serif" w:hAnsi="Arial;Helvetica;sans-serif"/>
                <w:sz w:val="18"/>
              </w:rPr>
              <w:t>Variable compensation.</w:t>
            </w:r>
          </w:p>
          <w:p>
            <w:pPr>
              <w:pStyle w:val="TableContents"/>
              <w:bidi w:val="0"/>
              <w:spacing w:lineRule="auto" w:line="302" w:before="0" w:after="120"/>
              <w:ind w:left="0" w:right="0" w:hanging="0"/>
              <w:jc w:val="left"/>
              <w:rPr>
                <w:rFonts w:ascii="Arial;Helvetica;sans-serif" w:hAnsi="Arial;Helvetica;sans-serif"/>
                <w:sz w:val="18"/>
              </w:rPr>
            </w:pPr>
            <w:r>
              <w:rPr>
                <w:rFonts w:ascii="Arial;Helvetica;sans-serif" w:hAnsi="Arial;Helvetica;sans-serif"/>
                <w:sz w:val="18"/>
              </w:rPr>
              <w:t>Award potential ranges from 0% to 200% of target based on corporate performance measured against pre-established performance goals.</w:t>
            </w:r>
          </w:p>
        </w:tc>
      </w:tr>
      <w:tr>
        <w:trPr/>
        <w:tc>
          <w:tcPr>
            <w:tcW w:w="2491" w:type="dxa"/>
            <w:tcBorders/>
            <w:vAlign w:val="center"/>
          </w:tcPr>
          <w:p>
            <w:pPr>
              <w:pStyle w:val="TableContents"/>
              <w:bidi w:val="0"/>
              <w:spacing w:lineRule="auto" w:line="285" w:before="0" w:after="0"/>
              <w:ind w:left="0" w:right="0" w:hanging="0"/>
              <w:jc w:val="left"/>
              <w:rPr>
                <w:color w:val="F2F2F2"/>
              </w:rPr>
            </w:pPr>
            <w:r>
              <w:rPr>
                <w:color w:val="F2F2F2"/>
              </w:rPr>
              <w:t>​</w:t>
            </w:r>
          </w:p>
        </w:tc>
        <w:tc>
          <w:tcPr>
            <w:tcW w:w="109" w:type="dxa"/>
            <w:tcBorders/>
            <w:vAlign w:val="center"/>
          </w:tcPr>
          <w:p>
            <w:pPr>
              <w:pStyle w:val="TableContents"/>
              <w:bidi w:val="0"/>
              <w:spacing w:lineRule="auto" w:line="285" w:before="0" w:after="0"/>
              <w:ind w:left="0" w:right="0" w:hanging="0"/>
              <w:jc w:val="both"/>
              <w:rPr/>
            </w:pPr>
            <w:r>
              <w:rPr/>
              <w:t>​</w:t>
            </w:r>
          </w:p>
        </w:tc>
        <w:tc>
          <w:tcPr>
            <w:tcW w:w="3215" w:type="dxa"/>
            <w:gridSpan w:val="2"/>
            <w:tcBorders>
              <w:top w:val="single" w:sz="2" w:space="0" w:color="D9D9D9"/>
            </w:tcBorders>
            <w:tcMar>
              <w:top w:w="28" w:type="dxa"/>
            </w:tcMar>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4281" w:type="dxa"/>
            <w:gridSpan w:val="3"/>
            <w:tcBorders>
              <w:top w:val="single" w:sz="2" w:space="0" w:color="D9D9D9"/>
            </w:tcBorders>
            <w:tcMar>
              <w:top w:w="28" w:type="dxa"/>
            </w:tcMar>
            <w:vAlign w:val="center"/>
          </w:tcPr>
          <w:p>
            <w:pPr>
              <w:pStyle w:val="TableContents"/>
              <w:bidi w:val="0"/>
              <w:spacing w:lineRule="auto" w:line="285" w:before="0" w:after="0"/>
              <w:ind w:left="0" w:right="0" w:hanging="0"/>
              <w:jc w:val="left"/>
              <w:rPr/>
            </w:pPr>
            <w:r>
              <w:rPr/>
              <w:t>​</w:t>
            </w:r>
          </w:p>
        </w:tc>
      </w:tr>
      <w:tr>
        <w:trPr/>
        <w:tc>
          <w:tcPr>
            <w:tcW w:w="2491" w:type="dxa"/>
            <w:tcBorders/>
            <w:shd w:fill="ECA44A" w:val="clear"/>
            <w:vAlign w:val="center"/>
          </w:tcPr>
          <w:p>
            <w:pPr>
              <w:pStyle w:val="TableContents"/>
              <w:bidi w:val="0"/>
              <w:spacing w:lineRule="auto" w:line="302" w:before="80" w:after="0"/>
              <w:jc w:val="left"/>
              <w:rPr>
                <w:rFonts w:ascii="Arial;Helvetica;sans-serif" w:hAnsi="Arial;Helvetica;sans-serif"/>
                <w:b/>
                <w:color w:val="FFFFFF"/>
                <w:sz w:val="18"/>
              </w:rPr>
            </w:pPr>
            <w:r>
              <w:rPr>
                <w:rFonts w:ascii="Arial;Helvetica;sans-serif" w:hAnsi="Arial;Helvetica;sans-serif"/>
                <w:b/>
                <w:color w:val="FFFFFF"/>
                <w:sz w:val="18"/>
              </w:rPr>
              <w:t>I.</w:t>
            </w:r>
          </w:p>
          <w:p>
            <w:pPr>
              <w:pStyle w:val="TableContents"/>
              <w:bidi w:val="0"/>
              <w:spacing w:lineRule="auto" w:line="302" w:before="80" w:after="0"/>
              <w:ind w:left="0" w:right="0" w:hanging="0"/>
              <w:jc w:val="left"/>
              <w:rPr>
                <w:rFonts w:ascii="Arial;Helvetica;sans-serif" w:hAnsi="Arial;Helvetica;sans-serif"/>
                <w:sz w:val="20"/>
              </w:rPr>
            </w:pPr>
            <w:r>
              <w:rPr>
                <w:rFonts w:ascii="Arial;Helvetica;sans-serif" w:hAnsi="Arial;Helvetica;sans-serif"/>
                <w:b/>
                <w:color w:val="FFFFFF"/>
                <w:sz w:val="18"/>
              </w:rPr>
              <w:t>LONG-TERM INCENTIVE</w:t>
              <w:br/>
            </w:r>
            <w:r>
              <w:rPr>
                <w:rFonts w:ascii="Arial;Helvetica;sans-serif" w:hAnsi="Arial;Helvetica;sans-serif"/>
                <w:color w:val="FFFFFF"/>
                <w:sz w:val="20"/>
              </w:rPr>
              <w:t>– </w:t>
            </w:r>
            <w:r>
              <w:rPr>
                <w:rFonts w:ascii="Arial;Helvetica;sans-serif" w:hAnsi="Arial;Helvetica;sans-serif"/>
                <w:b/>
                <w:color w:val="FFFFFF"/>
                <w:sz w:val="18"/>
              </w:rPr>
              <w:t>PERFORMANCE UNITS</w:t>
            </w:r>
          </w:p>
        </w:tc>
        <w:tc>
          <w:tcPr>
            <w:tcW w:w="109"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215" w:type="dxa"/>
            <w:gridSpan w:val="2"/>
            <w:tcBorders>
              <w:bottom w:val="single" w:sz="2" w:space="0" w:color="D9D9D9"/>
            </w:tcBorders>
            <w:tcMar>
              <w:bottom w:w="28" w:type="dxa"/>
            </w:tcMar>
            <w:vAlign w:val="center"/>
          </w:tcPr>
          <w:p>
            <w:pPr>
              <w:pStyle w:val="TableContents"/>
              <w:bidi w:val="0"/>
              <w:spacing w:lineRule="auto" w:line="302" w:before="0" w:after="0"/>
              <w:ind w:left="0" w:right="0" w:hanging="0"/>
              <w:jc w:val="left"/>
              <w:rPr>
                <w:rFonts w:ascii="Arial;Helvetica;sans-serif" w:hAnsi="Arial;Helvetica;sans-serif"/>
                <w:sz w:val="18"/>
              </w:rPr>
            </w:pPr>
            <w:r>
              <w:rPr>
                <w:rFonts w:ascii="Arial;Helvetica;sans-serif" w:hAnsi="Arial;Helvetica;sans-serif"/>
                <w:sz w:val="18"/>
              </w:rPr>
              <w:t>Align the interests of our executives with those of our shareholders by creating a direct correlation between realized pay and shareholder return both relative to peers and on an absolute basis, over a three-year performance period.</w:t>
            </w:r>
          </w:p>
        </w:tc>
        <w:tc>
          <w:tcPr>
            <w:tcW w:w="109" w:type="dxa"/>
            <w:tcBorders/>
            <w:vAlign w:val="center"/>
          </w:tcPr>
          <w:p>
            <w:pPr>
              <w:pStyle w:val="TableContents"/>
              <w:bidi w:val="0"/>
              <w:spacing w:lineRule="auto" w:line="285" w:before="0" w:after="0"/>
              <w:ind w:left="0" w:right="0" w:hanging="0"/>
              <w:jc w:val="left"/>
              <w:rPr/>
            </w:pPr>
            <w:r>
              <w:rPr/>
              <w:t>​</w:t>
            </w:r>
          </w:p>
        </w:tc>
        <w:tc>
          <w:tcPr>
            <w:tcW w:w="4281" w:type="dxa"/>
            <w:gridSpan w:val="3"/>
            <w:tcBorders>
              <w:bottom w:val="single" w:sz="2" w:space="0" w:color="D9D9D9"/>
            </w:tcBorders>
            <w:tcMar>
              <w:bottom w:w="28" w:type="dxa"/>
            </w:tcMar>
            <w:vAlign w:val="center"/>
          </w:tcPr>
          <w:p>
            <w:pPr>
              <w:pStyle w:val="TableContents"/>
              <w:bidi w:val="0"/>
              <w:spacing w:lineRule="auto" w:line="300" w:before="0" w:after="0"/>
              <w:ind w:left="0" w:right="0" w:hanging="0"/>
              <w:jc w:val="left"/>
              <w:rPr>
                <w:rFonts w:ascii="Arial;Helvetica;sans-serif" w:hAnsi="Arial;Helvetica;sans-serif"/>
                <w:sz w:val="18"/>
              </w:rPr>
            </w:pPr>
            <w:r>
              <w:rPr>
                <w:rFonts w:ascii="Arial;Helvetica;sans-serif" w:hAnsi="Arial;Helvetica;sans-serif"/>
                <w:sz w:val="18"/>
              </w:rPr>
              <w:t>Variable compensation.</w:t>
            </w:r>
          </w:p>
          <w:p>
            <w:pPr>
              <w:pStyle w:val="TableContents"/>
              <w:bidi w:val="0"/>
              <w:spacing w:lineRule="auto" w:line="302" w:before="0" w:after="120"/>
              <w:ind w:left="0" w:right="0" w:hanging="0"/>
              <w:jc w:val="left"/>
              <w:rPr>
                <w:rFonts w:ascii="Arial;Helvetica;sans-serif" w:hAnsi="Arial;Helvetica;sans-serif"/>
                <w:sz w:val="18"/>
              </w:rPr>
            </w:pPr>
            <w:r>
              <w:rPr>
                <w:rFonts w:ascii="Arial;Helvetica;sans-serif" w:hAnsi="Arial;Helvetica;sans-serif"/>
                <w:sz w:val="18"/>
              </w:rPr>
              <w:t>The number of earned units can range from 0%-200% based on total shareholder return relative to performance of selected peers during a three-year performance period. Awards “cliff” vest at the end of the three-year performance period.</w:t>
            </w:r>
          </w:p>
        </w:tc>
      </w:tr>
      <w:tr>
        <w:trPr/>
        <w:tc>
          <w:tcPr>
            <w:tcW w:w="2491" w:type="dxa"/>
            <w:tcBorders/>
            <w:vAlign w:val="center"/>
          </w:tcPr>
          <w:p>
            <w:pPr>
              <w:pStyle w:val="TableContents"/>
              <w:bidi w:val="0"/>
              <w:spacing w:lineRule="auto" w:line="285" w:before="0" w:after="0"/>
              <w:ind w:left="0" w:right="0" w:hanging="0"/>
              <w:jc w:val="left"/>
              <w:rPr/>
            </w:pPr>
            <w:r>
              <w:rPr/>
              <w:t>​</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both"/>
              <w:rPr/>
            </w:pPr>
            <w:r>
              <w:rPr/>
              <w:t>​</w:t>
            </w:r>
          </w:p>
        </w:tc>
        <w:tc>
          <w:tcPr>
            <w:tcW w:w="3215" w:type="dxa"/>
            <w:gridSpan w:val="2"/>
            <w:tcBorders>
              <w:top w:val="single" w:sz="2" w:space="0" w:color="D9D9D9"/>
            </w:tcBorders>
            <w:tcMar>
              <w:top w:w="28" w:type="dxa"/>
            </w:tcMar>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4281" w:type="dxa"/>
            <w:gridSpan w:val="3"/>
            <w:tcBorders>
              <w:top w:val="single" w:sz="2" w:space="0" w:color="D9D9D9"/>
            </w:tcBorders>
            <w:tcMar>
              <w:top w:w="28" w:type="dxa"/>
            </w:tcMar>
            <w:vAlign w:val="center"/>
          </w:tcPr>
          <w:p>
            <w:pPr>
              <w:pStyle w:val="TableContents"/>
              <w:bidi w:val="0"/>
              <w:spacing w:lineRule="auto" w:line="285" w:before="0" w:after="0"/>
              <w:ind w:left="0" w:right="0" w:hanging="0"/>
              <w:jc w:val="left"/>
              <w:rPr/>
            </w:pPr>
            <w:r>
              <w:rPr/>
              <w:t>​</w:t>
            </w:r>
          </w:p>
        </w:tc>
      </w:tr>
      <w:tr>
        <w:trPr/>
        <w:tc>
          <w:tcPr>
            <w:tcW w:w="2491" w:type="dxa"/>
            <w:tcBorders/>
            <w:shd w:fill="808080" w:val="clear"/>
            <w:vAlign w:val="center"/>
          </w:tcPr>
          <w:p>
            <w:pPr>
              <w:pStyle w:val="TableContents"/>
              <w:bidi w:val="0"/>
              <w:spacing w:lineRule="auto" w:line="302" w:before="80" w:after="0"/>
              <w:jc w:val="left"/>
              <w:rPr>
                <w:rFonts w:ascii="Arial;Helvetica;sans-serif" w:hAnsi="Arial;Helvetica;sans-serif"/>
                <w:b/>
                <w:color w:val="FFFFFF"/>
                <w:sz w:val="18"/>
              </w:rPr>
            </w:pPr>
            <w:r>
              <w:rPr>
                <w:rFonts w:ascii="Arial;Helvetica;sans-serif" w:hAnsi="Arial;Helvetica;sans-serif"/>
                <w:b/>
                <w:color w:val="FFFFFF"/>
                <w:sz w:val="18"/>
              </w:rPr>
              <w:t>II.</w:t>
            </w:r>
          </w:p>
          <w:p>
            <w:pPr>
              <w:pStyle w:val="TableContents"/>
              <w:bidi w:val="0"/>
              <w:spacing w:lineRule="auto" w:line="302" w:before="80" w:after="0"/>
              <w:ind w:left="0" w:right="0" w:hanging="0"/>
              <w:jc w:val="left"/>
              <w:rPr>
                <w:rFonts w:ascii="Arial;Helvetica;sans-serif" w:hAnsi="Arial;Helvetica;sans-serif"/>
                <w:sz w:val="20"/>
              </w:rPr>
            </w:pPr>
            <w:r>
              <w:rPr>
                <w:rFonts w:ascii="Arial;Helvetica;sans-serif" w:hAnsi="Arial;Helvetica;sans-serif"/>
                <w:b/>
                <w:color w:val="FFFFFF"/>
                <w:sz w:val="18"/>
              </w:rPr>
              <w:t>LONG-TERM INCENTIVE</w:t>
              <w:br/>
            </w:r>
            <w:r>
              <w:rPr>
                <w:rFonts w:ascii="Arial;Helvetica;sans-serif" w:hAnsi="Arial;Helvetica;sans-serif"/>
                <w:color w:val="FFFFFF"/>
                <w:sz w:val="20"/>
              </w:rPr>
              <w:t>– </w:t>
            </w:r>
            <w:r>
              <w:rPr>
                <w:rFonts w:ascii="Arial;Helvetica;sans-serif" w:hAnsi="Arial;Helvetica;sans-serif"/>
                <w:b/>
                <w:color w:val="FFFFFF"/>
                <w:sz w:val="18"/>
              </w:rPr>
              <w:t>RESTRICTED UNITS</w:t>
            </w:r>
          </w:p>
        </w:tc>
        <w:tc>
          <w:tcPr>
            <w:tcW w:w="109" w:type="dxa"/>
            <w:tcBorders>
              <w:bottom w:val="single" w:sz="2" w:space="0" w:color="D9D9D9"/>
            </w:tcBorders>
            <w:tcMar>
              <w:bottom w:w="28" w:type="dxa"/>
            </w:tcMar>
            <w:vAlign w:val="center"/>
          </w:tcPr>
          <w:p>
            <w:pPr>
              <w:pStyle w:val="TableContents"/>
              <w:bidi w:val="0"/>
              <w:spacing w:lineRule="auto" w:line="285" w:before="160" w:after="0"/>
              <w:ind w:left="0" w:right="0" w:hanging="0"/>
              <w:jc w:val="both"/>
              <w:rPr/>
            </w:pPr>
            <w:r>
              <w:rPr/>
              <w:t>​</w:t>
            </w:r>
          </w:p>
        </w:tc>
        <w:tc>
          <w:tcPr>
            <w:tcW w:w="3215" w:type="dxa"/>
            <w:gridSpan w:val="2"/>
            <w:tcBorders>
              <w:bottom w:val="single" w:sz="2" w:space="0" w:color="D9D9D9"/>
            </w:tcBorders>
            <w:tcMar>
              <w:bottom w:w="28" w:type="dxa"/>
            </w:tcMar>
            <w:vAlign w:val="center"/>
          </w:tcPr>
          <w:p>
            <w:pPr>
              <w:pStyle w:val="TableContents"/>
              <w:bidi w:val="0"/>
              <w:spacing w:lineRule="auto" w:line="302" w:before="0" w:after="0"/>
              <w:ind w:left="0" w:right="0" w:hanging="0"/>
              <w:jc w:val="left"/>
              <w:rPr>
                <w:rFonts w:ascii="Arial;Helvetica;sans-serif" w:hAnsi="Arial;Helvetica;sans-serif"/>
                <w:sz w:val="18"/>
              </w:rPr>
            </w:pPr>
            <w:r>
              <w:rPr>
                <w:rFonts w:ascii="Arial;Helvetica;sans-serif" w:hAnsi="Arial;Helvetica;sans-serif"/>
                <w:sz w:val="18"/>
              </w:rPr>
              <w:t>Motivate executives to contribute to long-term increases in shareholder value, build executive ownership and retain executives through ratable, multi-year vesting.</w:t>
            </w:r>
          </w:p>
        </w:tc>
        <w:tc>
          <w:tcPr>
            <w:tcW w:w="109" w:type="dxa"/>
            <w:tcBorders/>
            <w:vAlign w:val="center"/>
          </w:tcPr>
          <w:p>
            <w:pPr>
              <w:pStyle w:val="TableContents"/>
              <w:bidi w:val="0"/>
              <w:spacing w:lineRule="auto" w:line="285" w:before="0" w:after="0"/>
              <w:ind w:left="0" w:right="0" w:hanging="0"/>
              <w:jc w:val="left"/>
              <w:rPr/>
            </w:pPr>
            <w:r>
              <w:rPr/>
              <w:t>​</w:t>
            </w:r>
          </w:p>
        </w:tc>
        <w:tc>
          <w:tcPr>
            <w:tcW w:w="4281" w:type="dxa"/>
            <w:gridSpan w:val="3"/>
            <w:tcBorders>
              <w:bottom w:val="single" w:sz="2" w:space="0" w:color="D9D9D9"/>
            </w:tcBorders>
            <w:tcMar>
              <w:bottom w:w="28" w:type="dxa"/>
            </w:tcMar>
            <w:vAlign w:val="center"/>
          </w:tcPr>
          <w:p>
            <w:pPr>
              <w:pStyle w:val="TableContents"/>
              <w:bidi w:val="0"/>
              <w:spacing w:lineRule="auto" w:line="302" w:before="0" w:after="0"/>
              <w:ind w:left="0" w:right="0" w:hanging="0"/>
              <w:jc w:val="left"/>
              <w:rPr>
                <w:rFonts w:ascii="Arial;Helvetica;sans-serif" w:hAnsi="Arial;Helvetica;sans-serif"/>
                <w:sz w:val="18"/>
              </w:rPr>
            </w:pPr>
            <w:r>
              <w:rPr>
                <w:rFonts w:ascii="Arial;Helvetica;sans-serif" w:hAnsi="Arial;Helvetica;sans-serif"/>
                <w:sz w:val="18"/>
              </w:rPr>
              <w:t>Variable compensation.</w:t>
            </w:r>
          </w:p>
          <w:p>
            <w:pPr>
              <w:pStyle w:val="TableContents"/>
              <w:bidi w:val="0"/>
              <w:spacing w:lineRule="auto" w:line="302" w:before="0" w:after="120"/>
              <w:ind w:left="0" w:right="0" w:hanging="0"/>
              <w:jc w:val="left"/>
              <w:rPr>
                <w:rFonts w:ascii="Arial;Helvetica;sans-serif" w:hAnsi="Arial;Helvetica;sans-serif"/>
                <w:sz w:val="18"/>
              </w:rPr>
            </w:pPr>
            <w:r>
              <w:rPr>
                <w:rFonts w:ascii="Arial;Helvetica;sans-serif" w:hAnsi="Arial;Helvetica;sans-serif"/>
                <w:sz w:val="18"/>
              </w:rPr>
              <w:t>Long-term award with ratable vesting over three years that provides a direct correlation of realized pay to shareholder value.</w:t>
            </w:r>
          </w:p>
        </w:tc>
      </w:tr>
      <w:tr>
        <w:trPr/>
        <w:tc>
          <w:tcPr>
            <w:tcW w:w="2491" w:type="dxa"/>
            <w:tcBorders/>
            <w:vAlign w:val="center"/>
          </w:tcPr>
          <w:p>
            <w:pPr>
              <w:pStyle w:val="TableContents"/>
              <w:bidi w:val="0"/>
              <w:spacing w:lineRule="auto" w:line="285" w:before="0" w:after="0"/>
              <w:ind w:left="0" w:right="0" w:hanging="0"/>
              <w:jc w:val="left"/>
              <w:rPr/>
            </w:pPr>
            <w:r>
              <w:rPr/>
              <w:t>​</w:t>
            </w:r>
          </w:p>
        </w:tc>
        <w:tc>
          <w:tcPr>
            <w:tcW w:w="109" w:type="dxa"/>
            <w:tcBorders>
              <w:top w:val="single" w:sz="2" w:space="0" w:color="D9D9D9"/>
            </w:tcBorders>
            <w:tcMar>
              <w:top w:w="28" w:type="dxa"/>
            </w:tcMar>
            <w:vAlign w:val="center"/>
          </w:tcPr>
          <w:p>
            <w:pPr>
              <w:pStyle w:val="TableContents"/>
              <w:bidi w:val="0"/>
              <w:spacing w:lineRule="auto" w:line="285" w:before="0" w:after="0"/>
              <w:ind w:left="0" w:right="0" w:hanging="0"/>
              <w:jc w:val="both"/>
              <w:rPr/>
            </w:pPr>
            <w:r>
              <w:rPr/>
              <w:t>​</w:t>
            </w:r>
          </w:p>
        </w:tc>
        <w:tc>
          <w:tcPr>
            <w:tcW w:w="3215" w:type="dxa"/>
            <w:gridSpan w:val="2"/>
            <w:tcBorders>
              <w:top w:val="single" w:sz="2" w:space="0" w:color="D9D9D9"/>
            </w:tcBorders>
            <w:tcMar>
              <w:top w:w="28" w:type="dxa"/>
            </w:tcMar>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4281" w:type="dxa"/>
            <w:gridSpan w:val="3"/>
            <w:tcBorders>
              <w:top w:val="single" w:sz="2" w:space="0" w:color="D9D9D9"/>
            </w:tcBorders>
            <w:tcMar>
              <w:top w:w="28" w:type="dxa"/>
            </w:tcM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200" w:after="200"/>
        <w:ind w:left="0" w:right="0" w:hanging="0"/>
        <w:jc w:val="both"/>
        <w:rPr>
          <w:rFonts w:ascii="Arial;Helvetica;sans-serif" w:hAnsi="Arial;Helvetica;sans-serif"/>
          <w:sz w:val="20"/>
        </w:rPr>
      </w:pPr>
      <w:r>
        <w:rPr>
          <w:rFonts w:ascii="Arial;Helvetica;sans-serif" w:hAnsi="Arial;Helvetica;sans-serif"/>
          <w:sz w:val="20"/>
        </w:rPr>
        <w:t>The Committee takes several objectives into consideration when assessing the reasonableness of the total direct compensation of the Named Executive Officers, particularly the compensation of our Chief Executive Officer. These objectives include ensuring alignment with our vision and business strategy, creating sustainable long-term shareholder value through the amount and mix of compensation provided, and advancing the core principles of our compensation philosophy and objectives while remaining within our risk tolerance.</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Executive compensation is generally targeted around the market median and, when appropriate, adjusted for each Named Executive Officer based upon their individual skills, Company and industry tenure and impact to the Company’s short and long-term strategic goals.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Our Named Executive Officers have an average of 27 years of experience in multiple sectors of the oil and gas industry, including oilfield services and offshore drilling, and have served our Company for an average of 17 years. Ultimately, this combined expertise and experience was invaluable to maintaining the Company’s performance and preserving shareholder value during the extended market downturn. It is our belief that, particularly in comparison to that of our competitors – most of which filed for bankruptcy and restructured – the continuity of our management team, combined with their collective experience, provides a distinct competitive advantage and advances the Company’s leadership position, allowing it to appropriately manage the inherent cyclicality and other unique characteristics of the offshore drilling industry.</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BASE SALARY</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Our Named Executive Officers receive base salaries constituting a fixed amount of compensation for services rendered during the year. The base salaries of our Named Executive Officers are determined by the Committee </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P-82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124"/>
        <w:gridCol w:w="4516"/>
      </w:tblGrid>
      <w:tr>
        <w:trPr/>
        <w:tc>
          <w:tcPr>
            <w:tcW w:w="124" w:type="dxa"/>
            <w:tcBorders/>
            <w:vAlign w:val="center"/>
          </w:tcPr>
          <w:p>
            <w:pPr>
              <w:pStyle w:val="TableContents"/>
              <w:bidi w:val="0"/>
              <w:spacing w:lineRule="auto" w:line="285" w:before="0" w:after="0"/>
              <w:ind w:left="0" w:right="0" w:hanging="0"/>
              <w:jc w:val="both"/>
              <w:rPr/>
            </w:pPr>
            <w:r>
              <w:rPr/>
              <w:t>​</w:t>
            </w:r>
          </w:p>
        </w:tc>
        <w:tc>
          <w:tcPr>
            <w:tcW w:w="45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451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COMPENSATION DISCUSSION AND ANALYSIS</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upon each officer’s initial hire and reviewed annually, including in the context of promotions or other changes in job responsibilities. As part of its annual review, the Committee reviews each base salary, (i) for purposes of maintaining competitive compensation, relative to executive officers at applicable industry and outside-industry companies, and (ii) for internal pay equity purposes, relative to other executive officers at the Company.</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As part of its base salary review, the Committee considers input from our Chief Executive Officer (except with respect to his own compensation), competitive compensation data from our Compensation Peer Group and other survey data, job responsibilities, individual skills, experience and expected future contributions of each Named Executive Officer. The Committee also considers input from its independent compensation consultant within the framework of the Company’s compensation philosophy and objectives.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Following its annual review, in February 2025, the Committee elected to maintain the base pay for our Named Executive Officers. Further, subsequent to his promotion to Chief Executive Officer in May 2025, Mr. Adamson received an increase in base compensation. For more information, see the section title “2025 Named Executive Officer Transitions”.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following base salaries were approved by the Committee for the individuals listed below.</w:t>
      </w:r>
    </w:p>
    <w:tbl>
      <w:tblPr>
        <w:tblW w:w="5750" w:type="dxa"/>
        <w:jc w:val="left"/>
        <w:tblInd w:w="0" w:type="dxa"/>
        <w:tblLayout w:type="fixed"/>
        <w:tblCellMar>
          <w:top w:w="0" w:type="dxa"/>
          <w:left w:w="0" w:type="dxa"/>
          <w:bottom w:w="0" w:type="dxa"/>
          <w:right w:w="0" w:type="dxa"/>
        </w:tblCellMar>
      </w:tblPr>
      <w:tblGrid>
        <w:gridCol w:w="1471"/>
        <w:gridCol w:w="346"/>
        <w:gridCol w:w="1681"/>
        <w:gridCol w:w="346"/>
        <w:gridCol w:w="190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934085" cy="175260"/>
                      <wp:effectExtent l="0" t="0" r="0" b="0"/>
                      <wp:wrapNone/>
                      <wp:docPr id="211" name="Frame87"/>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12"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067435" cy="175260"/>
                      <wp:effectExtent l="0" t="0" r="0" b="0"/>
                      <wp:wrapNone/>
                      <wp:docPr id="213" name="Frame89"/>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14"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210310" cy="175260"/>
                      <wp:effectExtent l="0" t="0" r="0" b="0"/>
                      <wp:wrapNone/>
                      <wp:docPr id="215" name="Frame91"/>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147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68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2025 BASE SALARY</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90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INCREASE OVER 2024</w:t>
            </w:r>
          </w:p>
        </w:tc>
      </w:tr>
      <w:tr>
        <w:trPr/>
        <w:tc>
          <w:tcPr>
            <w:tcW w:w="1471" w:type="dxa"/>
            <w:tcBorders>
              <w:bottom w:val="single" w:sz="18"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6"/>
              </w:rPr>
            </w:pPr>
            <w:r>
              <w:rPr>
                <w:rFonts w:ascii="Arial;Helvetica;sans-serif" w:hAnsi="Arial;Helvetica;sans-serif"/>
                <w:b/>
                <w:color w:val="4B4F54"/>
                <w:sz w:val="16"/>
              </w:rPr>
              <w:t>EXECUTIVE</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1681" w:type="dxa"/>
            <w:tcBorders>
              <w:bottom w:val="single" w:sz="18"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(U.S. $)</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1906" w:type="dxa"/>
            <w:tcBorders>
              <w:bottom w:val="single" w:sz="18"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w:t>
            </w:r>
          </w:p>
        </w:tc>
      </w:tr>
      <w:tr>
        <w:trPr/>
        <w:tc>
          <w:tcPr>
            <w:tcW w:w="1471" w:type="dxa"/>
            <w:tcBorders>
              <w:bottom w:val="single" w:sz="12" w:space="0" w:color="D9D9D9"/>
            </w:tcBorders>
            <w:tcMar>
              <w:bottom w:w="28" w:type="dxa"/>
            </w:tcM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Mr. Adamson</w:t>
            </w:r>
            <w:r>
              <w:rPr>
                <w:rFonts w:ascii="Arial;Helvetica;sans-serif" w:hAnsi="Arial;Helvetica;sans-serif"/>
                <w:sz w:val="15"/>
              </w:rPr>
              <w:t>(1)</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681"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 xml:space="preserve">$1,000,000 </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906"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25%</w:t>
            </w:r>
          </w:p>
        </w:tc>
      </w:tr>
      <w:tr>
        <w:trPr/>
        <w:tc>
          <w:tcPr>
            <w:tcW w:w="1471"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Mr. Vayda</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681"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 xml:space="preserve">$625,000 </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906"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0%</w:t>
            </w:r>
          </w:p>
        </w:tc>
      </w:tr>
      <w:tr>
        <w:trPr/>
        <w:tc>
          <w:tcPr>
            <w:tcW w:w="1471" w:type="dxa"/>
            <w:tcBorders>
              <w:bottom w:val="single" w:sz="12" w:space="0" w:color="D9D9D9"/>
            </w:tcBorders>
            <w:tcMar>
              <w:bottom w:w="28" w:type="dxa"/>
            </w:tcM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Mr. Thigpen</w:t>
            </w:r>
            <w:r>
              <w:rPr>
                <w:rFonts w:ascii="Arial;Helvetica;sans-serif" w:hAnsi="Arial;Helvetica;sans-serif"/>
                <w:sz w:val="15"/>
              </w:rPr>
              <w:t>(2)</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681"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 xml:space="preserve">$1,150,000 </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906"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0%</w:t>
            </w:r>
          </w:p>
        </w:tc>
      </w:tr>
      <w:tr>
        <w:trPr/>
        <w:tc>
          <w:tcPr>
            <w:tcW w:w="1471"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Mr. Long</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681"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 xml:space="preserve">$630,000 </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906"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0%</w:t>
            </w:r>
          </w:p>
        </w:tc>
      </w:tr>
      <w:tr>
        <w:trPr/>
        <w:tc>
          <w:tcPr>
            <w:tcW w:w="1471"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Mr. Mackenzie</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681"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 xml:space="preserve">$550,000 </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906"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0%</w:t>
            </w:r>
          </w:p>
        </w:tc>
      </w:tr>
      <w:tr>
        <w:trPr/>
        <w:tc>
          <w:tcPr>
            <w:tcW w:w="1471" w:type="dxa"/>
            <w:tcBorders>
              <w:bottom w:val="single" w:sz="12" w:space="0" w:color="D9D9D9"/>
            </w:tcBorders>
            <w:tcMar>
              <w:bottom w:w="28" w:type="dxa"/>
            </w:tcM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Mr. Pack</w:t>
            </w:r>
            <w:r>
              <w:rPr>
                <w:rFonts w:ascii="Arial;Helvetica;sans-serif" w:hAnsi="Arial;Helvetica;sans-serif"/>
                <w:sz w:val="15"/>
              </w:rPr>
              <w:t>(3)</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681"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 xml:space="preserve">$430,000 </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906" w:type="dxa"/>
            <w:tcBorders>
              <w:bottom w:val="single" w:sz="12" w:space="0" w:color="D9D9D9"/>
            </w:tcBorders>
            <w:tcMar>
              <w:bottom w:w="28" w:type="dxa"/>
            </w:tcMar>
            <w:vAlign w:val="center"/>
          </w:tcPr>
          <w:p>
            <w:pPr>
              <w:pStyle w:val="TableContents"/>
              <w:bidi w:val="0"/>
              <w:spacing w:lineRule="auto" w:line="285" w:before="0" w:after="0"/>
              <w:ind w:left="0" w:right="60" w:hanging="0"/>
              <w:jc w:val="right"/>
              <w:rPr>
                <w:rFonts w:ascii="Arial;Helvetica;sans-serif" w:hAnsi="Arial;Helvetica;sans-serif"/>
                <w:sz w:val="20"/>
              </w:rPr>
            </w:pPr>
            <w:r>
              <w:rPr>
                <w:rFonts w:ascii="Arial;Helvetica;sans-serif" w:hAnsi="Arial;Helvetica;sans-serif"/>
                <w:sz w:val="20"/>
              </w:rPr>
              <w:t>N/A</w:t>
            </w:r>
          </w:p>
        </w:tc>
      </w:tr>
    </w:tbl>
    <w:p>
      <w:pPr>
        <w:pStyle w:val="TextBody"/>
        <w:bidi w:val="0"/>
        <w:spacing w:lineRule="auto" w:line="285" w:before="0" w:after="0"/>
        <w:ind w:left="0" w:right="0" w:hanging="0"/>
        <w:jc w:val="both"/>
        <w:rPr/>
      </w:pPr>
      <w:r>
        <w:rPr/>
        <w:t>​</w:t>
      </w:r>
    </w:p>
    <w:tbl>
      <w:tblPr>
        <w:tblW w:w="7786" w:type="dxa"/>
        <w:jc w:val="left"/>
        <w:tblInd w:w="0" w:type="dxa"/>
        <w:tblLayout w:type="fixed"/>
        <w:tblCellMar>
          <w:top w:w="28" w:type="dxa"/>
          <w:left w:w="0" w:type="dxa"/>
          <w:bottom w:w="28" w:type="dxa"/>
          <w:right w:w="0" w:type="dxa"/>
        </w:tblCellMar>
      </w:tblPr>
      <w:tblGrid>
        <w:gridCol w:w="7786"/>
      </w:tblGrid>
      <w:tr>
        <w:trPr/>
        <w:tc>
          <w:tcPr>
            <w:tcW w:w="7786" w:type="dxa"/>
            <w:tcBorders>
              <w:top w:val="single" w:sz="2" w:space="0" w:color="D9D9D9"/>
              <w:bottom w:val="single" w:sz="2" w:space="0" w:color="D9D9D9"/>
            </w:tcBorders>
            <w:vAlign w:val="center"/>
          </w:tcPr>
          <w:p>
            <w:pPr>
              <w:pStyle w:val="TableContents"/>
              <w:bidi w:val="0"/>
              <w:spacing w:lineRule="auto" w:line="285" w:before="0" w:after="60"/>
              <w:ind w:left="0" w:right="0" w:hanging="0"/>
              <w:jc w:val="left"/>
              <w:rPr>
                <w:rFonts w:ascii="Arial;Helvetica;sans-serif" w:hAnsi="Arial;Helvetica;sans-serif"/>
                <w:sz w:val="16"/>
              </w:rPr>
            </w:pPr>
            <w:r>
              <w:rPr>
                <w:rFonts w:ascii="Arial;Helvetica;sans-serif" w:hAnsi="Arial;Helvetica;sans-serif"/>
                <w:sz w:val="16"/>
              </w:rPr>
              <w:t>(1)</w:t>
            </w:r>
          </w:p>
          <w:p>
            <w:pPr>
              <w:pStyle w:val="TableContents"/>
              <w:bidi w:val="0"/>
              <w:spacing w:lineRule="auto" w:line="285" w:before="0" w:after="6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Pursuant to promotion to CEO (May 2025).</w:t>
            </w:r>
          </w:p>
          <w:p>
            <w:pPr>
              <w:pStyle w:val="TableContents"/>
              <w:bidi w:val="0"/>
              <w:spacing w:lineRule="auto" w:line="285" w:before="120" w:after="60"/>
              <w:jc w:val="left"/>
              <w:rPr>
                <w:rFonts w:ascii="Arial;Helvetica;sans-serif" w:hAnsi="Arial;Helvetica;sans-serif"/>
                <w:sz w:val="16"/>
              </w:rPr>
            </w:pPr>
            <w:r>
              <w:rPr>
                <w:rFonts w:ascii="Arial;Helvetica;sans-serif" w:hAnsi="Arial;Helvetica;sans-serif"/>
                <w:sz w:val="16"/>
              </w:rPr>
              <w:t>(2)</w:t>
            </w:r>
          </w:p>
          <w:p>
            <w:pPr>
              <w:pStyle w:val="TableContents"/>
              <w:bidi w:val="0"/>
              <w:spacing w:lineRule="auto" w:line="285" w:before="120" w:after="6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Annual target value as CEO prior to transition to Executive Chair. Refer to 2025 NEO Transitions section.</w:t>
            </w:r>
          </w:p>
          <w:p>
            <w:pPr>
              <w:pStyle w:val="TableContents"/>
              <w:bidi w:val="0"/>
              <w:spacing w:lineRule="auto" w:line="285" w:before="0" w:after="0"/>
              <w:jc w:val="left"/>
              <w:rPr>
                <w:rFonts w:ascii="Arial;Helvetica;sans-serif" w:hAnsi="Arial;Helvetica;sans-serif"/>
                <w:sz w:val="16"/>
              </w:rPr>
            </w:pPr>
            <w:r>
              <w:rPr>
                <w:rFonts w:ascii="Arial;Helvetica;sans-serif" w:hAnsi="Arial;Helvetica;sans-serif"/>
                <w:sz w:val="16"/>
              </w:rPr>
              <w:t>(3)</w:t>
            </w:r>
          </w:p>
          <w:p>
            <w:pPr>
              <w:pStyle w:val="TableContents"/>
              <w:bidi w:val="0"/>
              <w:spacing w:lineRule="auto" w:line="285"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Newly designated 2025 NEO.</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ANNUAL PERFORMANCE BONUS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Our Performance Award and Cash Bonus Plan (the “Bonus Plan”) is a formulaic, goal-driven plan that provides participants, including the Named Executive Officers, with the opportunity to earn annual cash bonuses based on performance as measured against predetermined performance objectives. Individual target award levels, expressed as percentages of the participants’ base salaries, are established by the Committee at the beginning of the year. The target award opportunities under the Bonus Plan, when combined with base salaries, are intended to position the participants to earn total cash compensation approximating competitive market median levels. Individual awards correlate to Company performance, so the executives achieve above-target awards only when the Company achieves above-target performance. Further, the bonus opportunity is capped at a maximum payout level as noted below.</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In 2025, the Committee maintained the target bonus opportunity for our Named Executive Officers with the exception of Mr. Adamson who received an increased target pursuant to his promotion to Chief Executive Officer. Under the Bonus Plan for 2025, the Named Executive Officers had a potential payout range of 0% to </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P-83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4486"/>
        <w:gridCol w:w="154"/>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448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COMPENSATION DISCUSSION AND ANALYSIS</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200% of their individual target award opportunities. The 2025 target bonus opportunity for each Named Executive Officer, expressed as a percentage of base salary, was as follows:</w:t>
      </w:r>
    </w:p>
    <w:tbl>
      <w:tblPr>
        <w:tblW w:w="5915" w:type="dxa"/>
        <w:jc w:val="left"/>
        <w:tblInd w:w="0" w:type="dxa"/>
        <w:tblLayout w:type="fixed"/>
        <w:tblCellMar>
          <w:top w:w="0" w:type="dxa"/>
          <w:left w:w="0" w:type="dxa"/>
          <w:bottom w:w="0" w:type="dxa"/>
          <w:right w:w="0" w:type="dxa"/>
        </w:tblCellMar>
      </w:tblPr>
      <w:tblGrid>
        <w:gridCol w:w="1471"/>
        <w:gridCol w:w="346"/>
        <w:gridCol w:w="1846"/>
        <w:gridCol w:w="346"/>
        <w:gridCol w:w="190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934085" cy="175260"/>
                      <wp:effectExtent l="0" t="0" r="0" b="0"/>
                      <wp:wrapNone/>
                      <wp:docPr id="216" name="Frame92"/>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17"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172210" cy="175260"/>
                      <wp:effectExtent l="0" t="0" r="0" b="0"/>
                      <wp:wrapNone/>
                      <wp:docPr id="218" name="Frame94"/>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19"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210310" cy="175260"/>
                      <wp:effectExtent l="0" t="0" r="0" b="0"/>
                      <wp:wrapNone/>
                      <wp:docPr id="220" name="Frame96"/>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147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84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2025 BONUS TARGET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90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INCREASE OVER 2024</w:t>
            </w:r>
          </w:p>
        </w:tc>
      </w:tr>
      <w:tr>
        <w:trPr/>
        <w:tc>
          <w:tcPr>
            <w:tcW w:w="1471" w:type="dxa"/>
            <w:tcBorders>
              <w:bottom w:val="single" w:sz="18"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6"/>
              </w:rPr>
            </w:pPr>
            <w:r>
              <w:rPr>
                <w:rFonts w:ascii="Arial;Helvetica;sans-serif" w:hAnsi="Arial;Helvetica;sans-serif"/>
                <w:b/>
                <w:color w:val="4B4F54"/>
                <w:sz w:val="16"/>
              </w:rPr>
              <w:t>EXECUTIVE</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1846" w:type="dxa"/>
            <w:tcBorders>
              <w:bottom w:val="single" w:sz="18"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(U.S. $)</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1906" w:type="dxa"/>
            <w:tcBorders>
              <w:bottom w:val="single" w:sz="18"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w:t>
            </w:r>
          </w:p>
        </w:tc>
      </w:tr>
      <w:tr>
        <w:trPr/>
        <w:tc>
          <w:tcPr>
            <w:tcW w:w="1471" w:type="dxa"/>
            <w:tcBorders>
              <w:bottom w:val="single" w:sz="12" w:space="0" w:color="D9D9D9"/>
            </w:tcBorders>
            <w:tcMar>
              <w:bottom w:w="28" w:type="dxa"/>
            </w:tcM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Mr. Adamson</w:t>
            </w:r>
            <w:r>
              <w:rPr>
                <w:rFonts w:ascii="Arial;Helvetica;sans-serif" w:hAnsi="Arial;Helvetica;sans-serif"/>
                <w:sz w:val="15"/>
              </w:rPr>
              <w:t>(1)</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846"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130%</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906"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30%</w:t>
            </w:r>
          </w:p>
        </w:tc>
      </w:tr>
      <w:tr>
        <w:trPr/>
        <w:tc>
          <w:tcPr>
            <w:tcW w:w="1471"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Mr. Vayda</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846"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906"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0%</w:t>
            </w:r>
          </w:p>
        </w:tc>
      </w:tr>
      <w:tr>
        <w:trPr/>
        <w:tc>
          <w:tcPr>
            <w:tcW w:w="1471" w:type="dxa"/>
            <w:tcBorders>
              <w:bottom w:val="single" w:sz="12" w:space="0" w:color="D9D9D9"/>
            </w:tcBorders>
            <w:tcMar>
              <w:bottom w:w="28" w:type="dxa"/>
            </w:tcM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Mr. Thigpen</w:t>
            </w:r>
            <w:r>
              <w:rPr>
                <w:rFonts w:ascii="Arial;Helvetica;sans-serif" w:hAnsi="Arial;Helvetica;sans-serif"/>
                <w:sz w:val="15"/>
              </w:rPr>
              <w:t>(2)</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846"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135%</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906"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0%</w:t>
            </w:r>
          </w:p>
        </w:tc>
      </w:tr>
      <w:tr>
        <w:trPr/>
        <w:tc>
          <w:tcPr>
            <w:tcW w:w="1471"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Mr. Long</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846"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906"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0%</w:t>
            </w:r>
          </w:p>
        </w:tc>
      </w:tr>
      <w:tr>
        <w:trPr/>
        <w:tc>
          <w:tcPr>
            <w:tcW w:w="1471"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Mr. Mackenzie</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846"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906"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0%</w:t>
            </w:r>
          </w:p>
        </w:tc>
      </w:tr>
      <w:tr>
        <w:trPr/>
        <w:tc>
          <w:tcPr>
            <w:tcW w:w="1471" w:type="dxa"/>
            <w:tcBorders>
              <w:bottom w:val="single" w:sz="12" w:space="0" w:color="D9D9D9"/>
            </w:tcBorders>
            <w:tcMar>
              <w:bottom w:w="28" w:type="dxa"/>
            </w:tcM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Mr. Pack</w:t>
            </w:r>
            <w:r>
              <w:rPr>
                <w:rFonts w:ascii="Arial;Helvetica;sans-serif" w:hAnsi="Arial;Helvetica;sans-serif"/>
                <w:sz w:val="15"/>
              </w:rPr>
              <w:t>(3)</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846" w:type="dxa"/>
            <w:tcBorders>
              <w:bottom w:val="single" w:sz="1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75%</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906" w:type="dxa"/>
            <w:tcBorders>
              <w:bottom w:val="single" w:sz="12" w:space="0" w:color="D9D9D9"/>
            </w:tcBorders>
            <w:tcMar>
              <w:bottom w:w="28" w:type="dxa"/>
            </w:tcMar>
            <w:vAlign w:val="center"/>
          </w:tcPr>
          <w:p>
            <w:pPr>
              <w:pStyle w:val="TableContents"/>
              <w:bidi w:val="0"/>
              <w:spacing w:lineRule="auto" w:line="285" w:before="0" w:after="0"/>
              <w:ind w:left="0" w:right="60" w:hanging="0"/>
              <w:jc w:val="right"/>
              <w:rPr>
                <w:rFonts w:ascii="Arial;Helvetica;sans-serif" w:hAnsi="Arial;Helvetica;sans-serif"/>
                <w:sz w:val="20"/>
              </w:rPr>
            </w:pPr>
            <w:r>
              <w:rPr>
                <w:rFonts w:ascii="Arial;Helvetica;sans-serif" w:hAnsi="Arial;Helvetica;sans-serif"/>
                <w:sz w:val="20"/>
              </w:rPr>
              <w:t>N/A</w:t>
            </w:r>
          </w:p>
        </w:tc>
      </w:tr>
    </w:tbl>
    <w:p>
      <w:pPr>
        <w:pStyle w:val="TextBody"/>
        <w:bidi w:val="0"/>
        <w:spacing w:lineRule="auto" w:line="285" w:before="0" w:after="0"/>
        <w:ind w:left="0" w:right="0" w:hanging="0"/>
        <w:jc w:val="both"/>
        <w:rPr/>
      </w:pPr>
      <w:r>
        <w:rPr/>
        <w:t>​</w:t>
      </w:r>
    </w:p>
    <w:tbl>
      <w:tblPr>
        <w:tblW w:w="7786" w:type="dxa"/>
        <w:jc w:val="left"/>
        <w:tblInd w:w="0" w:type="dxa"/>
        <w:tblLayout w:type="fixed"/>
        <w:tblCellMar>
          <w:top w:w="28" w:type="dxa"/>
          <w:left w:w="0" w:type="dxa"/>
          <w:bottom w:w="28" w:type="dxa"/>
          <w:right w:w="0" w:type="dxa"/>
        </w:tblCellMar>
      </w:tblPr>
      <w:tblGrid>
        <w:gridCol w:w="7786"/>
      </w:tblGrid>
      <w:tr>
        <w:trPr/>
        <w:tc>
          <w:tcPr>
            <w:tcW w:w="7786" w:type="dxa"/>
            <w:tcBorders>
              <w:top w:val="single" w:sz="2" w:space="0" w:color="D9D9D9"/>
              <w:bottom w:val="single" w:sz="2" w:space="0" w:color="D9D9D9"/>
            </w:tcBorders>
            <w:vAlign w:val="center"/>
          </w:tcPr>
          <w:p>
            <w:pPr>
              <w:pStyle w:val="TableContents"/>
              <w:bidi w:val="0"/>
              <w:spacing w:lineRule="auto" w:line="285" w:before="0" w:after="60"/>
              <w:ind w:left="0" w:right="0" w:hanging="0"/>
              <w:jc w:val="left"/>
              <w:rPr>
                <w:rFonts w:ascii="Arial;Helvetica;sans-serif" w:hAnsi="Arial;Helvetica;sans-serif"/>
                <w:sz w:val="16"/>
              </w:rPr>
            </w:pPr>
            <w:r>
              <w:rPr>
                <w:rFonts w:ascii="Arial;Helvetica;sans-serif" w:hAnsi="Arial;Helvetica;sans-serif"/>
                <w:sz w:val="16"/>
              </w:rPr>
              <w:t>(1)</w:t>
            </w:r>
          </w:p>
          <w:p>
            <w:pPr>
              <w:pStyle w:val="TableContents"/>
              <w:bidi w:val="0"/>
              <w:spacing w:lineRule="auto" w:line="285" w:before="0" w:after="6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Pursuant to promotion to CEO (May 2025).</w:t>
            </w:r>
          </w:p>
          <w:p>
            <w:pPr>
              <w:pStyle w:val="TableContents"/>
              <w:bidi w:val="0"/>
              <w:spacing w:lineRule="auto" w:line="285" w:before="0" w:after="60"/>
              <w:jc w:val="both"/>
              <w:rPr>
                <w:rFonts w:ascii="Arial;Helvetica;sans-serif" w:hAnsi="Arial;Helvetica;sans-serif"/>
                <w:sz w:val="16"/>
              </w:rPr>
            </w:pPr>
            <w:r>
              <w:rPr>
                <w:rFonts w:ascii="Arial;Helvetica;sans-serif" w:hAnsi="Arial;Helvetica;sans-serif"/>
                <w:sz w:val="16"/>
              </w:rPr>
              <w:t>(2)</w:t>
            </w:r>
          </w:p>
          <w:p>
            <w:pPr>
              <w:pStyle w:val="TableContents"/>
              <w:bidi w:val="0"/>
              <w:spacing w:lineRule="auto" w:line="285" w:before="0" w:after="60"/>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Annual target value as CEO prior to transition to Executive Chair. Refer to 2025 NEO Transitions section.</w:t>
            </w:r>
          </w:p>
          <w:p>
            <w:pPr>
              <w:pStyle w:val="TableContents"/>
              <w:bidi w:val="0"/>
              <w:spacing w:lineRule="auto" w:line="285" w:before="0" w:after="0"/>
              <w:jc w:val="both"/>
              <w:rPr>
                <w:rFonts w:ascii="Arial;Helvetica;sans-serif" w:hAnsi="Arial;Helvetica;sans-serif"/>
                <w:sz w:val="16"/>
              </w:rPr>
            </w:pPr>
            <w:r>
              <w:rPr>
                <w:rFonts w:ascii="Arial;Helvetica;sans-serif" w:hAnsi="Arial;Helvetica;sans-serif"/>
                <w:sz w:val="16"/>
              </w:rPr>
              <w:t>(3)</w:t>
            </w:r>
          </w:p>
          <w:p>
            <w:pPr>
              <w:pStyle w:val="TableContents"/>
              <w:bidi w:val="0"/>
              <w:spacing w:lineRule="auto" w:line="285" w:before="0" w:after="0"/>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Newly designated 2025 NEO.</w:t>
            </w:r>
          </w:p>
        </w:tc>
      </w:tr>
    </w:tbl>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b/>
          <w:sz w:val="24"/>
        </w:rPr>
      </w:pPr>
      <w:r>
        <w:rPr>
          <w:rFonts w:ascii="Arial;Helvetica;sans-serif" w:hAnsi="Arial;Helvetica;sans-serif"/>
          <w:b/>
          <w:sz w:val="24"/>
        </w:rPr>
        <w:t>2025 ANNUAL BONUS STRUCTURE AND ACHIEVEMENT</w:t>
      </w:r>
    </w:p>
    <w:p>
      <w:pPr>
        <w:pStyle w:val="TextBody"/>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The annual cash bonus structure is designed to recognize and motivate strong financial, operational and sustainability performance. Achievement in these three focus areas provides the Committee with a direct line of sight to annual Company operational and financial results while maintaining an emphasis on our environmental, safety and governance strategy. This structure is designed to focus our executives on those areas where we can differentiate ourselves from our competitors throughout the various cycles of our industry. The performance measures, relative weightings, and threshold-target-maximum payout ranges were designed based on our 2025 financial and operational forecasts, as presented to the Committee in early February 2025.</w:t>
      </w:r>
    </w:p>
    <w:p>
      <w:pPr>
        <w:pStyle w:val="TextBody"/>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The following table outlines the 2025 bonus performance measures and relative weightings. Each of the measures is defined and discussed in more detail below.</w:t>
      </w:r>
    </w:p>
    <w:p>
      <w:pPr>
        <w:pStyle w:val="TextBody"/>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Based on the performance measures described further below and using the pre-determined weightings assigned to each measure by the Committee, the overall bonus achievement for each of our Named Executive Officers was 150% of the targeted bonus opportunity under the Bonus Plan for 2025. The components of this total bonus payout under the Bonus Plan for 2025 are as follows:</w:t>
      </w:r>
    </w:p>
    <w:tbl>
      <w:tblPr>
        <w:tblW w:w="9443" w:type="dxa"/>
        <w:jc w:val="left"/>
        <w:tblInd w:w="0" w:type="dxa"/>
        <w:tblLayout w:type="fixed"/>
        <w:tblCellMar>
          <w:top w:w="0" w:type="dxa"/>
          <w:left w:w="0" w:type="dxa"/>
          <w:bottom w:w="0" w:type="dxa"/>
          <w:right w:w="0" w:type="dxa"/>
        </w:tblCellMar>
      </w:tblPr>
      <w:tblGrid>
        <w:gridCol w:w="382"/>
        <w:gridCol w:w="115"/>
        <w:gridCol w:w="2307"/>
        <w:gridCol w:w="109"/>
        <w:gridCol w:w="1471"/>
        <w:gridCol w:w="346"/>
        <w:gridCol w:w="1696"/>
        <w:gridCol w:w="346"/>
        <w:gridCol w:w="2671"/>
      </w:tblGrid>
      <w:tr>
        <w:trPr/>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42570" cy="175260"/>
                      <wp:effectExtent l="0" t="0" r="0" b="0"/>
                      <wp:wrapNone/>
                      <wp:docPr id="221" name="Frame97"/>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73025" cy="175260"/>
                      <wp:effectExtent l="0" t="0" r="0" b="0"/>
                      <wp:wrapNone/>
                      <wp:docPr id="222" name="Frame98"/>
                      <a:graphic xmlns:a="http://schemas.openxmlformats.org/drawingml/2006/main">
                        <a:graphicData uri="http://schemas.microsoft.com/office/word/2010/wordprocessingShape">
                          <wps:wsp>
                            <wps:cNvSpPr txBox="1"/>
                            <wps:spPr>
                              <a:xfrm>
                                <a:off x="0" y="0"/>
                                <a:ext cx="7302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464945" cy="175260"/>
                      <wp:effectExtent l="0" t="0" r="0" b="0"/>
                      <wp:wrapNone/>
                      <wp:docPr id="223" name="Frame99"/>
                      <a:graphic xmlns:a="http://schemas.openxmlformats.org/drawingml/2006/main">
                        <a:graphicData uri="http://schemas.microsoft.com/office/word/2010/wordprocessingShape">
                          <wps:wsp>
                            <wps:cNvSpPr txBox="1"/>
                            <wps:spPr>
                              <a:xfrm>
                                <a:off x="0" y="0"/>
                                <a:ext cx="146494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24"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934085" cy="175260"/>
                      <wp:effectExtent l="0" t="0" r="0" b="0"/>
                      <wp:wrapNone/>
                      <wp:docPr id="225" name="Frame101"/>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26"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076960" cy="175260"/>
                      <wp:effectExtent l="0" t="0" r="0" b="0"/>
                      <wp:wrapNone/>
                      <wp:docPr id="227" name="Frame103"/>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28"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696085" cy="175260"/>
                      <wp:effectExtent l="0" t="0" r="0" b="0"/>
                      <wp:wrapNone/>
                      <wp:docPr id="229" name="Frame105"/>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382"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5"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307"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47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2025 WEIGHTING</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69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2025 ACHIEVEMENT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67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2025 WEIGHTED ACHIEVEMENT</w:t>
            </w:r>
          </w:p>
        </w:tc>
      </w:tr>
      <w:tr>
        <w:trPr/>
        <w:tc>
          <w:tcPr>
            <w:tcW w:w="2804" w:type="dxa"/>
            <w:gridSpan w:val="3"/>
            <w:tcBorders>
              <w:bottom w:val="single" w:sz="18"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6"/>
              </w:rPr>
            </w:pPr>
            <w:r>
              <w:rPr>
                <w:rFonts w:ascii="Arial;Helvetica;sans-serif" w:hAnsi="Arial;Helvetica;sans-serif"/>
                <w:b/>
                <w:color w:val="4B4F54"/>
                <w:sz w:val="16"/>
              </w:rPr>
              <w:t>PERFORMANCE MEASURE</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471" w:type="dxa"/>
            <w:tcBorders>
              <w:bottom w:val="single" w:sz="18"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1696" w:type="dxa"/>
            <w:tcBorders>
              <w:bottom w:val="single" w:sz="18"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2671" w:type="dxa"/>
            <w:tcBorders>
              <w:bottom w:val="single" w:sz="18"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w:t>
            </w:r>
          </w:p>
        </w:tc>
      </w:tr>
      <w:tr>
        <w:trPr/>
        <w:tc>
          <w:tcPr>
            <w:tcW w:w="382"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w:t>
            </w:r>
          </w:p>
        </w:tc>
        <w:tc>
          <w:tcPr>
            <w:tcW w:w="115"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307"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EBITDA</w:t>
            </w:r>
          </w:p>
        </w:tc>
        <w:tc>
          <w:tcPr>
            <w:tcW w:w="109"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471"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65%</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69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138%</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671"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90%</w:t>
            </w:r>
          </w:p>
        </w:tc>
      </w:tr>
      <w:tr>
        <w:trPr/>
        <w:tc>
          <w:tcPr>
            <w:tcW w:w="382"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II.</w:t>
            </w:r>
          </w:p>
        </w:tc>
        <w:tc>
          <w:tcPr>
            <w:tcW w:w="115"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307"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Uptime</w:t>
            </w:r>
          </w:p>
        </w:tc>
        <w:tc>
          <w:tcPr>
            <w:tcW w:w="109"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471"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20%</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69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170%</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671"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34%</w:t>
            </w:r>
          </w:p>
        </w:tc>
      </w:tr>
      <w:tr>
        <w:trPr/>
        <w:tc>
          <w:tcPr>
            <w:tcW w:w="382"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III.</w:t>
            </w:r>
          </w:p>
        </w:tc>
        <w:tc>
          <w:tcPr>
            <w:tcW w:w="115"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307"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Environmental &amp; Safety</w:t>
            </w:r>
          </w:p>
        </w:tc>
        <w:tc>
          <w:tcPr>
            <w:tcW w:w="109"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471"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15%</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69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173%</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671"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26%</w:t>
            </w:r>
          </w:p>
        </w:tc>
      </w:tr>
      <w:tr>
        <w:trPr/>
        <w:tc>
          <w:tcPr>
            <w:tcW w:w="2804" w:type="dxa"/>
            <w:gridSpan w:val="3"/>
            <w:tcBorders>
              <w:bottom w:val="single" w:sz="1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2025 Bonus Plan Achievement</w:t>
            </w:r>
          </w:p>
        </w:tc>
        <w:tc>
          <w:tcPr>
            <w:tcW w:w="109"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471"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69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671" w:type="dxa"/>
            <w:tcBorders>
              <w:bottom w:val="single" w:sz="1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150%</w:t>
            </w:r>
          </w:p>
        </w:tc>
      </w:tr>
    </w:tbl>
    <w:p>
      <w:pPr>
        <w:pStyle w:val="TextBody"/>
        <w:bidi w:val="0"/>
        <w:spacing w:lineRule="auto" w:line="285" w:before="200" w:after="120"/>
        <w:ind w:left="0" w:right="0" w:hanging="0"/>
        <w:jc w:val="both"/>
        <w:rPr>
          <w:rFonts w:ascii="Arial;Helvetica;sans-serif" w:hAnsi="Arial;Helvetica;sans-serif"/>
          <w:sz w:val="20"/>
        </w:rPr>
      </w:pPr>
      <w:r>
        <w:rPr>
          <w:rFonts w:ascii="Arial;Helvetica;sans-serif" w:hAnsi="Arial;Helvetica;sans-serif"/>
          <w:sz w:val="20"/>
        </w:rPr>
        <w:t>For specific award amounts, see “Executive Compensation—Summary Compensation Table.”</w:t>
      </w:r>
    </w:p>
    <w:p>
      <w:pPr>
        <w:pStyle w:val="TextBody"/>
        <w:bidi w:val="0"/>
        <w:spacing w:lineRule="auto" w:line="285" w:before="0" w:after="200"/>
        <w:ind w:left="0" w:right="0" w:hanging="0"/>
        <w:jc w:val="both"/>
        <w:rPr>
          <w:rFonts w:ascii="Arial;Helvetica;sans-serif" w:hAnsi="Arial;Helvetica;sans-serif"/>
          <w:b/>
          <w:sz w:val="26"/>
        </w:rPr>
      </w:pPr>
      <w:r>
        <w:rPr>
          <w:rFonts w:ascii="Arial;Helvetica;sans-serif" w:hAnsi="Arial;Helvetica;sans-serif"/>
          <w:b/>
          <w:sz w:val="26"/>
        </w:rPr>
        <w:t>I.  FINANCIAL PERFORMANCE</w:t>
      </w:r>
    </w:p>
    <w:p>
      <w:pPr>
        <w:pStyle w:val="TextBody"/>
        <w:bidi w:val="0"/>
        <w:spacing w:lineRule="auto" w:line="285" w:before="0" w:after="200"/>
        <w:ind w:left="0" w:right="0" w:hanging="0"/>
        <w:jc w:val="both"/>
        <w:rPr>
          <w:rFonts w:ascii="Arial;Helvetica;sans-serif" w:hAnsi="Arial;Helvetica;sans-serif"/>
          <w:b/>
          <w:sz w:val="24"/>
        </w:rPr>
      </w:pPr>
      <w:r>
        <w:rPr>
          <w:rFonts w:ascii="Arial;Helvetica;sans-serif" w:hAnsi="Arial;Helvetica;sans-serif"/>
          <w:b/>
          <w:sz w:val="24"/>
        </w:rPr>
        <w:t>Developing Our EBITDA Target</w:t>
      </w:r>
    </w:p>
    <w:p>
      <w:pPr>
        <w:pStyle w:val="TextBody"/>
        <w:bidi w:val="0"/>
        <w:spacing w:lineRule="auto" w:line="285" w:before="0" w:after="200"/>
        <w:ind w:left="0" w:right="0" w:hanging="0"/>
        <w:jc w:val="both"/>
        <w:rPr>
          <w:rFonts w:ascii="Arial;Helvetica;sans-serif" w:hAnsi="Arial;Helvetica;sans-serif"/>
          <w:b/>
          <w:color w:val="005670"/>
          <w:sz w:val="20"/>
        </w:rPr>
      </w:pPr>
      <w:r>
        <w:rPr>
          <w:rFonts w:ascii="Arial;Helvetica;sans-serif" w:hAnsi="Arial;Helvetica;sans-serif"/>
          <w:b/>
          <w:color w:val="005670"/>
          <w:sz w:val="20"/>
        </w:rPr>
        <w:t>FOR THE 2025 BONUS PLAN, THE COMMITTEE EVALUATED FINANCIAL MEASURES THAT WOULD MOST CLOSELY ALIGN MANAGEMENT WITH THE COMPANY’S FINANCIAL OBJECTIVES.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Committee concluded that EBITDA continues to be the most appropriate financial measure for our annual bonus for the following reasons:</w:t>
      </w:r>
    </w:p>
    <w:tbl>
      <w:tblPr>
        <w:tblW w:w="8267" w:type="dxa"/>
        <w:jc w:val="left"/>
        <w:tblInd w:w="0" w:type="dxa"/>
        <w:tblLayout w:type="fixed"/>
        <w:tblCellMar>
          <w:top w:w="0" w:type="dxa"/>
          <w:left w:w="0" w:type="dxa"/>
          <w:bottom w:w="0" w:type="dxa"/>
          <w:right w:w="0" w:type="dxa"/>
        </w:tblCellMar>
      </w:tblPr>
      <w:tblGrid>
        <w:gridCol w:w="391"/>
        <w:gridCol w:w="7876"/>
      </w:tblGrid>
      <w:tr>
        <w:trPr/>
        <w:tc>
          <w:tcPr>
            <w:tcW w:w="391" w:type="dxa"/>
            <w:tcBorders/>
            <w:vAlign w:val="center"/>
          </w:tcPr>
          <w:p>
            <w:pPr>
              <w:pStyle w:val="TableContents"/>
              <w:bidi w:val="0"/>
              <w:spacing w:lineRule="auto" w:line="285" w:before="0" w:after="0"/>
              <w:ind w:left="0" w:right="0" w:hanging="0"/>
              <w:jc w:val="both"/>
              <w:rPr/>
            </w:pPr>
            <w:r>
              <w:rPr/>
              <w:t>​</w:t>
            </w:r>
          </w:p>
        </w:tc>
        <w:tc>
          <w:tcPr>
            <w:tcW w:w="7876" w:type="dxa"/>
            <w:tcBorders/>
            <w:vAlign w:val="center"/>
          </w:tcPr>
          <w:p>
            <w:pPr>
              <w:pStyle w:val="TableContents"/>
              <w:bidi w:val="0"/>
              <w:spacing w:lineRule="auto" w:line="285" w:before="0" w:after="0"/>
              <w:ind w:left="0" w:right="0" w:hanging="0"/>
              <w:jc w:val="both"/>
              <w:rPr/>
            </w:pPr>
            <w:r>
              <w:rPr/>
              <w:t>​</w:t>
            </w:r>
          </w:p>
        </w:tc>
      </w:tr>
      <w:tr>
        <w:trPr/>
        <w:tc>
          <w:tcPr>
            <w:tcW w:w="391" w:type="dxa"/>
            <w:tcBorders/>
            <w:vAlign w:val="center"/>
          </w:tcPr>
          <w:p>
            <w:pPr>
              <w:pStyle w:val="TableContents"/>
              <w:bidi w:val="0"/>
              <w:spacing w:lineRule="auto" w:line="285" w:before="0" w:after="100"/>
              <w:ind w:left="0" w:right="0" w:hanging="0"/>
              <w:jc w:val="right"/>
              <w:rPr>
                <w:color w:val="005670"/>
              </w:rPr>
            </w:pPr>
            <w:r>
              <w:rPr>
                <w:color w:val="005670"/>
              </w:rPr>
              <w:t>■  ​</w:t>
            </w:r>
          </w:p>
        </w:tc>
        <w:tc>
          <w:tcPr>
            <w:tcW w:w="7876"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EBITDA is commonly used by our shareholders to evaluate financial performance;</w:t>
            </w:r>
          </w:p>
        </w:tc>
      </w:tr>
      <w:tr>
        <w:trPr/>
        <w:tc>
          <w:tcPr>
            <w:tcW w:w="391" w:type="dxa"/>
            <w:tcBorders/>
            <w:vAlign w:val="center"/>
          </w:tcPr>
          <w:p>
            <w:pPr>
              <w:pStyle w:val="TableContents"/>
              <w:bidi w:val="0"/>
              <w:spacing w:lineRule="auto" w:line="285" w:before="0" w:after="100"/>
              <w:ind w:left="0" w:right="0" w:hanging="0"/>
              <w:jc w:val="right"/>
              <w:rPr>
                <w:color w:val="005670"/>
              </w:rPr>
            </w:pPr>
            <w:r>
              <w:rPr>
                <w:color w:val="005670"/>
              </w:rPr>
              <w:t>■  ​</w:t>
            </w:r>
          </w:p>
        </w:tc>
        <w:tc>
          <w:tcPr>
            <w:tcW w:w="7876"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EBITDA is commonly used by our peers to evaluate their own financial performance; and</w:t>
            </w:r>
          </w:p>
        </w:tc>
      </w:tr>
    </w:tbl>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P-84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124"/>
        <w:gridCol w:w="4516"/>
      </w:tblGrid>
      <w:tr>
        <w:trPr/>
        <w:tc>
          <w:tcPr>
            <w:tcW w:w="124" w:type="dxa"/>
            <w:tcBorders/>
            <w:vAlign w:val="center"/>
          </w:tcPr>
          <w:p>
            <w:pPr>
              <w:pStyle w:val="TableContents"/>
              <w:bidi w:val="0"/>
              <w:spacing w:lineRule="auto" w:line="285" w:before="0" w:after="0"/>
              <w:ind w:left="0" w:right="0" w:hanging="0"/>
              <w:jc w:val="both"/>
              <w:rPr/>
            </w:pPr>
            <w:r>
              <w:rPr/>
              <w:t>​</w:t>
            </w:r>
          </w:p>
        </w:tc>
        <w:tc>
          <w:tcPr>
            <w:tcW w:w="45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451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COMPENSATION DISCUSSION AND ANALYSIS</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91"/>
        <w:gridCol w:w="9814"/>
      </w:tblGrid>
      <w:tr>
        <w:trPr/>
        <w:tc>
          <w:tcPr>
            <w:tcW w:w="391" w:type="dxa"/>
            <w:tcBorders/>
            <w:vAlign w:val="center"/>
          </w:tcPr>
          <w:p>
            <w:pPr>
              <w:pStyle w:val="TableContents"/>
              <w:bidi w:val="0"/>
              <w:spacing w:lineRule="auto" w:line="285" w:before="0" w:after="0"/>
              <w:ind w:left="0" w:right="0" w:hanging="0"/>
              <w:jc w:val="right"/>
              <w:rPr>
                <w:color w:val="005670"/>
              </w:rPr>
            </w:pPr>
            <w:r>
              <w:rPr>
                <w:color w:val="005670"/>
              </w:rPr>
              <w:t>■  ​</w:t>
            </w:r>
          </w:p>
        </w:tc>
        <w:tc>
          <w:tcPr>
            <w:tcW w:w="9814"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While EBITDA is a non-GAAP financial measure, it is objective and reconcilable to the GAAP measures reported in our financial statements.</w:t>
            </w:r>
          </w:p>
        </w:tc>
      </w:tr>
    </w:tbl>
    <w:p>
      <w:pPr>
        <w:pStyle w:val="TextBody"/>
        <w:bidi w:val="0"/>
        <w:spacing w:lineRule="auto" w:line="285" w:before="200" w:after="200"/>
        <w:ind w:left="0" w:right="0" w:hanging="0"/>
        <w:jc w:val="both"/>
        <w:rPr>
          <w:rFonts w:ascii="Arial;Helvetica;sans-serif" w:hAnsi="Arial;Helvetica;sans-serif"/>
          <w:sz w:val="20"/>
        </w:rPr>
      </w:pPr>
      <w:r>
        <w:rPr>
          <w:rFonts w:ascii="Arial;Helvetica;sans-serif" w:hAnsi="Arial;Helvetica;sans-serif"/>
          <w:sz w:val="20"/>
        </w:rPr>
        <w:t>The Committee weighted EBITDA at 65% of the total 2025 Bonus Plan opportunity; increasing its weight by 5% compared to the 2024 award. Further, taking into account the Company’s 2025 financial plan, the Committee set the 2025 EBITDA target at $1.292 billion, which was 12.5% above the 2024 actual achievement level. In evaluating the 2025 EBITDA target, the Committee, at the beginning of 2025, considered the following challenges for the Company and/or the industry:</w:t>
      </w:r>
    </w:p>
    <w:tbl>
      <w:tblPr>
        <w:tblW w:w="10205" w:type="dxa"/>
        <w:jc w:val="left"/>
        <w:tblInd w:w="0" w:type="dxa"/>
        <w:tblLayout w:type="fixed"/>
        <w:tblCellMar>
          <w:top w:w="0" w:type="dxa"/>
          <w:left w:w="0" w:type="dxa"/>
          <w:bottom w:w="0" w:type="dxa"/>
          <w:right w:w="0" w:type="dxa"/>
        </w:tblCellMar>
      </w:tblPr>
      <w:tblGrid>
        <w:gridCol w:w="391"/>
        <w:gridCol w:w="9814"/>
      </w:tblGrid>
      <w:tr>
        <w:trPr/>
        <w:tc>
          <w:tcPr>
            <w:tcW w:w="391" w:type="dxa"/>
            <w:tcBorders/>
            <w:vAlign w:val="center"/>
          </w:tcPr>
          <w:p>
            <w:pPr>
              <w:pStyle w:val="TableContents"/>
              <w:bidi w:val="0"/>
              <w:spacing w:lineRule="auto" w:line="285" w:before="0" w:after="0"/>
              <w:ind w:left="0" w:right="0" w:hanging="0"/>
              <w:jc w:val="both"/>
              <w:rPr/>
            </w:pPr>
            <w:r>
              <w:rPr/>
              <w:t>​</w:t>
            </w:r>
          </w:p>
        </w:tc>
        <w:tc>
          <w:tcPr>
            <w:tcW w:w="9814" w:type="dxa"/>
            <w:tcBorders/>
            <w:vAlign w:val="center"/>
          </w:tcPr>
          <w:p>
            <w:pPr>
              <w:pStyle w:val="TableContents"/>
              <w:bidi w:val="0"/>
              <w:spacing w:lineRule="auto" w:line="285" w:before="0" w:after="0"/>
              <w:ind w:left="0" w:right="0" w:hanging="0"/>
              <w:jc w:val="both"/>
              <w:rPr/>
            </w:pPr>
            <w:r>
              <w:rPr/>
              <w:t>​</w:t>
            </w:r>
          </w:p>
        </w:tc>
      </w:tr>
      <w:tr>
        <w:trPr/>
        <w:tc>
          <w:tcPr>
            <w:tcW w:w="391" w:type="dxa"/>
            <w:tcBorders/>
            <w:vAlign w:val="center"/>
          </w:tcPr>
          <w:p>
            <w:pPr>
              <w:pStyle w:val="TableContents"/>
              <w:bidi w:val="0"/>
              <w:spacing w:lineRule="auto" w:line="285" w:before="0" w:after="100"/>
              <w:ind w:left="0" w:right="0" w:hanging="0"/>
              <w:jc w:val="right"/>
              <w:rPr>
                <w:color w:val="005670"/>
              </w:rPr>
            </w:pPr>
            <w:r>
              <w:rPr>
                <w:color w:val="005670"/>
              </w:rPr>
              <w:t>■  ​</w:t>
            </w:r>
          </w:p>
        </w:tc>
        <w:tc>
          <w:tcPr>
            <w:tcW w:w="9814"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Our customers’ focus on extended-duration opportunities with longer lead times to contract commencement;</w:t>
            </w:r>
          </w:p>
        </w:tc>
      </w:tr>
      <w:tr>
        <w:trPr/>
        <w:tc>
          <w:tcPr>
            <w:tcW w:w="391" w:type="dxa"/>
            <w:tcBorders/>
            <w:vAlign w:val="center"/>
          </w:tcPr>
          <w:p>
            <w:pPr>
              <w:pStyle w:val="TableContents"/>
              <w:bidi w:val="0"/>
              <w:spacing w:lineRule="auto" w:line="285" w:before="0" w:after="100"/>
              <w:ind w:left="0" w:right="0" w:hanging="0"/>
              <w:jc w:val="right"/>
              <w:rPr>
                <w:color w:val="005670"/>
              </w:rPr>
            </w:pPr>
            <w:r>
              <w:rPr>
                <w:color w:val="005670"/>
              </w:rPr>
              <w:t>■  ​</w:t>
            </w:r>
          </w:p>
        </w:tc>
        <w:tc>
          <w:tcPr>
            <w:tcW w:w="9814"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Uncertainty in the rig contracting environment for rigs available in 2025, including the potential for lower dayrates relative to expiring long-term contracts;</w:t>
            </w:r>
          </w:p>
        </w:tc>
      </w:tr>
      <w:tr>
        <w:trPr/>
        <w:tc>
          <w:tcPr>
            <w:tcW w:w="391" w:type="dxa"/>
            <w:tcBorders/>
            <w:vAlign w:val="center"/>
          </w:tcPr>
          <w:p>
            <w:pPr>
              <w:pStyle w:val="TableContents"/>
              <w:bidi w:val="0"/>
              <w:spacing w:lineRule="auto" w:line="285" w:before="0" w:after="0"/>
              <w:ind w:left="0" w:right="0" w:hanging="0"/>
              <w:jc w:val="right"/>
              <w:rPr>
                <w:color w:val="005670"/>
              </w:rPr>
            </w:pPr>
            <w:r>
              <w:rPr>
                <w:color w:val="005670"/>
              </w:rPr>
              <w:t>■  ​</w:t>
            </w:r>
          </w:p>
        </w:tc>
        <w:tc>
          <w:tcPr>
            <w:tcW w:w="9814"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Continued volatility of commodity prices throughout the year, potentially causing delays for customer contracting activity and/or deferrals of their projects;</w:t>
            </w:r>
          </w:p>
        </w:tc>
      </w:tr>
      <w:tr>
        <w:trPr/>
        <w:tc>
          <w:tcPr>
            <w:tcW w:w="391" w:type="dxa"/>
            <w:tcBorders/>
            <w:vAlign w:val="center"/>
          </w:tcPr>
          <w:p>
            <w:pPr>
              <w:pStyle w:val="TableContents"/>
              <w:bidi w:val="0"/>
              <w:spacing w:lineRule="auto" w:line="285" w:before="0" w:after="0"/>
              <w:ind w:left="0" w:right="0" w:hanging="0"/>
              <w:jc w:val="right"/>
              <w:rPr>
                <w:color w:val="005670"/>
              </w:rPr>
            </w:pPr>
            <w:r>
              <w:rPr>
                <w:color w:val="005670"/>
              </w:rPr>
              <w:t>■  ​</w:t>
            </w:r>
          </w:p>
        </w:tc>
        <w:tc>
          <w:tcPr>
            <w:tcW w:w="9814"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The possible increase in maintenance expenses due to supply chain and inflationary concerns; and</w:t>
            </w:r>
          </w:p>
        </w:tc>
      </w:tr>
      <w:tr>
        <w:trPr/>
        <w:tc>
          <w:tcPr>
            <w:tcW w:w="391" w:type="dxa"/>
            <w:tcBorders/>
            <w:vAlign w:val="center"/>
          </w:tcPr>
          <w:p>
            <w:pPr>
              <w:pStyle w:val="TableContents"/>
              <w:bidi w:val="0"/>
              <w:spacing w:lineRule="auto" w:line="285" w:before="0" w:after="0"/>
              <w:ind w:left="0" w:right="0" w:hanging="0"/>
              <w:jc w:val="right"/>
              <w:rPr>
                <w:color w:val="005670"/>
              </w:rPr>
            </w:pPr>
            <w:r>
              <w:rPr>
                <w:color w:val="005670"/>
              </w:rPr>
              <w:t>■  ​</w:t>
            </w:r>
          </w:p>
        </w:tc>
        <w:tc>
          <w:tcPr>
            <w:tcW w:w="9814"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The uncertain duration of contract preparation time and associated contract commencement date, as well as the uncertain duration of well-based contracts.</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In further consideration of these challenges and uncertainties, the Committee elected to maintain the threshold-to-maximum range at +/- 20%.</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Accordingly, the threshold and maximum performance outcomes were as follows:</w:t>
      </w:r>
    </w:p>
    <w:p>
      <w:pPr>
        <w:pStyle w:val="TextBody"/>
        <w:bidi w:val="0"/>
        <w:spacing w:lineRule="auto" w:line="285" w:before="0" w:after="0"/>
        <w:ind w:left="0" w:right="0" w:hanging="0"/>
        <w:jc w:val="both"/>
        <w:rPr/>
      </w:pPr>
      <w:r>
        <w:rPr/>
        <w:t>​</w:t>
      </w:r>
    </w:p>
    <w:tbl>
      <w:tblPr>
        <w:tblW w:w="5628" w:type="dxa"/>
        <w:jc w:val="left"/>
        <w:tblInd w:w="0" w:type="dxa"/>
        <w:tblLayout w:type="fixed"/>
        <w:tblCellMar>
          <w:top w:w="0" w:type="dxa"/>
          <w:left w:w="0" w:type="dxa"/>
          <w:bottom w:w="0" w:type="dxa"/>
          <w:right w:w="0" w:type="dxa"/>
        </w:tblCellMar>
      </w:tblPr>
      <w:tblGrid>
        <w:gridCol w:w="3856"/>
        <w:gridCol w:w="286"/>
        <w:gridCol w:w="1486"/>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448560" cy="175260"/>
                      <wp:effectExtent l="0" t="0" r="0" b="0"/>
                      <wp:wrapNone/>
                      <wp:docPr id="230" name="Frame106"/>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81610" cy="175260"/>
                      <wp:effectExtent l="0" t="0" r="0" b="0"/>
                      <wp:wrapNone/>
                      <wp:docPr id="231" name="Frame10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943610" cy="175260"/>
                      <wp:effectExtent l="0" t="0" r="0" b="0"/>
                      <wp:wrapNone/>
                      <wp:docPr id="232" name="Frame108"/>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385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86" w:type="dxa"/>
            <w:tcBorders/>
            <w:vAlign w:val="center"/>
          </w:tcPr>
          <w:p>
            <w:pPr>
              <w:pStyle w:val="TableContents"/>
              <w:bidi w:val="0"/>
              <w:spacing w:lineRule="auto" w:line="285" w:before="0" w:after="0"/>
              <w:ind w:left="0" w:right="0" w:hanging="0"/>
              <w:jc w:val="center"/>
              <w:rPr/>
            </w:pPr>
            <w:r>
              <w:rPr/>
              <w:t>  ​ ​</w:t>
            </w:r>
          </w:p>
        </w:tc>
        <w:tc>
          <w:tcPr>
            <w:tcW w:w="148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BONUS PAYOUT</w:t>
            </w:r>
          </w:p>
        </w:tc>
      </w:tr>
      <w:tr>
        <w:trPr/>
        <w:tc>
          <w:tcPr>
            <w:tcW w:w="385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6"/>
              </w:rPr>
            </w:pPr>
            <w:r>
              <w:rPr>
                <w:rFonts w:ascii="Arial;Helvetica;sans-serif" w:hAnsi="Arial;Helvetica;sans-serif"/>
                <w:b/>
                <w:color w:val="4B4F54"/>
                <w:sz w:val="16"/>
              </w:rPr>
              <w:t>EBITDA TARGET AND PERFORMANCE RANGE</w:t>
            </w:r>
          </w:p>
        </w:tc>
        <w:tc>
          <w:tcPr>
            <w:tcW w:w="286" w:type="dxa"/>
            <w:tcBorders/>
            <w:vAlign w:val="center"/>
          </w:tcPr>
          <w:p>
            <w:pPr>
              <w:pStyle w:val="TableContents"/>
              <w:bidi w:val="0"/>
              <w:spacing w:lineRule="auto" w:line="285" w:before="0" w:after="0"/>
              <w:ind w:left="0" w:right="0" w:hanging="0"/>
              <w:jc w:val="center"/>
              <w:rPr/>
            </w:pPr>
            <w:r>
              <w:rPr/>
              <w:t>​</w:t>
            </w:r>
          </w:p>
        </w:tc>
        <w:tc>
          <w:tcPr>
            <w:tcW w:w="148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w:t>
            </w:r>
          </w:p>
        </w:tc>
      </w:tr>
      <w:tr>
        <w:trPr/>
        <w:tc>
          <w:tcPr>
            <w:tcW w:w="385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Threshold = $1.034 billion</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8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0%</w:t>
            </w:r>
          </w:p>
        </w:tc>
      </w:tr>
      <w:tr>
        <w:trPr/>
        <w:tc>
          <w:tcPr>
            <w:tcW w:w="385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Target = $1.292 billion</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8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100%</w:t>
            </w:r>
          </w:p>
        </w:tc>
      </w:tr>
      <w:tr>
        <w:trPr/>
        <w:tc>
          <w:tcPr>
            <w:tcW w:w="385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Maximum = $1.550 billion</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86" w:type="dxa"/>
            <w:tcBorders>
              <w:bottom w:val="single" w:sz="2" w:space="0" w:color="D9D9D9"/>
            </w:tcBorders>
            <w:tcMar>
              <w:bottom w:w="28" w:type="dxa"/>
            </w:tcMar>
            <w:vAlign w:val="center"/>
          </w:tcPr>
          <w:p>
            <w:pPr>
              <w:pStyle w:val="TableContents"/>
              <w:bidi w:val="0"/>
              <w:spacing w:lineRule="auto" w:line="285" w:before="0" w:after="0"/>
              <w:ind w:left="0" w:right="60" w:hanging="0"/>
              <w:jc w:val="right"/>
              <w:rPr>
                <w:rFonts w:ascii="Arial;Helvetica;sans-serif" w:hAnsi="Arial;Helvetica;sans-serif"/>
                <w:sz w:val="20"/>
              </w:rPr>
            </w:pPr>
            <w:r>
              <w:rPr>
                <w:rFonts w:ascii="Arial;Helvetica;sans-serif" w:hAnsi="Arial;Helvetica;sans-serif"/>
                <w:sz w:val="20"/>
              </w:rPr>
              <w:t>200%</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sz w:val="24"/>
        </w:rPr>
      </w:pPr>
      <w:r>
        <w:rPr>
          <w:rFonts w:ascii="Arial;Helvetica;sans-serif" w:hAnsi="Arial;Helvetica;sans-serif"/>
          <w:b/>
          <w:sz w:val="24"/>
        </w:rPr>
        <w:t>Measuring EBITDA Results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 xml:space="preserve">The Committee certified EBITDA performance achievement at 138% of target, resulting in a weighted payout of 90% of the total target bonus opportunity for each Named Executive Officer. Achievement is based upon an outcome of $1.39 billion which is calculated utilizing Adjusted EBITDA, which is a non-GAAP measure, and with a further adjustment to reflect the effect of lower expected return due to realigned investment strategies. </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Attached as Appendix A in this proxy statement, is a reconciliation of Adjusted EBITDA to net income, the most directly comparable financial measure prepared and calculated in accordance with GAAP.</w:t>
      </w:r>
    </w:p>
    <w:p>
      <w:pPr>
        <w:pStyle w:val="TextBody"/>
        <w:bidi w:val="0"/>
        <w:spacing w:lineRule="auto" w:line="285" w:before="0" w:after="200"/>
        <w:ind w:left="0" w:right="0" w:hanging="0"/>
        <w:jc w:val="both"/>
        <w:rPr>
          <w:rFonts w:ascii="Arial;Helvetica;sans-serif" w:hAnsi="Arial;Helvetica;sans-serif"/>
          <w:b/>
          <w:sz w:val="26"/>
        </w:rPr>
      </w:pPr>
      <w:r>
        <w:rPr>
          <w:rFonts w:ascii="Arial;Helvetica;sans-serif" w:hAnsi="Arial;Helvetica;sans-serif"/>
          <w:b/>
          <w:sz w:val="26"/>
        </w:rPr>
        <w:t>II.  OPERATIONAL PERFORMANCE</w:t>
      </w:r>
    </w:p>
    <w:p>
      <w:pPr>
        <w:pStyle w:val="TextBody"/>
        <w:bidi w:val="0"/>
        <w:spacing w:lineRule="auto" w:line="285" w:before="0" w:after="200"/>
        <w:ind w:left="0" w:right="0" w:hanging="0"/>
        <w:jc w:val="both"/>
        <w:rPr>
          <w:rFonts w:ascii="Arial;Helvetica;sans-serif" w:hAnsi="Arial;Helvetica;sans-serif"/>
          <w:b/>
          <w:sz w:val="24"/>
        </w:rPr>
      </w:pPr>
      <w:r>
        <w:rPr>
          <w:rFonts w:ascii="Arial;Helvetica;sans-serif" w:hAnsi="Arial;Helvetica;sans-serif"/>
          <w:b/>
          <w:sz w:val="24"/>
        </w:rPr>
        <w:t>Developing Our Uptime Target</w:t>
      </w:r>
    </w:p>
    <w:p>
      <w:pPr>
        <w:pStyle w:val="TextBody"/>
        <w:bidi w:val="0"/>
        <w:spacing w:lineRule="auto" w:line="285" w:before="0" w:after="200"/>
        <w:ind w:left="0" w:right="0" w:hanging="0"/>
        <w:jc w:val="both"/>
        <w:rPr>
          <w:rFonts w:ascii="Arial;Helvetica;sans-serif" w:hAnsi="Arial;Helvetica;sans-serif"/>
          <w:b/>
          <w:color w:val="005670"/>
          <w:sz w:val="20"/>
        </w:rPr>
      </w:pPr>
      <w:r>
        <w:rPr>
          <w:rFonts w:ascii="Arial;Helvetica;sans-serif" w:hAnsi="Arial;Helvetica;sans-serif"/>
          <w:b/>
          <w:color w:val="005670"/>
          <w:sz w:val="20"/>
        </w:rPr>
        <w:t>WE HAVE IDENTIFIED UPTIME AS THE OPERATIONAL PERFORMANCE MEASURE THAT BEST ALIGNS WITH THE INTERESTS OF OUR CUSTOMERS AND, ULTIMATELY, OUR SHAREHOLDERS.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Uptime represented 20% of the 2025 total target annual bonus opportunity, reinforcing the importance of maintaining excellence in our rig operations. We determined that uptime is the best measure of operational efficiency, which is an imperative for our customers and directly impacts their operational plan. Further, uptime has a direct correlation to the Company’s revenue.</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P-85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4486"/>
        <w:gridCol w:w="154"/>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448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COMPENSATION DISCUSSION AND ANALYSIS</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Although uptime is a common operational metric in our industry, it has no standard industry definition or reporting structure. As a result, the Company has developed its own definition, in consultation with the Committee, and that definition recognizes the key impediments to uptime: mechanical failures and human performance errors.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Uptime is measured as total operating hours, minus downtime hours, expressed as a percentage of the total operating hours. Operating hours are defined as the number of hours a rig is operating under a contract. Downtime is generally defined as the number of hours the rig is not engaged in drilling activities, resulting from mechanical failure or human performance error.</w:t>
      </w:r>
    </w:p>
    <w:tbl>
      <w:tblPr>
        <w:tblW w:w="4636" w:type="dxa"/>
        <w:jc w:val="left"/>
        <w:tblInd w:w="0" w:type="dxa"/>
        <w:tblLayout w:type="fixed"/>
        <w:tblCellMar>
          <w:top w:w="0" w:type="dxa"/>
          <w:left w:w="0" w:type="dxa"/>
          <w:bottom w:w="0" w:type="dxa"/>
          <w:right w:w="0" w:type="dxa"/>
        </w:tblCellMar>
      </w:tblPr>
      <w:tblGrid>
        <w:gridCol w:w="916"/>
        <w:gridCol w:w="1540"/>
        <w:gridCol w:w="2180"/>
      </w:tblGrid>
      <w:tr>
        <w:trPr/>
        <w:tc>
          <w:tcPr>
            <w:tcW w:w="916" w:type="dxa"/>
            <w:tcBorders/>
            <w:vAlign w:val="center"/>
          </w:tcPr>
          <w:p>
            <w:pPr>
              <w:pStyle w:val="TableContents"/>
              <w:bidi w:val="0"/>
              <w:spacing w:lineRule="auto" w:line="285" w:before="0" w:after="0"/>
              <w:ind w:left="0" w:right="0" w:hanging="0"/>
              <w:jc w:val="both"/>
              <w:rPr/>
            </w:pPr>
            <w:r>
              <w:rPr/>
              <w:t>​</w:t>
            </w:r>
          </w:p>
        </w:tc>
        <w:tc>
          <w:tcPr>
            <w:tcW w:w="1540" w:type="dxa"/>
            <w:tcBorders/>
            <w:vAlign w:val="center"/>
          </w:tcPr>
          <w:p>
            <w:pPr>
              <w:pStyle w:val="TableContents"/>
              <w:bidi w:val="0"/>
              <w:spacing w:lineRule="auto" w:line="285" w:before="0" w:after="0"/>
              <w:ind w:left="0" w:right="0" w:hanging="0"/>
              <w:jc w:val="both"/>
              <w:rPr/>
            </w:pPr>
            <w:r>
              <w:rPr/>
              <w:t>​</w:t>
            </w:r>
          </w:p>
        </w:tc>
        <w:tc>
          <w:tcPr>
            <w:tcW w:w="2180" w:type="dxa"/>
            <w:tcBorders/>
            <w:vAlign w:val="center"/>
          </w:tcPr>
          <w:p>
            <w:pPr>
              <w:pStyle w:val="TableContents"/>
              <w:bidi w:val="0"/>
              <w:spacing w:lineRule="auto" w:line="285" w:before="0" w:after="0"/>
              <w:ind w:left="0" w:right="0" w:hanging="0"/>
              <w:jc w:val="both"/>
              <w:rPr/>
            </w:pPr>
            <w:r>
              <w:rPr/>
              <w:t>​</w:t>
            </w:r>
          </w:p>
        </w:tc>
      </w:tr>
      <w:tr>
        <w:trPr/>
        <w:tc>
          <w:tcPr>
            <w:tcW w:w="916" w:type="dxa"/>
            <w:tcBorders/>
            <w:vAlign w:val="center"/>
          </w:tcPr>
          <w:p>
            <w:pPr>
              <w:pStyle w:val="TableContents"/>
              <w:bidi w:val="0"/>
              <w:spacing w:lineRule="auto" w:line="285" w:before="0" w:after="0"/>
              <w:ind w:left="0" w:right="0" w:hanging="0"/>
              <w:jc w:val="both"/>
              <w:rPr/>
            </w:pPr>
            <w:r>
              <w:rPr/>
              <w:t>​</w:t>
            </w:r>
          </w:p>
        </w:tc>
        <w:tc>
          <w:tcPr>
            <w:tcW w:w="3720" w:type="dxa"/>
            <w:gridSpan w:val="2"/>
            <w:tcBorders/>
            <w:vAlign w:val="center"/>
          </w:tcPr>
          <w:p>
            <w:pPr>
              <w:pStyle w:val="TableContents"/>
              <w:bidi w:val="0"/>
              <w:spacing w:lineRule="auto" w:line="285" w:before="0" w:after="0"/>
              <w:ind w:left="0" w:right="0" w:hanging="0"/>
              <w:jc w:val="both"/>
              <w:rPr>
                <w:rFonts w:ascii="Arial;Helvetica;sans-serif" w:hAnsi="Arial;Helvetica;sans-serif"/>
                <w:i/>
                <w:sz w:val="20"/>
              </w:rPr>
            </w:pPr>
            <w:r>
              <w:rPr>
                <w:rFonts w:ascii="Arial;Helvetica;sans-serif" w:hAnsi="Arial;Helvetica;sans-serif"/>
                <w:i/>
                <w:sz w:val="20"/>
              </w:rPr>
              <w:t>Total Operating Hours – Downtime Hours</w:t>
            </w:r>
          </w:p>
        </w:tc>
      </w:tr>
      <w:tr>
        <w:trPr/>
        <w:tc>
          <w:tcPr>
            <w:tcW w:w="916" w:type="dxa"/>
            <w:tcBorders/>
            <w:vAlign w:val="center"/>
          </w:tcPr>
          <w:p>
            <w:pPr>
              <w:pStyle w:val="TableContents"/>
              <w:bidi w:val="0"/>
              <w:spacing w:lineRule="auto" w:line="285" w:before="0" w:after="200"/>
              <w:ind w:left="0" w:right="0" w:hanging="0"/>
              <w:jc w:val="right"/>
              <w:rPr>
                <w:rFonts w:ascii="Arial;Helvetica;sans-serif" w:hAnsi="Arial;Helvetica;sans-serif"/>
                <w:i/>
                <w:sz w:val="20"/>
              </w:rPr>
            </w:pPr>
            <w:r>
              <w:rPr>
                <w:rFonts w:ascii="Arial;Helvetica;sans-serif" w:hAnsi="Arial;Helvetica;sans-serif"/>
                <w:i/>
                <w:sz w:val="20"/>
              </w:rPr>
              <w:t>Uptime =</w:t>
            </w:r>
          </w:p>
        </w:tc>
        <w:tc>
          <w:tcPr>
            <w:tcW w:w="3720"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__________________________________</w:t>
            </w:r>
          </w:p>
        </w:tc>
      </w:tr>
      <w:tr>
        <w:trPr/>
        <w:tc>
          <w:tcPr>
            <w:tcW w:w="916" w:type="dxa"/>
            <w:tcBorders/>
            <w:vAlign w:val="center"/>
          </w:tcPr>
          <w:p>
            <w:pPr>
              <w:pStyle w:val="TableContents"/>
              <w:bidi w:val="0"/>
              <w:spacing w:lineRule="auto" w:line="285" w:before="0" w:after="0"/>
              <w:ind w:left="0" w:right="0" w:hanging="0"/>
              <w:jc w:val="both"/>
              <w:rPr/>
            </w:pPr>
            <w:r>
              <w:rPr/>
              <w:t>​</w:t>
            </w:r>
          </w:p>
        </w:tc>
        <w:tc>
          <w:tcPr>
            <w:tcW w:w="3720" w:type="dxa"/>
            <w:gridSpan w:val="2"/>
            <w:tcBorders/>
            <w:vAlign w:val="center"/>
          </w:tcPr>
          <w:p>
            <w:pPr>
              <w:pStyle w:val="TableContents"/>
              <w:bidi w:val="0"/>
              <w:spacing w:lineRule="auto" w:line="285" w:before="0" w:after="200"/>
              <w:ind w:left="0" w:right="0" w:hanging="0"/>
              <w:jc w:val="both"/>
              <w:rPr>
                <w:rFonts w:ascii="Arial;Helvetica;sans-serif" w:hAnsi="Arial;Helvetica;sans-serif"/>
                <w:i/>
                <w:sz w:val="20"/>
              </w:rPr>
            </w:pPr>
            <w:r>
              <w:rPr>
                <w:rFonts w:ascii="Arial;Helvetica;sans-serif" w:hAnsi="Arial;Helvetica;sans-serif"/>
                <w:i/>
                <w:sz w:val="20"/>
              </w:rPr>
              <w:t>Total Operating Hours</w:t>
            </w:r>
          </w:p>
        </w:tc>
      </w:tr>
    </w:tbl>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Using this formula, zero mechanical failures and human performance errors that do not result in a cessation of rig operations (i.e., downtime), would result in a rig operating at 100% Uptime. Downtime events detract from optimal performance and have a direct negative impact on the customer’s operational plan, as well as the Company’s financial goals.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 setting the threshold-target-maximum range for this measure, the mathematical differential of 2% from threshold to maximum is significant considering the total number of operating hours during a calendar year (e.g., 198,297 hours of operation in 2025).</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Committee approved the following uptime target for 2025:</w:t>
      </w:r>
    </w:p>
    <w:tbl>
      <w:tblPr>
        <w:tblW w:w="5628" w:type="dxa"/>
        <w:jc w:val="left"/>
        <w:tblInd w:w="0" w:type="dxa"/>
        <w:tblLayout w:type="fixed"/>
        <w:tblCellMar>
          <w:top w:w="0" w:type="dxa"/>
          <w:left w:w="0" w:type="dxa"/>
          <w:bottom w:w="0" w:type="dxa"/>
          <w:right w:w="0" w:type="dxa"/>
        </w:tblCellMar>
      </w:tblPr>
      <w:tblGrid>
        <w:gridCol w:w="3856"/>
        <w:gridCol w:w="286"/>
        <w:gridCol w:w="1486"/>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448560" cy="175260"/>
                      <wp:effectExtent l="0" t="0" r="0" b="0"/>
                      <wp:wrapNone/>
                      <wp:docPr id="233" name="Frame109"/>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81610" cy="175260"/>
                      <wp:effectExtent l="0" t="0" r="0" b="0"/>
                      <wp:wrapNone/>
                      <wp:docPr id="234" name="Frame11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943610" cy="175260"/>
                      <wp:effectExtent l="0" t="0" r="0" b="0"/>
                      <wp:wrapNone/>
                      <wp:docPr id="235" name="Frame111"/>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385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86" w:type="dxa"/>
            <w:tcBorders/>
            <w:vAlign w:val="center"/>
          </w:tcPr>
          <w:p>
            <w:pPr>
              <w:pStyle w:val="TableContents"/>
              <w:bidi w:val="0"/>
              <w:spacing w:lineRule="auto" w:line="285" w:before="0" w:after="0"/>
              <w:ind w:left="0" w:right="0" w:hanging="0"/>
              <w:jc w:val="center"/>
              <w:rPr/>
            </w:pPr>
            <w:r>
              <w:rPr/>
              <w:t>  ​ ​</w:t>
            </w:r>
          </w:p>
        </w:tc>
        <w:tc>
          <w:tcPr>
            <w:tcW w:w="148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BONUS PAYOUT</w:t>
            </w:r>
          </w:p>
        </w:tc>
      </w:tr>
      <w:tr>
        <w:trPr/>
        <w:tc>
          <w:tcPr>
            <w:tcW w:w="385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6"/>
              </w:rPr>
            </w:pPr>
            <w:r>
              <w:rPr>
                <w:rFonts w:ascii="Arial;Helvetica;sans-serif" w:hAnsi="Arial;Helvetica;sans-serif"/>
                <w:b/>
                <w:color w:val="4B4F54"/>
                <w:sz w:val="16"/>
              </w:rPr>
              <w:t>UPTIME TARGET AND PERFORMANCE RANGE</w:t>
            </w:r>
          </w:p>
        </w:tc>
        <w:tc>
          <w:tcPr>
            <w:tcW w:w="286" w:type="dxa"/>
            <w:tcBorders/>
            <w:vAlign w:val="center"/>
          </w:tcPr>
          <w:p>
            <w:pPr>
              <w:pStyle w:val="TableContents"/>
              <w:bidi w:val="0"/>
              <w:spacing w:lineRule="auto" w:line="285" w:before="0" w:after="0"/>
              <w:ind w:left="0" w:right="0" w:hanging="0"/>
              <w:jc w:val="center"/>
              <w:rPr/>
            </w:pPr>
            <w:r>
              <w:rPr/>
              <w:t>​</w:t>
            </w:r>
          </w:p>
        </w:tc>
        <w:tc>
          <w:tcPr>
            <w:tcW w:w="148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w:t>
            </w:r>
          </w:p>
        </w:tc>
      </w:tr>
      <w:tr>
        <w:trPr/>
        <w:tc>
          <w:tcPr>
            <w:tcW w:w="385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Threshold = 96.0%</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8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0%</w:t>
            </w:r>
          </w:p>
        </w:tc>
      </w:tr>
      <w:tr>
        <w:trPr/>
        <w:tc>
          <w:tcPr>
            <w:tcW w:w="385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Target = 97.0%</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8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100%</w:t>
            </w:r>
          </w:p>
        </w:tc>
      </w:tr>
      <w:tr>
        <w:trPr/>
        <w:tc>
          <w:tcPr>
            <w:tcW w:w="385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Maximum = 98.0%</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86" w:type="dxa"/>
            <w:tcBorders>
              <w:bottom w:val="single" w:sz="2" w:space="0" w:color="D9D9D9"/>
            </w:tcBorders>
            <w:tcMar>
              <w:bottom w:w="28" w:type="dxa"/>
            </w:tcMar>
            <w:vAlign w:val="center"/>
          </w:tcPr>
          <w:p>
            <w:pPr>
              <w:pStyle w:val="TableContents"/>
              <w:bidi w:val="0"/>
              <w:spacing w:lineRule="auto" w:line="285" w:before="0" w:after="0"/>
              <w:ind w:left="0" w:right="60" w:hanging="0"/>
              <w:jc w:val="right"/>
              <w:rPr>
                <w:rFonts w:ascii="Arial;Helvetica;sans-serif" w:hAnsi="Arial;Helvetica;sans-serif"/>
                <w:sz w:val="20"/>
              </w:rPr>
            </w:pPr>
            <w:r>
              <w:rPr>
                <w:rFonts w:ascii="Arial;Helvetica;sans-serif" w:hAnsi="Arial;Helvetica;sans-serif"/>
                <w:sz w:val="20"/>
              </w:rPr>
              <w:t>200%</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 setting the uptime target, the Committee considered the Company’s emerging 2025 outlook and the forecasted challenges related to rig mobilizations to new locations and multiple rigs undergoing routine maintenance. Given these challenges to our operational performance and considering in the prior year the Committee had both increased the Uptime target and reduced the spread between threshold and maximum achievement, the Committee concluded that attaining the prior year performance target of 97% would, for 2025, be challenging but achievable, with optimal planning, training and execution.</w:t>
      </w:r>
    </w:p>
    <w:p>
      <w:pPr>
        <w:pStyle w:val="TextBody"/>
        <w:bidi w:val="0"/>
        <w:spacing w:lineRule="auto" w:line="285" w:before="0" w:after="200"/>
        <w:ind w:left="0" w:right="0" w:hanging="0"/>
        <w:jc w:val="both"/>
        <w:rPr>
          <w:rFonts w:ascii="Arial;Helvetica;sans-serif" w:hAnsi="Arial;Helvetica;sans-serif"/>
          <w:b/>
          <w:sz w:val="24"/>
        </w:rPr>
      </w:pPr>
      <w:r>
        <w:rPr>
          <w:rFonts w:ascii="Arial;Helvetica;sans-serif" w:hAnsi="Arial;Helvetica;sans-serif"/>
          <w:b/>
          <w:sz w:val="24"/>
        </w:rPr>
        <w:t>Measuring Uptime Results</w:t>
      </w:r>
    </w:p>
    <w:p>
      <w:pPr>
        <w:pStyle w:val="TextBody"/>
        <w:bidi w:val="0"/>
        <w:spacing w:lineRule="auto" w:line="285" w:before="0" w:after="200"/>
        <w:ind w:left="0" w:right="0" w:hanging="0"/>
        <w:jc w:val="both"/>
        <w:rPr>
          <w:rFonts w:ascii="Arial;Helvetica;sans-serif" w:hAnsi="Arial;Helvetica;sans-serif"/>
          <w:b/>
          <w:color w:val="005670"/>
          <w:sz w:val="20"/>
        </w:rPr>
      </w:pPr>
      <w:r>
        <w:rPr>
          <w:rFonts w:ascii="Arial;Helvetica;sans-serif" w:hAnsi="Arial;Helvetica;sans-serif"/>
          <w:b/>
          <w:color w:val="005670"/>
          <w:sz w:val="20"/>
        </w:rPr>
        <w:t>THE COMPANY ACHIEVED COMPANY RECORD-BREAKING UPTIME PERFORMANCE OF 97.7% IN 2025.</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Despite the forecasted challenges for 2025, we achieved a Company record uptime performance, resulting in greater operational delivery for our customers and higher earnings. Notably, the Company delivered these results in a year that included several rig mobilizations to new geographic locations requiring recruitment and onboarding of new local crew members as well as crew member relocation.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As illustrated, the formulaic performance of uptime achieved a payout level of 170% of target and an associated weighted payout of 34% of the total target bonus opportunity for each of the Named Executive Officers.</w:t>
      </w:r>
    </w:p>
    <w:p>
      <w:pPr>
        <w:pStyle w:val="TextBody"/>
        <w:bidi w:val="0"/>
        <w:spacing w:lineRule="auto" w:line="285" w:before="0" w:after="0"/>
        <w:ind w:left="0" w:right="0" w:hanging="0"/>
        <w:jc w:val="left"/>
        <w:rPr/>
      </w:pPr>
      <w:r>
        <w:rPr/>
        <w:t>​</w:t>
      </w:r>
    </w:p>
    <w:p>
      <w:pPr>
        <w:pStyle w:val="TextBody"/>
        <w:bidi w:val="0"/>
        <w:spacing w:lineRule="auto" w:line="285" w:before="0" w:after="200"/>
        <w:ind w:left="0" w:right="0" w:hanging="0"/>
        <w:jc w:val="left"/>
        <w:rPr>
          <w:rFonts w:ascii="Arial;Helvetica;sans-serif" w:hAnsi="Arial;Helvetica;sans-serif"/>
          <w:b/>
          <w:sz w:val="26"/>
        </w:rPr>
      </w:pPr>
      <w:r>
        <w:rPr>
          <w:rFonts w:ascii="Arial;Helvetica;sans-serif" w:hAnsi="Arial;Helvetica;sans-serif"/>
          <w:b/>
          <w:sz w:val="26"/>
        </w:rPr>
        <w:t>III.  ENVIRONMENTAL &amp; SAFETY PERFORMANCE</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P-86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124"/>
        <w:gridCol w:w="4516"/>
      </w:tblGrid>
      <w:tr>
        <w:trPr/>
        <w:tc>
          <w:tcPr>
            <w:tcW w:w="124" w:type="dxa"/>
            <w:tcBorders/>
            <w:vAlign w:val="center"/>
          </w:tcPr>
          <w:p>
            <w:pPr>
              <w:pStyle w:val="TableContents"/>
              <w:bidi w:val="0"/>
              <w:spacing w:lineRule="auto" w:line="285" w:before="0" w:after="0"/>
              <w:ind w:left="0" w:right="0" w:hanging="0"/>
              <w:jc w:val="both"/>
              <w:rPr/>
            </w:pPr>
            <w:r>
              <w:rPr/>
              <w:t>​</w:t>
            </w:r>
          </w:p>
        </w:tc>
        <w:tc>
          <w:tcPr>
            <w:tcW w:w="45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451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COMPENSATION DISCUSSION AND ANALYSIS</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left"/>
        <w:rPr>
          <w:rFonts w:ascii="Arial;Helvetica;sans-serif" w:hAnsi="Arial;Helvetica;sans-serif"/>
          <w:b/>
          <w:sz w:val="24"/>
        </w:rPr>
      </w:pPr>
      <w:r>
        <w:rPr>
          <w:rFonts w:ascii="Arial;Helvetica;sans-serif" w:hAnsi="Arial;Helvetica;sans-serif"/>
          <w:b/>
          <w:sz w:val="24"/>
        </w:rPr>
        <w:t>Developing Our Environmental &amp; Safety Targets</w:t>
      </w:r>
    </w:p>
    <w:p>
      <w:pPr>
        <w:pStyle w:val="TextBody"/>
        <w:bidi w:val="0"/>
        <w:spacing w:lineRule="auto" w:line="285" w:before="0" w:after="200"/>
        <w:ind w:left="0" w:right="0" w:hanging="0"/>
        <w:jc w:val="left"/>
        <w:rPr>
          <w:rFonts w:ascii="Arial;Helvetica;sans-serif" w:hAnsi="Arial;Helvetica;sans-serif"/>
          <w:b/>
          <w:color w:val="005670"/>
          <w:sz w:val="20"/>
        </w:rPr>
      </w:pPr>
      <w:r>
        <w:rPr>
          <w:rFonts w:ascii="Arial;Helvetica;sans-serif" w:hAnsi="Arial;Helvetica;sans-serif"/>
          <w:b/>
          <w:color w:val="005670"/>
          <w:sz w:val="20"/>
        </w:rPr>
        <w:t>WE BELIEVE THE SAFETY OF OUR WORKFORCE AND THE ENVIRONMENT IN WHICH WE OPERATE IS CRITICAL TO OUR BUSINESS AND OUR INDUSTRY, SO WE INCLUDED CORPORATE ENVIRONMENTAL &amp; SAFETY OBJECTIVES IN THE 2025 CASH BONUS PLAN TO DRIVE PERFORMANCE ALIGNED WITH OUR LONG-TERM BUSINESS STRATEGY.</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Company is committed to operating our business responsibly, mitigating risks and creating value. This means, among other imperatives, minimizing our impact to the environment, stewarding resources conscientiously, treating our workforce with respect, and innovating purposefully.</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To further emphasize this commitment, the Committee included an Environmental and Safety component to the 2025 Bonus Plan design comprising the following two measures, selected by the Governance, Safety &amp; Environment Committee, in support of our continuous and deliberate focus on protecting our personnel, our assets and the environment from the numerous potential operating hazards endemic to our business: </w:t>
      </w:r>
    </w:p>
    <w:tbl>
      <w:tblPr>
        <w:tblW w:w="5387" w:type="dxa"/>
        <w:jc w:val="left"/>
        <w:tblInd w:w="0" w:type="dxa"/>
        <w:tblLayout w:type="fixed"/>
        <w:tblCellMar>
          <w:top w:w="0" w:type="dxa"/>
          <w:left w:w="0" w:type="dxa"/>
          <w:bottom w:w="0" w:type="dxa"/>
          <w:right w:w="0" w:type="dxa"/>
        </w:tblCellMar>
      </w:tblPr>
      <w:tblGrid>
        <w:gridCol w:w="271"/>
        <w:gridCol w:w="5116"/>
      </w:tblGrid>
      <w:tr>
        <w:trPr/>
        <w:tc>
          <w:tcPr>
            <w:tcW w:w="271" w:type="dxa"/>
            <w:tcBorders/>
            <w:vAlign w:val="center"/>
          </w:tcPr>
          <w:p>
            <w:pPr>
              <w:pStyle w:val="TableContents"/>
              <w:bidi w:val="0"/>
              <w:spacing w:before="0" w:after="283"/>
              <w:ind w:left="0" w:right="0" w:hanging="0"/>
              <w:jc w:val="left"/>
              <w:rPr>
                <w:sz w:val="4"/>
                <w:szCs w:val="4"/>
              </w:rPr>
            </w:pPr>
            <w:r>
              <w:rPr>
                <w:sz w:val="4"/>
                <w:szCs w:val="4"/>
              </w:rPr>
            </w:r>
          </w:p>
        </w:tc>
        <w:tc>
          <w:tcPr>
            <w:tcW w:w="5116" w:type="dxa"/>
            <w:tcBorders/>
            <w:vAlign w:val="center"/>
          </w:tcPr>
          <w:p>
            <w:pPr>
              <w:pStyle w:val="TableContents"/>
              <w:bidi w:val="0"/>
              <w:spacing w:before="0" w:after="283"/>
              <w:ind w:left="0" w:right="0" w:hanging="0"/>
              <w:jc w:val="left"/>
              <w:rPr>
                <w:sz w:val="4"/>
                <w:szCs w:val="4"/>
              </w:rPr>
            </w:pPr>
            <w:r>
              <w:rPr>
                <w:sz w:val="4"/>
                <w:szCs w:val="4"/>
              </w:rPr>
            </w:r>
          </w:p>
        </w:tc>
      </w:tr>
      <w:tr>
        <w:trPr/>
        <w:tc>
          <w:tcPr>
            <w:tcW w:w="271" w:type="dxa"/>
            <w:tcBorders/>
            <w:vAlign w:val="center"/>
          </w:tcPr>
          <w:p>
            <w:pPr>
              <w:pStyle w:val="TableContents"/>
              <w:bidi w:val="0"/>
              <w:spacing w:lineRule="auto" w:line="319" w:before="0" w:after="0"/>
              <w:ind w:left="0" w:right="0" w:hanging="0"/>
              <w:jc w:val="left"/>
              <w:rPr>
                <w:color w:val="005670"/>
              </w:rPr>
            </w:pPr>
            <w:r>
              <w:rPr>
                <w:color w:val="005670"/>
              </w:rPr>
              <w:t>■</w:t>
            </w:r>
          </w:p>
        </w:tc>
        <w:tc>
          <w:tcPr>
            <w:tcW w:w="5116" w:type="dxa"/>
            <w:tcBorders/>
            <w:vAlign w:val="center"/>
          </w:tcPr>
          <w:p>
            <w:pPr>
              <w:pStyle w:val="TableContents"/>
              <w:bidi w:val="0"/>
              <w:spacing w:lineRule="auto" w:line="319" w:before="0" w:after="100"/>
              <w:ind w:left="0" w:right="0" w:hanging="0"/>
              <w:jc w:val="left"/>
              <w:rPr>
                <w:rFonts w:ascii="Arial;Helvetica;sans-serif" w:hAnsi="Arial;Helvetica;sans-serif"/>
                <w:sz w:val="20"/>
              </w:rPr>
            </w:pPr>
            <w:r>
              <w:rPr>
                <w:rFonts w:ascii="Arial;Helvetica;sans-serif" w:hAnsi="Arial;Helvetica;sans-serif"/>
                <w:sz w:val="20"/>
              </w:rPr>
              <w:t>Operational Integrity and Occupational Safety (10%); and</w:t>
            </w:r>
          </w:p>
        </w:tc>
      </w:tr>
      <w:tr>
        <w:trPr/>
        <w:tc>
          <w:tcPr>
            <w:tcW w:w="271" w:type="dxa"/>
            <w:tcBorders/>
            <w:vAlign w:val="center"/>
          </w:tcPr>
          <w:p>
            <w:pPr>
              <w:pStyle w:val="TableContents"/>
              <w:bidi w:val="0"/>
              <w:spacing w:lineRule="auto" w:line="319" w:before="0" w:after="0"/>
              <w:ind w:left="0" w:right="0" w:hanging="0"/>
              <w:jc w:val="left"/>
              <w:rPr>
                <w:color w:val="005670"/>
              </w:rPr>
            </w:pPr>
            <w:r>
              <w:rPr>
                <w:color w:val="005670"/>
              </w:rPr>
              <w:t>■</w:t>
            </w:r>
          </w:p>
        </w:tc>
        <w:tc>
          <w:tcPr>
            <w:tcW w:w="5116" w:type="dxa"/>
            <w:tcBorders/>
            <w:vAlign w:val="center"/>
          </w:tcPr>
          <w:p>
            <w:pPr>
              <w:pStyle w:val="TableContents"/>
              <w:bidi w:val="0"/>
              <w:spacing w:lineRule="auto" w:line="319" w:before="0" w:after="0"/>
              <w:ind w:left="0" w:right="0" w:hanging="0"/>
              <w:jc w:val="left"/>
              <w:rPr>
                <w:rFonts w:ascii="Arial;Helvetica;sans-serif" w:hAnsi="Arial;Helvetica;sans-serif"/>
                <w:sz w:val="20"/>
              </w:rPr>
            </w:pPr>
            <w:r>
              <w:rPr>
                <w:rFonts w:ascii="Arial;Helvetica;sans-serif" w:hAnsi="Arial;Helvetica;sans-serif"/>
                <w:sz w:val="20"/>
              </w:rPr>
              <w:t>Dropped Objects Prevention (5%).</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sz w:val="20"/>
        </w:rPr>
      </w:pPr>
      <w:r>
        <w:rPr>
          <w:rFonts w:ascii="Arial;Helvetica;sans-serif" w:hAnsi="Arial;Helvetica;sans-serif"/>
          <w:b/>
          <w:sz w:val="20"/>
        </w:rPr>
        <w:t>Operational Integrity &amp; Occupational Safety Performance</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Operational Integrity &amp; Occupational Safety measure for the 2025 award comprising:</w:t>
      </w:r>
    </w:p>
    <w:tbl>
      <w:tblPr>
        <w:tblW w:w="3782" w:type="dxa"/>
        <w:jc w:val="left"/>
        <w:tblInd w:w="0" w:type="dxa"/>
        <w:tblLayout w:type="fixed"/>
        <w:tblCellMar>
          <w:top w:w="0" w:type="dxa"/>
          <w:left w:w="0" w:type="dxa"/>
          <w:bottom w:w="0" w:type="dxa"/>
          <w:right w:w="0" w:type="dxa"/>
        </w:tblCellMar>
      </w:tblPr>
      <w:tblGrid>
        <w:gridCol w:w="271"/>
        <w:gridCol w:w="3511"/>
      </w:tblGrid>
      <w:tr>
        <w:trPr/>
        <w:tc>
          <w:tcPr>
            <w:tcW w:w="271" w:type="dxa"/>
            <w:tcBorders/>
            <w:vAlign w:val="center"/>
          </w:tcPr>
          <w:p>
            <w:pPr>
              <w:pStyle w:val="TableContents"/>
              <w:bidi w:val="0"/>
              <w:spacing w:before="0" w:after="283"/>
              <w:ind w:left="0" w:right="0" w:hanging="0"/>
              <w:jc w:val="left"/>
              <w:rPr>
                <w:sz w:val="4"/>
                <w:szCs w:val="4"/>
              </w:rPr>
            </w:pPr>
            <w:r>
              <w:rPr>
                <w:sz w:val="4"/>
                <w:szCs w:val="4"/>
              </w:rPr>
            </w:r>
          </w:p>
        </w:tc>
        <w:tc>
          <w:tcPr>
            <w:tcW w:w="3511" w:type="dxa"/>
            <w:tcBorders/>
            <w:vAlign w:val="center"/>
          </w:tcPr>
          <w:p>
            <w:pPr>
              <w:pStyle w:val="TableContents"/>
              <w:bidi w:val="0"/>
              <w:spacing w:before="0" w:after="283"/>
              <w:ind w:left="0" w:right="0" w:hanging="0"/>
              <w:jc w:val="left"/>
              <w:rPr>
                <w:sz w:val="4"/>
                <w:szCs w:val="4"/>
              </w:rPr>
            </w:pPr>
            <w:r>
              <w:rPr>
                <w:sz w:val="4"/>
                <w:szCs w:val="4"/>
              </w:rPr>
            </w:r>
          </w:p>
        </w:tc>
      </w:tr>
      <w:tr>
        <w:trPr/>
        <w:tc>
          <w:tcPr>
            <w:tcW w:w="271" w:type="dxa"/>
            <w:tcBorders/>
            <w:vAlign w:val="center"/>
          </w:tcPr>
          <w:p>
            <w:pPr>
              <w:pStyle w:val="TableContents"/>
              <w:bidi w:val="0"/>
              <w:spacing w:lineRule="auto" w:line="319" w:before="0" w:after="0"/>
              <w:ind w:left="0" w:right="0" w:hanging="0"/>
              <w:jc w:val="left"/>
              <w:rPr>
                <w:color w:val="005670"/>
              </w:rPr>
            </w:pPr>
            <w:r>
              <w:rPr>
                <w:color w:val="005670"/>
              </w:rPr>
              <w:t>■</w:t>
            </w:r>
          </w:p>
        </w:tc>
        <w:tc>
          <w:tcPr>
            <w:tcW w:w="3511" w:type="dxa"/>
            <w:tcBorders/>
            <w:vAlign w:val="center"/>
          </w:tcPr>
          <w:p>
            <w:pPr>
              <w:pStyle w:val="TableContents"/>
              <w:bidi w:val="0"/>
              <w:spacing w:lineRule="auto" w:line="319" w:before="0" w:after="100"/>
              <w:ind w:left="0" w:right="0" w:hanging="0"/>
              <w:jc w:val="left"/>
              <w:rPr>
                <w:rFonts w:ascii="Arial;Helvetica;sans-serif" w:hAnsi="Arial;Helvetica;sans-serif"/>
                <w:sz w:val="20"/>
              </w:rPr>
            </w:pPr>
            <w:r>
              <w:rPr>
                <w:rFonts w:ascii="Arial;Helvetica;sans-serif" w:hAnsi="Arial;Helvetica;sans-serif"/>
                <w:sz w:val="20"/>
              </w:rPr>
              <w:t>Operational Integrity; and</w:t>
            </w:r>
          </w:p>
        </w:tc>
      </w:tr>
      <w:tr>
        <w:trPr/>
        <w:tc>
          <w:tcPr>
            <w:tcW w:w="271" w:type="dxa"/>
            <w:tcBorders/>
            <w:vAlign w:val="center"/>
          </w:tcPr>
          <w:p>
            <w:pPr>
              <w:pStyle w:val="TableContents"/>
              <w:bidi w:val="0"/>
              <w:spacing w:lineRule="auto" w:line="319" w:before="0" w:after="0"/>
              <w:ind w:left="0" w:right="0" w:hanging="0"/>
              <w:jc w:val="left"/>
              <w:rPr>
                <w:color w:val="005670"/>
              </w:rPr>
            </w:pPr>
            <w:r>
              <w:rPr>
                <w:color w:val="005670"/>
              </w:rPr>
              <w:t>■</w:t>
            </w:r>
          </w:p>
        </w:tc>
        <w:tc>
          <w:tcPr>
            <w:tcW w:w="3511" w:type="dxa"/>
            <w:tcBorders/>
            <w:vAlign w:val="center"/>
          </w:tcPr>
          <w:p>
            <w:pPr>
              <w:pStyle w:val="TableContents"/>
              <w:bidi w:val="0"/>
              <w:spacing w:lineRule="auto" w:line="319" w:before="0" w:after="0"/>
              <w:ind w:left="0" w:right="0" w:hanging="0"/>
              <w:jc w:val="left"/>
              <w:rPr>
                <w:rFonts w:ascii="Arial;Helvetica;sans-serif" w:hAnsi="Arial;Helvetica;sans-serif"/>
                <w:sz w:val="20"/>
              </w:rPr>
            </w:pPr>
            <w:r>
              <w:rPr>
                <w:rFonts w:ascii="Arial;Helvetica;sans-serif" w:hAnsi="Arial;Helvetica;sans-serif"/>
                <w:sz w:val="20"/>
              </w:rPr>
              <w:t>Occupational Safety – based on TRIR.</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Committee maintained the Operational Integrity and Occupational Safety components in the 2025 award to emphasize the importance of delivering safe and reliable operations.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Operational Integrity events are low frequency, high severity events that can result in impact to the environment, significant asset damage, or in the worst instance, loss of life. Since 2013, the Company has maintained a five-tier Operational Integrity framework to categorize events based on potential impact to safety or the environment. The most impactful events are categorized as Tier 1 or Tier 2, which can occur when multiple operational barriers fail. Operational Integrity became the primary component of the Environmental &amp; Safety Performance measure in 2023 to reinforce the importance of delivering safe and reliable operations, both for those onboard our assets and for the ecosystems in which we operate.</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Occupational Safety, based on TRIR, is the secondary component of the Occupational Integrity &amp; Occupational Safety Performance measure. TRIR is a safety metric recognized by the Occupational Safety and Health Administration and is used by companies across an array of industries. TRIR is calculated based on the guidelines set by the International Association of Drilling Contractors, by taking the aggregate number of occurrences of work-related injuries or illnesses that result in medical care or treatment beyond minor first aid. The result is the number of such occurrences for every 200,000 hours worked.</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cumulative Operational Integrity &amp; Occupational Safety Performance achievement is calculated using a scorecard, which determines the outcome based on the individual component results.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ind w:left="0" w:right="0" w:hanging="0"/>
              <w:jc w:val="left"/>
              <w:rPr>
                <w:sz w:val="4"/>
                <w:szCs w:val="4"/>
              </w:rPr>
            </w:pPr>
            <w:r>
              <w:rPr>
                <w:sz w:val="4"/>
                <w:szCs w:val="4"/>
              </w:rPr>
            </w:r>
          </w:p>
        </w:tc>
        <w:tc>
          <w:tcPr>
            <w:tcW w:w="9934" w:type="dxa"/>
            <w:tcBorders/>
            <w:vAlign w:val="center"/>
          </w:tcPr>
          <w:p>
            <w:pPr>
              <w:pStyle w:val="TableContents"/>
              <w:bidi w:val="0"/>
              <w:spacing w:before="0" w:after="283"/>
              <w:ind w:left="0" w:right="0" w:hanging="0"/>
              <w:jc w:val="left"/>
              <w:rPr>
                <w:sz w:val="4"/>
                <w:szCs w:val="4"/>
              </w:rPr>
            </w:pPr>
            <w:r>
              <w:rPr>
                <w:sz w:val="4"/>
                <w:szCs w:val="4"/>
              </w:rPr>
            </w:r>
          </w:p>
        </w:tc>
      </w:tr>
      <w:tr>
        <w:trPr/>
        <w:tc>
          <w:tcPr>
            <w:tcW w:w="271" w:type="dxa"/>
            <w:tcBorders/>
            <w:vAlign w:val="center"/>
          </w:tcPr>
          <w:p>
            <w:pPr>
              <w:pStyle w:val="TableContents"/>
              <w:bidi w:val="0"/>
              <w:spacing w:lineRule="auto" w:line="319" w:before="0" w:after="0"/>
              <w:ind w:left="0" w:right="0" w:hanging="0"/>
              <w:jc w:val="left"/>
              <w:rPr>
                <w:color w:val="005670"/>
              </w:rPr>
            </w:pPr>
            <w:r>
              <w:rPr>
                <w:color w:val="005670"/>
              </w:rPr>
              <w:t>■</w:t>
            </w:r>
          </w:p>
        </w:tc>
        <w:tc>
          <w:tcPr>
            <w:tcW w:w="9934" w:type="dxa"/>
            <w:tcBorders/>
            <w:vAlign w:val="center"/>
          </w:tcPr>
          <w:p>
            <w:pPr>
              <w:pStyle w:val="TableContents"/>
              <w:bidi w:val="0"/>
              <w:spacing w:lineRule="auto" w:line="319" w:before="0" w:after="100"/>
              <w:ind w:left="0" w:right="0" w:hanging="0"/>
              <w:jc w:val="left"/>
              <w:rPr>
                <w:rFonts w:ascii="Arial;Helvetica;sans-serif" w:hAnsi="Arial;Helvetica;sans-serif"/>
                <w:sz w:val="20"/>
              </w:rPr>
            </w:pPr>
            <w:r>
              <w:rPr>
                <w:rFonts w:ascii="Arial;Helvetica;sans-serif" w:hAnsi="Arial;Helvetica;sans-serif"/>
                <w:sz w:val="20"/>
              </w:rPr>
              <w:t>Occupational Integrity results are based on the prevention of Tier 1 and Tier 2 Operational Integrity events. In the event a Tier 1 event occurs, the entire Operational Integrity &amp; Occupational Safety Performance achievement component is automatically reduced to 0%. In the event a Tier 2 event occurs, the Operational Integrity &amp; Occupational Safety Performance maximum achievement possible is reduced from 200% to 150%.</w:t>
            </w:r>
          </w:p>
        </w:tc>
      </w:tr>
      <w:tr>
        <w:trPr/>
        <w:tc>
          <w:tcPr>
            <w:tcW w:w="271" w:type="dxa"/>
            <w:tcBorders/>
            <w:vAlign w:val="center"/>
          </w:tcPr>
          <w:p>
            <w:pPr>
              <w:pStyle w:val="TableContents"/>
              <w:bidi w:val="0"/>
              <w:spacing w:lineRule="auto" w:line="319" w:before="0" w:after="0"/>
              <w:ind w:left="0" w:right="0" w:hanging="0"/>
              <w:jc w:val="left"/>
              <w:rPr>
                <w:color w:val="005670"/>
              </w:rPr>
            </w:pPr>
            <w:r>
              <w:rPr>
                <w:color w:val="005670"/>
              </w:rPr>
              <w:t>■</w:t>
            </w:r>
          </w:p>
        </w:tc>
        <w:tc>
          <w:tcPr>
            <w:tcW w:w="9934" w:type="dxa"/>
            <w:tcBorders/>
            <w:vAlign w:val="center"/>
          </w:tcPr>
          <w:p>
            <w:pPr>
              <w:pStyle w:val="TableContents"/>
              <w:bidi w:val="0"/>
              <w:spacing w:lineRule="auto" w:line="319" w:before="0" w:after="0"/>
              <w:ind w:left="0" w:right="0" w:hanging="0"/>
              <w:jc w:val="left"/>
              <w:rPr>
                <w:rFonts w:ascii="Arial;Helvetica;sans-serif" w:hAnsi="Arial;Helvetica;sans-serif"/>
                <w:sz w:val="20"/>
              </w:rPr>
            </w:pPr>
            <w:r>
              <w:rPr>
                <w:rFonts w:ascii="Arial;Helvetica;sans-serif" w:hAnsi="Arial;Helvetica;sans-serif"/>
                <w:sz w:val="20"/>
              </w:rPr>
              <w:t xml:space="preserve">Occupational Safety performance is calculated based on TRIR performance relative to target. The Committee approved a TRIR target for 2025 of 0.20 based on input from the GSE Committee. This </w:t>
            </w:r>
          </w:p>
        </w:tc>
      </w:tr>
    </w:tbl>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P-87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4486"/>
        <w:gridCol w:w="154"/>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448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COMPENSATION DISCUSSION AND ANALYSIS</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081" w:type="dxa"/>
            <w:tcBorders/>
            <w:vAlign w:val="center"/>
          </w:tcPr>
          <w:p>
            <w:pPr>
              <w:pStyle w:val="TableContents"/>
              <w:bidi w:val="0"/>
              <w:spacing w:lineRule="auto" w:line="319" w:before="0" w:after="0"/>
              <w:ind w:left="0" w:right="0" w:hanging="0"/>
              <w:jc w:val="left"/>
              <w:rPr>
                <w:rFonts w:ascii="Arial;Helvetica;sans-serif" w:hAnsi="Arial;Helvetica;sans-serif"/>
                <w:sz w:val="20"/>
              </w:rPr>
            </w:pPr>
            <w:r>
              <w:rPr>
                <w:rFonts w:ascii="Arial;Helvetica;sans-serif" w:hAnsi="Arial;Helvetica;sans-serif"/>
                <w:sz w:val="20"/>
              </w:rPr>
              <w:t>target represents the five-year actual TRIR results and applies a 0.95 modifier to ensure the pursuit of continuous improvement. The TRIR target has improved by 35% in the last 6 years, driven by continuously improving TRIR results.</w:t>
            </w:r>
          </w:p>
        </w:tc>
      </w:tr>
    </w:tbl>
    <w:p>
      <w:pPr>
        <w:pStyle w:val="TextBody"/>
        <w:bidi w:val="0"/>
        <w:spacing w:lineRule="auto" w:line="285" w:before="200" w:after="200"/>
        <w:ind w:left="0" w:right="0" w:hanging="0"/>
        <w:jc w:val="both"/>
        <w:rPr>
          <w:rFonts w:ascii="Arial;Helvetica;sans-serif" w:hAnsi="Arial;Helvetica;sans-serif"/>
          <w:sz w:val="20"/>
        </w:rPr>
      </w:pPr>
      <w:r>
        <w:rPr>
          <w:rFonts w:ascii="Arial;Helvetica;sans-serif" w:hAnsi="Arial;Helvetica;sans-serif"/>
          <w:sz w:val="20"/>
        </w:rPr>
        <w:t>In setting the threshold and maximum values, the Committee applied a 25% range above and below target. This range created a threshold, or entry point, of 0.25 and a maximum of 0.15.</w:t>
      </w:r>
    </w:p>
    <w:tbl>
      <w:tblPr>
        <w:tblW w:w="5403" w:type="dxa"/>
        <w:jc w:val="left"/>
        <w:tblInd w:w="0" w:type="dxa"/>
        <w:tblLayout w:type="fixed"/>
        <w:tblCellMar>
          <w:top w:w="0" w:type="dxa"/>
          <w:left w:w="0" w:type="dxa"/>
          <w:bottom w:w="0" w:type="dxa"/>
          <w:right w:w="0" w:type="dxa"/>
        </w:tblCellMar>
      </w:tblPr>
      <w:tblGrid>
        <w:gridCol w:w="3631"/>
        <w:gridCol w:w="286"/>
        <w:gridCol w:w="1486"/>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305685" cy="175260"/>
                      <wp:effectExtent l="0" t="0" r="0" b="0"/>
                      <wp:wrapNone/>
                      <wp:docPr id="236" name="Frame112"/>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81610" cy="175260"/>
                      <wp:effectExtent l="0" t="0" r="0" b="0"/>
                      <wp:wrapNone/>
                      <wp:docPr id="237" name="Frame11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943610" cy="175260"/>
                      <wp:effectExtent l="0" t="0" r="0" b="0"/>
                      <wp:wrapNone/>
                      <wp:docPr id="238" name="Frame114"/>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363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86" w:type="dxa"/>
            <w:tcBorders/>
            <w:vAlign w:val="center"/>
          </w:tcPr>
          <w:p>
            <w:pPr>
              <w:pStyle w:val="TableContents"/>
              <w:bidi w:val="0"/>
              <w:spacing w:lineRule="auto" w:line="285" w:before="0" w:after="0"/>
              <w:ind w:left="0" w:right="0" w:hanging="0"/>
              <w:jc w:val="center"/>
              <w:rPr/>
            </w:pPr>
            <w:r>
              <w:rPr/>
              <w:t>  ​ ​</w:t>
            </w:r>
          </w:p>
        </w:tc>
        <w:tc>
          <w:tcPr>
            <w:tcW w:w="148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BONUS PAYOUT</w:t>
            </w:r>
          </w:p>
        </w:tc>
      </w:tr>
      <w:tr>
        <w:trPr/>
        <w:tc>
          <w:tcPr>
            <w:tcW w:w="3631"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6"/>
              </w:rPr>
            </w:pPr>
            <w:r>
              <w:rPr>
                <w:rFonts w:ascii="Arial;Helvetica;sans-serif" w:hAnsi="Arial;Helvetica;sans-serif"/>
                <w:b/>
                <w:color w:val="4B4F54"/>
                <w:sz w:val="16"/>
              </w:rPr>
              <w:t>TRIR TARGET AND PERFORMANCE RANGE</w:t>
            </w:r>
          </w:p>
        </w:tc>
        <w:tc>
          <w:tcPr>
            <w:tcW w:w="286" w:type="dxa"/>
            <w:tcBorders/>
            <w:vAlign w:val="center"/>
          </w:tcPr>
          <w:p>
            <w:pPr>
              <w:pStyle w:val="TableContents"/>
              <w:bidi w:val="0"/>
              <w:spacing w:lineRule="auto" w:line="285" w:before="0" w:after="0"/>
              <w:ind w:left="0" w:right="0" w:hanging="0"/>
              <w:jc w:val="center"/>
              <w:rPr/>
            </w:pPr>
            <w:r>
              <w:rPr/>
              <w:t>​</w:t>
            </w:r>
          </w:p>
        </w:tc>
        <w:tc>
          <w:tcPr>
            <w:tcW w:w="148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w:t>
            </w:r>
          </w:p>
        </w:tc>
      </w:tr>
      <w:tr>
        <w:trPr/>
        <w:tc>
          <w:tcPr>
            <w:tcW w:w="36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Entry (Threshold) = 0.25</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8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0%</w:t>
            </w:r>
          </w:p>
        </w:tc>
      </w:tr>
      <w:tr>
        <w:trPr/>
        <w:tc>
          <w:tcPr>
            <w:tcW w:w="36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Mid-Point (Target) = 0.20</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8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100%</w:t>
            </w:r>
          </w:p>
        </w:tc>
      </w:tr>
      <w:tr>
        <w:trPr/>
        <w:tc>
          <w:tcPr>
            <w:tcW w:w="36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Maximum = 0.15</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86" w:type="dxa"/>
            <w:tcBorders>
              <w:bottom w:val="single" w:sz="2" w:space="0" w:color="D9D9D9"/>
            </w:tcBorders>
            <w:tcMar>
              <w:bottom w:w="28" w:type="dxa"/>
            </w:tcMar>
            <w:vAlign w:val="center"/>
          </w:tcPr>
          <w:p>
            <w:pPr>
              <w:pStyle w:val="TableContents"/>
              <w:bidi w:val="0"/>
              <w:spacing w:lineRule="auto" w:line="285" w:before="0" w:after="0"/>
              <w:ind w:left="0" w:right="60" w:hanging="0"/>
              <w:jc w:val="right"/>
              <w:rPr>
                <w:rFonts w:ascii="Arial;Helvetica;sans-serif" w:hAnsi="Arial;Helvetica;sans-serif"/>
                <w:sz w:val="20"/>
              </w:rPr>
            </w:pPr>
            <w:r>
              <w:rPr>
                <w:rFonts w:ascii="Arial;Helvetica;sans-serif" w:hAnsi="Arial;Helvetica;sans-serif"/>
                <w:sz w:val="20"/>
              </w:rPr>
              <w:t>200%</w:t>
            </w:r>
          </w:p>
        </w:tc>
      </w:tr>
    </w:tbl>
    <w:p>
      <w:pPr>
        <w:pStyle w:val="TextBody"/>
        <w:bidi w:val="0"/>
        <w:spacing w:lineRule="auto" w:line="285" w:before="200" w:after="200"/>
        <w:ind w:left="0" w:right="0" w:hanging="0"/>
        <w:jc w:val="both"/>
        <w:rPr>
          <w:rFonts w:ascii="Arial;Helvetica;sans-serif" w:hAnsi="Arial;Helvetica;sans-serif"/>
          <w:b/>
          <w:sz w:val="20"/>
        </w:rPr>
      </w:pPr>
      <w:r>
        <w:rPr>
          <w:rFonts w:ascii="Arial;Helvetica;sans-serif" w:hAnsi="Arial;Helvetica;sans-serif"/>
          <w:b/>
          <w:sz w:val="20"/>
        </w:rPr>
        <w:t>Operational Integrity &amp; Occupational Safety Performance Scorecard:</w:t>
      </w:r>
    </w:p>
    <w:p>
      <w:pPr>
        <w:pStyle w:val="TextBody"/>
        <w:bidi w:val="0"/>
        <w:spacing w:lineRule="auto" w:line="285" w:before="0" w:after="0"/>
        <w:ind w:left="0" w:right="0" w:hanging="0"/>
        <w:jc w:val="center"/>
        <w:rPr/>
      </w:pPr>
      <w:r>
        <w:rPr/>
        <w:drawing>
          <wp:inline distT="0" distB="0" distL="0" distR="0">
            <wp:extent cx="6163310" cy="2060575"/>
            <wp:effectExtent l="0" t="0" r="0" b="0"/>
            <wp:docPr id="23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25" descr=""/>
                    <pic:cNvPicPr>
                      <a:picLocks noChangeAspect="1" noChangeArrowheads="1"/>
                    </pic:cNvPicPr>
                  </pic:nvPicPr>
                  <pic:blipFill>
                    <a:blip r:embed="rId126"/>
                    <a:stretch>
                      <a:fillRect/>
                    </a:stretch>
                  </pic:blipFill>
                  <pic:spPr bwMode="auto">
                    <a:xfrm>
                      <a:off x="0" y="0"/>
                      <a:ext cx="6163310" cy="2060575"/>
                    </a:xfrm>
                    <a:prstGeom prst="rect">
                      <a:avLst/>
                    </a:prstGeom>
                  </pic:spPr>
                </pic:pic>
              </a:graphicData>
            </a:graphic>
          </wp:inline>
        </w:drawing>
      </w:r>
    </w:p>
    <w:p>
      <w:pPr>
        <w:pStyle w:val="TextBody"/>
        <w:bidi w:val="0"/>
        <w:spacing w:lineRule="auto" w:line="285" w:before="200" w:after="200"/>
        <w:ind w:left="0" w:right="0" w:hanging="0"/>
        <w:jc w:val="both"/>
        <w:rPr>
          <w:rFonts w:ascii="Arial;Helvetica;sans-serif" w:hAnsi="Arial;Helvetica;sans-serif"/>
          <w:sz w:val="20"/>
        </w:rPr>
      </w:pPr>
      <w:r>
        <w:rPr>
          <w:rFonts w:ascii="Arial;Helvetica;sans-serif" w:hAnsi="Arial;Helvetica;sans-serif"/>
          <w:sz w:val="20"/>
        </w:rPr>
        <w:t>Comprehensive measures are in place to safeguard against underreporting of safety events by our workforce. These measures encompass a robust framework of oversight, including stringent auditing procedures, transparent reporting mechanisms, and a culture of accountability aimed at fostering an environment where safety reporting is conducted without concern for retaliation.</w:t>
      </w:r>
    </w:p>
    <w:p>
      <w:pPr>
        <w:pStyle w:val="TextBody"/>
        <w:bidi w:val="0"/>
        <w:spacing w:lineRule="auto" w:line="285" w:before="0" w:after="200"/>
        <w:ind w:left="0" w:right="0" w:hanging="0"/>
        <w:jc w:val="both"/>
        <w:rPr>
          <w:rFonts w:ascii="Arial;Helvetica;sans-serif" w:hAnsi="Arial;Helvetica;sans-serif"/>
          <w:b/>
          <w:sz w:val="20"/>
        </w:rPr>
      </w:pPr>
      <w:r>
        <w:rPr>
          <w:rFonts w:ascii="Arial;Helvetica;sans-serif" w:hAnsi="Arial;Helvetica;sans-serif"/>
          <w:b/>
          <w:sz w:val="20"/>
        </w:rPr>
        <w:t>Dropped Objects Prevention Performance</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 xml:space="preserve">Upon recommendation from the GSE Committee, the Committee approved a new measure for the 2025 cash bonus plan focused on Dropped Objects Prevention Performance. The new measure was added by the Committee in recognition of the importance of preventing serious injury to personnel caused by dropped objects on the Company’s offshore operating fleet. </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Dropped Objects Prevention performance is assessed by calculating the Dropped Objects Prevention Rate which captures Serious Near Hit Dropped Objects and Mitigated Serious Near Hit Dropped Objects using industry standard categorization.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Serious Near Hit Dropped Object is a dropped object that has the potential to cause a fatality or a life changing injury.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Mitigated Serious Near Hit Dropped Object is a dropped object that had the potential to cause a life changing injury that was mitigated by a control that was put in place.</w:t>
            </w:r>
          </w:p>
        </w:tc>
      </w:tr>
    </w:tbl>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Dropped Objects Prevention Rate is measured by combining the instances of SNH Dropped Objects and Mitigated SNH Dropped Objects expressed as a percentage per every 200,000 working hours.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P-88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124"/>
        <w:gridCol w:w="4516"/>
      </w:tblGrid>
      <w:tr>
        <w:trPr/>
        <w:tc>
          <w:tcPr>
            <w:tcW w:w="124" w:type="dxa"/>
            <w:tcBorders/>
            <w:vAlign w:val="center"/>
          </w:tcPr>
          <w:p>
            <w:pPr>
              <w:pStyle w:val="TableContents"/>
              <w:bidi w:val="0"/>
              <w:spacing w:lineRule="auto" w:line="285" w:before="0" w:after="0"/>
              <w:ind w:left="0" w:right="0" w:hanging="0"/>
              <w:jc w:val="both"/>
              <w:rPr/>
            </w:pPr>
            <w:r>
              <w:rPr/>
              <w:t>​</w:t>
            </w:r>
          </w:p>
        </w:tc>
        <w:tc>
          <w:tcPr>
            <w:tcW w:w="45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451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COMPENSATION DISCUSSION AND ANALYSIS</w:t>
            </w:r>
          </w:p>
        </w:tc>
      </w:tr>
    </w:tbl>
    <w:p>
      <w:pPr>
        <w:pStyle w:val="TextBody"/>
        <w:bidi w:val="0"/>
        <w:spacing w:lineRule="auto" w:line="285" w:before="0" w:after="0"/>
        <w:ind w:left="0" w:right="0" w:hanging="0"/>
        <w:jc w:val="both"/>
        <w:rPr/>
      </w:pPr>
      <w:r>
        <w:rPr/>
        <w:t>​</w:t>
      </w:r>
    </w:p>
    <w:tbl>
      <w:tblPr>
        <w:tblW w:w="8402" w:type="dxa"/>
        <w:jc w:val="left"/>
        <w:tblInd w:w="0" w:type="dxa"/>
        <w:tblLayout w:type="fixed"/>
        <w:tblCellMar>
          <w:top w:w="0" w:type="dxa"/>
          <w:left w:w="0" w:type="dxa"/>
          <w:bottom w:w="0" w:type="dxa"/>
          <w:right w:w="0" w:type="dxa"/>
        </w:tblCellMar>
      </w:tblPr>
      <w:tblGrid>
        <w:gridCol w:w="3211"/>
        <w:gridCol w:w="5191"/>
      </w:tblGrid>
      <w:tr>
        <w:trPr/>
        <w:tc>
          <w:tcPr>
            <w:tcW w:w="3211" w:type="dxa"/>
            <w:tcBorders/>
            <w:vAlign w:val="center"/>
          </w:tcPr>
          <w:p>
            <w:pPr>
              <w:pStyle w:val="TableContents"/>
              <w:bidi w:val="0"/>
              <w:spacing w:lineRule="auto" w:line="285" w:before="0" w:after="0"/>
              <w:ind w:left="0" w:right="0" w:hanging="0"/>
              <w:jc w:val="both"/>
              <w:rPr/>
            </w:pPr>
            <w:r>
              <w:rPr/>
              <w:t>​</w:t>
            </w:r>
          </w:p>
        </w:tc>
        <w:tc>
          <w:tcPr>
            <w:tcW w:w="5191" w:type="dxa"/>
            <w:tcBorders/>
            <w:vAlign w:val="center"/>
          </w:tcPr>
          <w:p>
            <w:pPr>
              <w:pStyle w:val="TableContents"/>
              <w:bidi w:val="0"/>
              <w:spacing w:lineRule="auto" w:line="285" w:before="0" w:after="0"/>
              <w:ind w:left="0" w:right="0" w:hanging="0"/>
              <w:jc w:val="center"/>
              <w:rPr>
                <w:rFonts w:ascii="Arial;Helvetica;sans-serif" w:hAnsi="Arial;Helvetica;sans-serif"/>
                <w:i/>
                <w:sz w:val="20"/>
              </w:rPr>
            </w:pPr>
            <w:r>
              <w:rPr>
                <w:rFonts w:ascii="Arial;Helvetica;sans-serif" w:hAnsi="Arial;Helvetica;sans-serif"/>
                <w:i/>
                <w:sz w:val="20"/>
              </w:rPr>
              <w:t>SNH Dropped Objects + Mitigated SNH Dropped Objects</w:t>
            </w:r>
          </w:p>
        </w:tc>
      </w:tr>
      <w:tr>
        <w:trPr/>
        <w:tc>
          <w:tcPr>
            <w:tcW w:w="3211" w:type="dxa"/>
            <w:tcBorders/>
            <w:vAlign w:val="center"/>
          </w:tcPr>
          <w:p>
            <w:pPr>
              <w:pStyle w:val="TableContents"/>
              <w:bidi w:val="0"/>
              <w:spacing w:lineRule="auto" w:line="285" w:before="0" w:after="200"/>
              <w:ind w:left="0" w:right="0" w:hanging="0"/>
              <w:jc w:val="right"/>
              <w:rPr>
                <w:rFonts w:ascii="Arial;Helvetica;sans-serif" w:hAnsi="Arial;Helvetica;sans-serif"/>
                <w:i/>
                <w:sz w:val="20"/>
              </w:rPr>
            </w:pPr>
            <w:r>
              <w:rPr>
                <w:rFonts w:ascii="Arial;Helvetica;sans-serif" w:hAnsi="Arial;Helvetica;sans-serif"/>
                <w:i/>
                <w:sz w:val="20"/>
              </w:rPr>
              <w:t>Dropped Objects Prevention Rate =</w:t>
            </w:r>
          </w:p>
        </w:tc>
        <w:tc>
          <w:tcPr>
            <w:tcW w:w="5191" w:type="dxa"/>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________________________________________________</w:t>
            </w:r>
          </w:p>
        </w:tc>
      </w:tr>
      <w:tr>
        <w:trPr/>
        <w:tc>
          <w:tcPr>
            <w:tcW w:w="3211" w:type="dxa"/>
            <w:tcBorders/>
            <w:vAlign w:val="center"/>
          </w:tcPr>
          <w:p>
            <w:pPr>
              <w:pStyle w:val="TableContents"/>
              <w:bidi w:val="0"/>
              <w:spacing w:lineRule="auto" w:line="285" w:before="0" w:after="0"/>
              <w:ind w:left="0" w:right="0" w:hanging="0"/>
              <w:jc w:val="both"/>
              <w:rPr/>
            </w:pPr>
            <w:r>
              <w:rPr/>
              <w:t>​</w:t>
            </w:r>
          </w:p>
        </w:tc>
        <w:tc>
          <w:tcPr>
            <w:tcW w:w="5191" w:type="dxa"/>
            <w:tcBorders/>
            <w:vAlign w:val="center"/>
          </w:tcPr>
          <w:p>
            <w:pPr>
              <w:pStyle w:val="TableContents"/>
              <w:bidi w:val="0"/>
              <w:spacing w:lineRule="auto" w:line="285" w:before="0" w:after="200"/>
              <w:ind w:left="0" w:right="0" w:hanging="0"/>
              <w:jc w:val="center"/>
              <w:rPr>
                <w:rFonts w:ascii="Arial;Helvetica;sans-serif" w:hAnsi="Arial;Helvetica;sans-serif"/>
                <w:i/>
                <w:sz w:val="20"/>
              </w:rPr>
            </w:pPr>
            <w:r>
              <w:rPr>
                <w:rFonts w:ascii="Arial;Helvetica;sans-serif" w:hAnsi="Arial;Helvetica;sans-serif"/>
                <w:i/>
                <w:sz w:val="20"/>
              </w:rPr>
              <w:t>Total Working Hours / 200,000</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The Committee approved a Dropped Objects Prevention rate target for 2025 of 0.34 based on input from the GSE Committee. This target represents the five-year actual Dropped Objects Prevention Rate results and applies to a 0.95 modifier to ensure the pursuit of continuous improvement.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In setting the threshold and maximum values, the Committee applied a 25% range above and below target. This range created a threshold, or entry point, of 0.43 and a maximum of 0.26.</w:t>
      </w:r>
    </w:p>
    <w:p>
      <w:pPr>
        <w:pStyle w:val="TextBody"/>
        <w:bidi w:val="0"/>
        <w:spacing w:lineRule="auto" w:line="285" w:before="0" w:after="0"/>
        <w:ind w:left="0" w:right="0" w:hanging="0"/>
        <w:jc w:val="both"/>
        <w:rPr>
          <w:shd w:fill="FFFF00" w:val="clear"/>
        </w:rPr>
      </w:pPr>
      <w:r>
        <w:rPr>
          <w:shd w:fill="FFFF00" w:val="clear"/>
        </w:rPr>
        <w:t>​</w:t>
      </w:r>
    </w:p>
    <w:tbl>
      <w:tblPr>
        <w:tblW w:w="5403" w:type="dxa"/>
        <w:jc w:val="left"/>
        <w:tblInd w:w="0" w:type="dxa"/>
        <w:tblLayout w:type="fixed"/>
        <w:tblCellMar>
          <w:top w:w="0" w:type="dxa"/>
          <w:left w:w="0" w:type="dxa"/>
          <w:bottom w:w="0" w:type="dxa"/>
          <w:right w:w="0" w:type="dxa"/>
        </w:tblCellMar>
      </w:tblPr>
      <w:tblGrid>
        <w:gridCol w:w="3631"/>
        <w:gridCol w:w="286"/>
        <w:gridCol w:w="1486"/>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305685" cy="175260"/>
                      <wp:effectExtent l="0" t="0" r="0" b="0"/>
                      <wp:wrapNone/>
                      <wp:docPr id="240" name="Frame115"/>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81610" cy="175260"/>
                      <wp:effectExtent l="0" t="0" r="0" b="0"/>
                      <wp:wrapNone/>
                      <wp:docPr id="241" name="Frame11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943610" cy="175260"/>
                      <wp:effectExtent l="0" t="0" r="0" b="0"/>
                      <wp:wrapNone/>
                      <wp:docPr id="242" name="Frame117"/>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363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86" w:type="dxa"/>
            <w:tcBorders/>
            <w:vAlign w:val="center"/>
          </w:tcPr>
          <w:p>
            <w:pPr>
              <w:pStyle w:val="TableContents"/>
              <w:bidi w:val="0"/>
              <w:spacing w:lineRule="auto" w:line="285" w:before="0" w:after="0"/>
              <w:ind w:left="0" w:right="0" w:hanging="0"/>
              <w:jc w:val="center"/>
              <w:rPr/>
            </w:pPr>
            <w:r>
              <w:rPr/>
              <w:t>  ​ ​</w:t>
            </w:r>
          </w:p>
        </w:tc>
        <w:tc>
          <w:tcPr>
            <w:tcW w:w="148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BONUS PAYOUT</w:t>
            </w:r>
          </w:p>
        </w:tc>
      </w:tr>
      <w:tr>
        <w:trPr/>
        <w:tc>
          <w:tcPr>
            <w:tcW w:w="3631"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6"/>
              </w:rPr>
            </w:pPr>
            <w:r>
              <w:rPr>
                <w:rFonts w:ascii="Arial;Helvetica;sans-serif" w:hAnsi="Arial;Helvetica;sans-serif"/>
                <w:b/>
                <w:color w:val="4B4F54"/>
                <w:sz w:val="16"/>
              </w:rPr>
              <w:t>TRIR TARGET AND PERFORMANCE RANGE</w:t>
            </w:r>
          </w:p>
        </w:tc>
        <w:tc>
          <w:tcPr>
            <w:tcW w:w="286" w:type="dxa"/>
            <w:tcBorders/>
            <w:vAlign w:val="center"/>
          </w:tcPr>
          <w:p>
            <w:pPr>
              <w:pStyle w:val="TableContents"/>
              <w:bidi w:val="0"/>
              <w:spacing w:lineRule="auto" w:line="285" w:before="0" w:after="0"/>
              <w:ind w:left="0" w:right="0" w:hanging="0"/>
              <w:jc w:val="center"/>
              <w:rPr/>
            </w:pPr>
            <w:r>
              <w:rPr/>
              <w:t>​</w:t>
            </w:r>
          </w:p>
        </w:tc>
        <w:tc>
          <w:tcPr>
            <w:tcW w:w="148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w:t>
            </w:r>
          </w:p>
        </w:tc>
      </w:tr>
      <w:tr>
        <w:trPr/>
        <w:tc>
          <w:tcPr>
            <w:tcW w:w="36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Entry (Threshold) = 0.43</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8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0%</w:t>
            </w:r>
          </w:p>
        </w:tc>
      </w:tr>
      <w:tr>
        <w:trPr/>
        <w:tc>
          <w:tcPr>
            <w:tcW w:w="36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Mid-Point (Target) = 0.34</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86"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100%</w:t>
            </w:r>
          </w:p>
        </w:tc>
      </w:tr>
      <w:tr>
        <w:trPr/>
        <w:tc>
          <w:tcPr>
            <w:tcW w:w="36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Maximum = 0.26</w:t>
            </w:r>
          </w:p>
        </w:tc>
        <w:tc>
          <w:tcPr>
            <w:tcW w:w="2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86" w:type="dxa"/>
            <w:tcBorders>
              <w:bottom w:val="single" w:sz="2" w:space="0" w:color="D9D9D9"/>
            </w:tcBorders>
            <w:tcMar>
              <w:bottom w:w="28" w:type="dxa"/>
            </w:tcMar>
            <w:vAlign w:val="center"/>
          </w:tcPr>
          <w:p>
            <w:pPr>
              <w:pStyle w:val="TableContents"/>
              <w:bidi w:val="0"/>
              <w:spacing w:lineRule="auto" w:line="285" w:before="0" w:after="0"/>
              <w:ind w:left="0" w:right="60" w:hanging="0"/>
              <w:jc w:val="right"/>
              <w:rPr>
                <w:rFonts w:ascii="Arial;Helvetica;sans-serif" w:hAnsi="Arial;Helvetica;sans-serif"/>
                <w:sz w:val="20"/>
              </w:rPr>
            </w:pPr>
            <w:r>
              <w:rPr>
                <w:rFonts w:ascii="Arial;Helvetica;sans-serif" w:hAnsi="Arial;Helvetica;sans-serif"/>
                <w:sz w:val="20"/>
              </w:rPr>
              <w:t>200%</w:t>
            </w:r>
          </w:p>
        </w:tc>
      </w:tr>
    </w:tbl>
    <w:p>
      <w:pPr>
        <w:pStyle w:val="TextBody"/>
        <w:bidi w:val="0"/>
        <w:spacing w:lineRule="auto" w:line="285" w:before="200" w:after="120"/>
        <w:ind w:left="0" w:right="0" w:hanging="0"/>
        <w:jc w:val="both"/>
        <w:rPr>
          <w:rFonts w:ascii="Arial;Helvetica;sans-serif" w:hAnsi="Arial;Helvetica;sans-serif"/>
          <w:b/>
          <w:sz w:val="24"/>
        </w:rPr>
      </w:pPr>
      <w:r>
        <w:rPr>
          <w:rFonts w:ascii="Arial;Helvetica;sans-serif" w:hAnsi="Arial;Helvetica;sans-serif"/>
          <w:b/>
          <w:sz w:val="24"/>
        </w:rPr>
        <w:t>Measuring Environmental and Safety Results</w:t>
      </w:r>
    </w:p>
    <w:p>
      <w:pPr>
        <w:pStyle w:val="TextBody"/>
        <w:bidi w:val="0"/>
        <w:spacing w:lineRule="auto" w:line="285" w:before="0" w:after="200"/>
        <w:ind w:left="0" w:right="0" w:hanging="0"/>
        <w:jc w:val="both"/>
        <w:rPr>
          <w:rFonts w:ascii="Arial;Helvetica;sans-serif" w:hAnsi="Arial;Helvetica;sans-serif"/>
          <w:b/>
          <w:color w:val="005670"/>
          <w:sz w:val="20"/>
        </w:rPr>
      </w:pPr>
      <w:r>
        <w:rPr>
          <w:rFonts w:ascii="Arial;Helvetica;sans-serif" w:hAnsi="Arial;Helvetica;sans-serif"/>
          <w:b/>
          <w:color w:val="005670"/>
          <w:sz w:val="20"/>
        </w:rPr>
        <w:t>THE COMPANY RECORDED NO TIER 1 OR TIER 2 EVENTS AND ACHIEVED 0.19 TRIR PERFORMANCE IN 2025.</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There were no Tier 1 or Tier 2 events recorded in 2025, allowing for the Operational Integrity Performance component of the Occupational Integrity and Occupational Safety measure to result in 100% achievement. Further, in 2025, the Company achieved above target TRIR performance of 0.19.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To continuously improve our Environmental and Safety performance, the Company, with support from our customers, has continued to develop and deploy new technology to enhance operational performance and occupational safety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cumulative Operational Integrity and Occupational Safety Performance resulted in a payout achievement of 160% and an associated weighted payout of 16%. </w:t>
      </w:r>
    </w:p>
    <w:p>
      <w:pPr>
        <w:pStyle w:val="TextBody"/>
        <w:bidi w:val="0"/>
        <w:spacing w:lineRule="auto" w:line="285" w:before="0" w:after="200"/>
        <w:ind w:left="0" w:right="0" w:hanging="0"/>
        <w:jc w:val="both"/>
        <w:rPr>
          <w:rFonts w:ascii="Arial;Helvetica;sans-serif" w:hAnsi="Arial;Helvetica;sans-serif"/>
          <w:b/>
          <w:color w:val="005670"/>
          <w:sz w:val="20"/>
        </w:rPr>
      </w:pPr>
      <w:r>
        <w:rPr>
          <w:rFonts w:ascii="Arial;Helvetica;sans-serif" w:hAnsi="Arial;Helvetica;sans-serif"/>
          <w:b/>
          <w:color w:val="005670"/>
          <w:sz w:val="20"/>
        </w:rPr>
        <w:t>THE COMPANY ACHIEVED COMPANY-RECORD-BREAKING DROPPED OBJECTS PREVENTION PERFORMANCE IN 2025.</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 2025, the Company achieved a Dropped Objects Prevention rate of 0.17, representing a 64% improvement over the prior year. The 2025 result not only exceeded the target but also the maximum achievement performance range. The performance resulted in a payout achievement of 200% and an associated weighted payout of 10%.</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As illustrated, the combined Environmental &amp; Safety results exceeded our goal, and the Committee certified Environmental and Safety performance achievement, resulting in an associated weighted payout of 26% of the total target bonus opportunity for each Named Executive Officer.</w:t>
      </w:r>
    </w:p>
    <w:p>
      <w:pPr>
        <w:pStyle w:val="TextBody"/>
        <w:bidi w:val="0"/>
        <w:spacing w:lineRule="auto" w:line="285" w:before="240" w:after="240"/>
        <w:ind w:left="0" w:right="0" w:hanging="0"/>
        <w:jc w:val="both"/>
        <w:rPr>
          <w:rFonts w:ascii="Arial;Helvetica;sans-serif" w:hAnsi="Arial;Helvetica;sans-serif"/>
          <w:b/>
          <w:sz w:val="24"/>
        </w:rPr>
      </w:pPr>
      <w:r>
        <w:rPr>
          <w:rFonts w:ascii="Arial;Helvetica;sans-serif" w:hAnsi="Arial;Helvetica;sans-serif"/>
          <w:b/>
          <w:sz w:val="24"/>
        </w:rPr>
        <w:t>OVERALL 2025 ANNUAL BONUS ACHIEVEMENT</w:t>
      </w:r>
    </w:p>
    <w:p>
      <w:pPr>
        <w:pStyle w:val="TextBody"/>
        <w:bidi w:val="0"/>
        <w:spacing w:lineRule="auto" w:line="285" w:before="0" w:after="200"/>
        <w:ind w:left="0" w:right="0" w:hanging="0"/>
        <w:jc w:val="both"/>
        <w:rPr>
          <w:rFonts w:ascii="Arial;Helvetica;sans-serif" w:hAnsi="Arial;Helvetica;sans-serif"/>
          <w:b/>
          <w:color w:val="00556F"/>
          <w:sz w:val="20"/>
        </w:rPr>
      </w:pPr>
      <w:r>
        <w:rPr>
          <w:rFonts w:ascii="Arial;Helvetica;sans-serif" w:hAnsi="Arial;Helvetica;sans-serif"/>
          <w:b/>
          <w:color w:val="00556F"/>
          <w:sz w:val="20"/>
        </w:rPr>
        <w:t>IN 2025, WE DELIVERED EXCEPTIONAL ANNUAL PERFORMANCE RESULTS.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Our executive leadership showed exceptional discipline and commitment in managing the Company, driving the success of our business, and building long-term value. Further, our success in delivering solid results in 2025 against the measures approved by the Committee could not have been realized without the discipline, flexibility and resilience of our dedicated workforce.</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P-89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4486"/>
        <w:gridCol w:w="154"/>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448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COMPENSATION DISCUSSION AND ANALYSIS</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b/>
          <w:color w:val="ECA44A"/>
          <w:sz w:val="28"/>
        </w:rPr>
      </w:pPr>
      <w:r>
        <w:rPr>
          <w:rFonts w:ascii="Arial;Helvetica;sans-serif" w:hAnsi="Arial;Helvetica;sans-serif"/>
          <w:b/>
          <w:color w:val="ECA44A"/>
          <w:sz w:val="28"/>
        </w:rPr>
        <w:t>LONG-TERM INCENTIVES</w:t>
      </w:r>
    </w:p>
    <w:p>
      <w:pPr>
        <w:pStyle w:val="TextBody"/>
        <w:bidi w:val="0"/>
        <w:spacing w:lineRule="auto" w:line="285" w:before="0" w:after="120"/>
        <w:ind w:left="0" w:right="0" w:hanging="0"/>
        <w:jc w:val="both"/>
        <w:rPr>
          <w:rFonts w:ascii="Arial;Helvetica;sans-serif" w:hAnsi="Arial;Helvetica;sans-serif"/>
          <w:b/>
          <w:color w:val="005670"/>
          <w:sz w:val="20"/>
        </w:rPr>
      </w:pPr>
      <w:r>
        <w:rPr>
          <w:rFonts w:ascii="Arial;Helvetica;sans-serif" w:hAnsi="Arial;Helvetica;sans-serif"/>
          <w:b/>
          <w:color w:val="005670"/>
          <w:sz w:val="20"/>
        </w:rPr>
        <w:t>THE COMMITTEE ESTABLISHES COMPETITIVE LONG-TERM INCENTIVE (“LTI”) OPPORTUNITIES FOR OUR NAMED EXECUTIVE OFFICERS THAT MOTIVATE THEM TO INCREASE TOTAL SHAREHOLDER RETURN, DRIVE LONG-TERM SUSTAINABLE VALUE AND ALIGN THE INTERESTS OF PARTICIPANTS WITH THOSE OF SHAREHOLDERS.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To provide an appropriate balance of incentives tied to performance, two types of long-term equity instruments were used in 2025: Performance Units (“PSUs”) and Restricted Share Units (“RSUs”), each weighted at 50%.</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This LTI mix was designed to ensure that a minimum of 50% of total LTI is conveyed through performance-based awards. RSUs were included in the incentive mix to reinforce a direct relationship to the shareholder experience and to promote ownership of Company equity. Both instruments were also designed to be retentive in nature through extended performance and vesting periods.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following LTI award values were delivered to our Named Executive Officers in 2025.</w:t>
      </w:r>
    </w:p>
    <w:tbl>
      <w:tblPr>
        <w:tblW w:w="4012" w:type="dxa"/>
        <w:jc w:val="left"/>
        <w:tblInd w:w="0" w:type="dxa"/>
        <w:tblLayout w:type="fixed"/>
        <w:tblCellMar>
          <w:top w:w="0" w:type="dxa"/>
          <w:left w:w="0" w:type="dxa"/>
          <w:bottom w:w="0" w:type="dxa"/>
          <w:right w:w="0" w:type="dxa"/>
        </w:tblCellMar>
      </w:tblPr>
      <w:tblGrid>
        <w:gridCol w:w="1411"/>
        <w:gridCol w:w="346"/>
        <w:gridCol w:w="2101"/>
        <w:gridCol w:w="154"/>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895985" cy="175260"/>
                      <wp:effectExtent l="0" t="0" r="0" b="0"/>
                      <wp:wrapNone/>
                      <wp:docPr id="243" name="Frame118"/>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44"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4135" cy="175260"/>
                      <wp:effectExtent l="0" t="0" r="0" b="0"/>
                      <wp:wrapNone/>
                      <wp:docPr id="245" name="Frame120"/>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97790" cy="175260"/>
                      <wp:effectExtent l="0" t="0" r="0" b="0"/>
                      <wp:wrapNone/>
                      <wp:docPr id="246" name="Frame12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141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210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2025 LTI TARGET VALUE</w:t>
            </w:r>
          </w:p>
        </w:tc>
        <w:tc>
          <w:tcPr>
            <w:tcW w:w="154" w:type="dxa"/>
            <w:tcBorders/>
            <w:vAlign w:val="center"/>
          </w:tcPr>
          <w:p>
            <w:pPr>
              <w:pStyle w:val="TableContents"/>
              <w:bidi w:val="0"/>
              <w:spacing w:lineRule="auto" w:line="285" w:before="0" w:after="0"/>
              <w:ind w:left="0" w:right="0" w:hanging="0"/>
              <w:jc w:val="both"/>
              <w:rPr>
                <w:color w:val="4B4F54"/>
              </w:rPr>
            </w:pPr>
            <w:r>
              <w:rPr>
                <w:color w:val="4B4F54"/>
              </w:rPr>
              <w:t>​</w:t>
            </w:r>
          </w:p>
        </w:tc>
      </w:tr>
      <w:tr>
        <w:trPr/>
        <w:tc>
          <w:tcPr>
            <w:tcW w:w="1411"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6"/>
              </w:rPr>
            </w:pPr>
            <w:r>
              <w:rPr>
                <w:rFonts w:ascii="Arial;Helvetica;sans-serif" w:hAnsi="Arial;Helvetica;sans-serif"/>
                <w:b/>
                <w:color w:val="4B4F54"/>
                <w:sz w:val="16"/>
              </w:rPr>
              <w:t>EXECUTIVE</w:t>
            </w:r>
          </w:p>
        </w:tc>
        <w:tc>
          <w:tcPr>
            <w:tcW w:w="346" w:type="dxa"/>
            <w:tcBorders/>
            <w:vAlign w:val="center"/>
          </w:tcPr>
          <w:p>
            <w:pPr>
              <w:pStyle w:val="TableContents"/>
              <w:bidi w:val="0"/>
              <w:spacing w:lineRule="auto" w:line="285" w:before="0" w:after="0"/>
              <w:ind w:left="0" w:right="0" w:hanging="0"/>
              <w:jc w:val="center"/>
              <w:rPr/>
            </w:pPr>
            <w:r>
              <w:rPr/>
              <w:t>​</w:t>
            </w:r>
          </w:p>
        </w:tc>
        <w:tc>
          <w:tcPr>
            <w:tcW w:w="210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(U.S. $)</w:t>
            </w:r>
          </w:p>
        </w:tc>
        <w:tc>
          <w:tcPr>
            <w:tcW w:w="154"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r>
      <w:tr>
        <w:trPr/>
        <w:tc>
          <w:tcPr>
            <w:tcW w:w="141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Mr. Adamson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21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5,810,000</w:t>
            </w:r>
          </w:p>
        </w:tc>
        <w:tc>
          <w:tcPr>
            <w:tcW w:w="154"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141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Mr. Vayda </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21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2,187,500</w:t>
            </w:r>
          </w:p>
        </w:tc>
        <w:tc>
          <w:tcPr>
            <w:tcW w:w="154"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141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Mr. Thigpen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21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4,000,000</w:t>
            </w:r>
          </w:p>
        </w:tc>
        <w:tc>
          <w:tcPr>
            <w:tcW w:w="154"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141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Mr. Long</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21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2,290,909</w:t>
            </w:r>
          </w:p>
        </w:tc>
        <w:tc>
          <w:tcPr>
            <w:tcW w:w="154"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141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Mr. Mackenzie</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21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1,650,000</w:t>
            </w:r>
          </w:p>
        </w:tc>
        <w:tc>
          <w:tcPr>
            <w:tcW w:w="154"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141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Mr. Pack</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210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752,500</w:t>
            </w:r>
          </w:p>
        </w:tc>
        <w:tc>
          <w:tcPr>
            <w:tcW w:w="154"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Each Named Executive Officer target LTI value is delivered in shares based on the following:</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Performance</w:t>
            </w:r>
            <w:r>
              <w:rPr>
                <w:caps w:val="false"/>
                <w:smallCaps w:val="false"/>
              </w:rPr>
              <w:t xml:space="preserve"> </w:t>
            </w:r>
            <w:r>
              <w:rPr>
                <w:rFonts w:ascii="Arial;Helvetica;sans-serif" w:hAnsi="Arial;Helvetica;sans-serif"/>
                <w:b w:val="false"/>
                <w:i w:val="false"/>
                <w:caps w:val="false"/>
                <w:smallCaps w:val="false"/>
                <w:sz w:val="20"/>
              </w:rPr>
              <w:t>Units: one-half of the total LTI target value is divided by an approximated Grant Date Fair Value based on an estimated</w:t>
            </w:r>
            <w:r>
              <w:rPr>
                <w:caps w:val="false"/>
                <w:smallCaps w:val="false"/>
              </w:rPr>
              <w:t xml:space="preserve"> </w:t>
            </w:r>
            <w:r>
              <w:rPr>
                <w:rFonts w:ascii="Arial;Helvetica;sans-serif" w:hAnsi="Arial;Helvetica;sans-serif"/>
                <w:b w:val="false"/>
                <w:i w:val="false"/>
                <w:caps w:val="false"/>
                <w:smallCaps w:val="false"/>
                <w:sz w:val="20"/>
              </w:rPr>
              <w:t>Monte Carlo valuation performed immediately prior to the date of grant;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Restricted Share Units: one-half of the total LTI target value is divided by a value equal to the average of our high-low trading prices for the 10 days immediately preceding the date of grant.</w:t>
            </w:r>
          </w:p>
        </w:tc>
      </w:tr>
    </w:tbl>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This practice is utilized to most closely approximate the expected grant value. The values disclosed in the Summary Compensation Table reflect the actual grant date fair value and may vary slightly from the target value.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 xml:space="preserve">In connection with his promotion to CEO, and in consultation with the Committee’s independent consultant, the Committee awarded Mr. Adamson a promotional equity grant in May 2025 calibrated to the compensation target of his new position and prorated for the portion of the year following his promotion, delivered equally in PSUs and RSUs. The total LTI value granted to Mr. Adamson for 2025 was $5,810,000 as shown in the preceding table. Based on his compensation package approved by the Committee in May 2025, Mr. Adamson’s LTI target value for a full year as CEO would be $7,000,000, or $1,000,000 lower than that of our former CEO. See the section title “2025 Named Executive Officer Transitions” for more information.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 xml:space="preserve">The Committee awarded Mr. Thigpen $4,000,000 in LTI value, half the value of his previous LTI annual award of $8,000,000, considering his partial-year CEO service and subsequent transition to the role of Executive Chair. </w:t>
      </w:r>
    </w:p>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sz w:val="24"/>
        </w:rPr>
      </w:pPr>
      <w:r>
        <w:rPr>
          <w:rFonts w:ascii="Arial;Helvetica;sans-serif" w:hAnsi="Arial;Helvetica;sans-serif"/>
          <w:b/>
          <w:sz w:val="24"/>
        </w:rPr>
        <w:t>PERFORMANCE UNITS (“PSU”)</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For the 2025 PSU grant, the Committee decided to base the 2025 PSU design on performance over a three-year period utilizing: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primary performance measure based on Company Free Cash Flow, measured in three 12-month periods and averaged over a three-year period; and,</w:t>
            </w:r>
          </w:p>
        </w:tc>
      </w:tr>
    </w:tbl>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P-90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124"/>
        <w:gridCol w:w="4516"/>
      </w:tblGrid>
      <w:tr>
        <w:trPr/>
        <w:tc>
          <w:tcPr>
            <w:tcW w:w="124" w:type="dxa"/>
            <w:tcBorders/>
            <w:vAlign w:val="center"/>
          </w:tcPr>
          <w:p>
            <w:pPr>
              <w:pStyle w:val="TableContents"/>
              <w:bidi w:val="0"/>
              <w:spacing w:lineRule="auto" w:line="285" w:before="0" w:after="0"/>
              <w:ind w:left="0" w:right="0" w:hanging="0"/>
              <w:jc w:val="both"/>
              <w:rPr/>
            </w:pPr>
            <w:r>
              <w:rPr/>
              <w:t>​</w:t>
            </w:r>
          </w:p>
        </w:tc>
        <w:tc>
          <w:tcPr>
            <w:tcW w:w="45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451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COMPENSATION DISCUSSION AND ANALYSIS</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performance modifier based on three-year relative Total Shareholder Return (“TSR”) comparing the Company’s TSR relative to the Company’s Performance Peer Group over a three-year period from January 1, 2025 to December 31, 2027.</w:t>
            </w:r>
          </w:p>
        </w:tc>
      </w:tr>
    </w:tbl>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target award value of the 2025 PSU grants to each of the Named Executive Officers was weighted at 50% of each officer’s total 2025 LTI target award value and each PSU granted represents one share.</w:t>
      </w:r>
    </w:p>
    <w:p>
      <w:pPr>
        <w:pStyle w:val="TextBody"/>
        <w:bidi w:val="0"/>
        <w:spacing w:lineRule="auto" w:line="285" w:before="0" w:after="200"/>
        <w:ind w:left="0" w:right="0" w:hanging="0"/>
        <w:jc w:val="both"/>
        <w:rPr>
          <w:rFonts w:ascii="Arial;Helvetica;sans-serif" w:hAnsi="Arial;Helvetica;sans-serif"/>
          <w:b/>
          <w:sz w:val="20"/>
        </w:rPr>
      </w:pPr>
      <w:r>
        <w:rPr>
          <w:rFonts w:ascii="Arial;Helvetica;sans-serif" w:hAnsi="Arial;Helvetica;sans-serif"/>
          <w:b/>
          <w:sz w:val="20"/>
        </w:rPr>
        <w:t>Company Free Cash Flow Performance (Primary Measure):</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 recognition of the importance of deleveraging the Company’s balance sheet, the Committee established an absolute performance measure based on Company Free Cash Flow (“FCF”). FCF is a non-GAAP measure that is calculated based on cash provided by (used in) operating activities less capital expenditures. Due to forecasting and planning challenges resulting from market volatility, the Committee decided that FCF performance will be measured over three 12-month performance periods with targets set annually at the beginning of each calendar year, and maximum and threshold values set at +/-20% of target value. Annual FCF performance achievement results range between 0% and 200%. The three 12-month FCF performance results are averaged at the end of the three-year performance period to determine cumulative Free Cash Flow Performance.</w:t>
      </w:r>
    </w:p>
    <w:p>
      <w:pPr>
        <w:pStyle w:val="TextBody"/>
        <w:bidi w:val="0"/>
        <w:spacing w:lineRule="auto" w:line="285" w:before="0" w:after="200"/>
        <w:ind w:left="0" w:right="0" w:hanging="0"/>
        <w:jc w:val="both"/>
        <w:rPr>
          <w:rFonts w:ascii="Arial;Helvetica;sans-serif" w:hAnsi="Arial;Helvetica;sans-serif"/>
          <w:b/>
          <w:sz w:val="20"/>
        </w:rPr>
      </w:pPr>
      <w:r>
        <w:rPr>
          <w:rFonts w:ascii="Arial;Helvetica;sans-serif" w:hAnsi="Arial;Helvetica;sans-serif"/>
          <w:b/>
          <w:sz w:val="20"/>
        </w:rPr>
        <w:t>Relative Total Shareholder Return Performance (Modifier):</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Company Free Cash Flow Performance result is modified by the Total Shareholder Return Performance Modifier (“TSR Performance Modifier”) which is calculated by comparing the Company’s Total Shareholder Return (“TSR”) relative to the Company’s 13-member Performance Peer Group over a three-year period from January 1, 2025 to December 31, 2027. TSR Performance Modifier results range between -25% and +25% and are calculated by linear interpolation between the percentages assigned below.</w:t>
      </w:r>
    </w:p>
    <w:tbl>
      <w:tblPr>
        <w:tblW w:w="4892" w:type="dxa"/>
        <w:jc w:val="left"/>
        <w:tblInd w:w="0" w:type="dxa"/>
        <w:tblLayout w:type="fixed"/>
        <w:tblCellMar>
          <w:top w:w="0" w:type="dxa"/>
          <w:left w:w="0" w:type="dxa"/>
          <w:bottom w:w="0" w:type="dxa"/>
          <w:right w:w="0" w:type="dxa"/>
        </w:tblCellMar>
      </w:tblPr>
      <w:tblGrid>
        <w:gridCol w:w="2281"/>
        <w:gridCol w:w="2611"/>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p>
        </w:tc>
        <w:tc>
          <w:tcPr>
            <w:tcW w:w="2611" w:type="dxa"/>
            <w:tcBorders/>
            <w:vAlign w:val="center"/>
          </w:tcPr>
          <w:p>
            <w:pPr>
              <w:pStyle w:val="TableContents"/>
              <w:bidi w:val="0"/>
              <w:spacing w:before="0" w:after="283"/>
              <w:ind w:left="0" w:right="0" w:hanging="0"/>
              <w:jc w:val="left"/>
              <w:rPr>
                <w:sz w:val="4"/>
                <w:szCs w:val="4"/>
              </w:rPr>
            </w:pPr>
            <w:r>
              <w:rPr>
                <w:sz w:val="4"/>
                <w:szCs w:val="4"/>
              </w:rPr>
            </w:r>
          </w:p>
        </w:tc>
      </w:tr>
      <w:tr>
        <w:trPr/>
        <w:tc>
          <w:tcPr>
            <w:tcW w:w="22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80"/>
              <w:ind w:left="0" w:right="0" w:hanging="0"/>
              <w:jc w:val="center"/>
              <w:rPr>
                <w:rFonts w:ascii="Arial;Helvetica;sans-serif" w:hAnsi="Arial;Helvetica;sans-serif"/>
                <w:b/>
                <w:sz w:val="20"/>
              </w:rPr>
            </w:pPr>
            <w:r>
              <w:rPr>
                <w:rFonts w:ascii="Arial;Helvetica;sans-serif" w:hAnsi="Arial;Helvetica;sans-serif"/>
                <w:b/>
                <w:sz w:val="20"/>
              </w:rPr>
              <w:t>Company Ranking</w:t>
            </w:r>
          </w:p>
        </w:tc>
        <w:tc>
          <w:tcPr>
            <w:tcW w:w="261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80"/>
              <w:ind w:left="0" w:right="0" w:hanging="0"/>
              <w:jc w:val="center"/>
              <w:rPr>
                <w:rFonts w:ascii="Arial;Helvetica;sans-serif" w:hAnsi="Arial;Helvetica;sans-serif"/>
                <w:b/>
                <w:sz w:val="20"/>
              </w:rPr>
            </w:pPr>
            <w:r>
              <w:rPr>
                <w:rFonts w:ascii="Arial;Helvetica;sans-serif" w:hAnsi="Arial;Helvetica;sans-serif"/>
                <w:b/>
                <w:sz w:val="20"/>
              </w:rPr>
              <w:t>TSR Performance Modifier</w:t>
            </w:r>
          </w:p>
        </w:tc>
      </w:tr>
      <w:tr>
        <w:trPr/>
        <w:tc>
          <w:tcPr>
            <w:tcW w:w="22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40" w:before="0" w:after="80"/>
              <w:ind w:left="0" w:right="0" w:hanging="0"/>
              <w:jc w:val="center"/>
              <w:rPr>
                <w:rFonts w:ascii="Arial;Helvetica;sans-serif" w:hAnsi="Arial;Helvetica;sans-serif"/>
                <w:sz w:val="20"/>
              </w:rPr>
            </w:pPr>
            <w:r>
              <w:rPr>
                <w:rFonts w:ascii="Arial;Helvetica;sans-serif" w:hAnsi="Arial;Helvetica;sans-serif"/>
                <w:sz w:val="20"/>
              </w:rPr>
              <w:t>90</w:t>
            </w:r>
            <w:r>
              <w:rPr>
                <w:rFonts w:ascii="Arial;Helvetica;sans-serif" w:hAnsi="Arial;Helvetica;sans-serif"/>
                <w:sz w:val="15"/>
              </w:rPr>
              <w:t>th</w:t>
            </w:r>
            <w:r>
              <w:rPr>
                <w:rFonts w:ascii="Arial;Helvetica;sans-serif" w:hAnsi="Arial;Helvetica;sans-serif"/>
                <w:sz w:val="20"/>
              </w:rPr>
              <w:t xml:space="preserve"> percentile or greater</w:t>
            </w:r>
          </w:p>
        </w:tc>
        <w:tc>
          <w:tcPr>
            <w:tcW w:w="261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80"/>
              <w:ind w:left="0" w:right="0" w:hanging="0"/>
              <w:jc w:val="center"/>
              <w:rPr>
                <w:rFonts w:ascii="Arial;Helvetica;sans-serif" w:hAnsi="Arial;Helvetica;sans-serif"/>
                <w:sz w:val="20"/>
              </w:rPr>
            </w:pPr>
            <w:r>
              <w:rPr>
                <w:rFonts w:ascii="Arial;Helvetica;sans-serif" w:hAnsi="Arial;Helvetica;sans-serif"/>
                <w:sz w:val="20"/>
              </w:rPr>
              <w:t>25%</w:t>
            </w:r>
          </w:p>
        </w:tc>
      </w:tr>
      <w:tr>
        <w:trPr/>
        <w:tc>
          <w:tcPr>
            <w:tcW w:w="22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40" w:before="0" w:after="80"/>
              <w:ind w:left="0" w:right="0" w:hanging="0"/>
              <w:jc w:val="center"/>
              <w:rPr>
                <w:rFonts w:ascii="Arial;Helvetica;sans-serif" w:hAnsi="Arial;Helvetica;sans-serif"/>
                <w:sz w:val="20"/>
              </w:rPr>
            </w:pPr>
            <w:r>
              <w:rPr>
                <w:rFonts w:ascii="Arial;Helvetica;sans-serif" w:hAnsi="Arial;Helvetica;sans-serif"/>
                <w:sz w:val="20"/>
              </w:rPr>
              <w:t>50</w:t>
            </w:r>
            <w:r>
              <w:rPr>
                <w:rFonts w:ascii="Arial;Helvetica;sans-serif" w:hAnsi="Arial;Helvetica;sans-serif"/>
                <w:sz w:val="15"/>
              </w:rPr>
              <w:t>th</w:t>
            </w:r>
            <w:r>
              <w:rPr>
                <w:rFonts w:ascii="Arial;Helvetica;sans-serif" w:hAnsi="Arial;Helvetica;sans-serif"/>
                <w:sz w:val="20"/>
              </w:rPr>
              <w:t xml:space="preserve"> percentile (Target)</w:t>
            </w:r>
          </w:p>
        </w:tc>
        <w:tc>
          <w:tcPr>
            <w:tcW w:w="261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80"/>
              <w:ind w:left="0" w:right="0" w:hanging="0"/>
              <w:jc w:val="center"/>
              <w:rPr>
                <w:rFonts w:ascii="Arial;Helvetica;sans-serif" w:hAnsi="Arial;Helvetica;sans-serif"/>
                <w:sz w:val="20"/>
              </w:rPr>
            </w:pPr>
            <w:r>
              <w:rPr>
                <w:rFonts w:ascii="Arial;Helvetica;sans-serif" w:hAnsi="Arial;Helvetica;sans-serif"/>
                <w:sz w:val="20"/>
              </w:rPr>
              <w:t>0%</w:t>
            </w:r>
          </w:p>
        </w:tc>
      </w:tr>
      <w:tr>
        <w:trPr/>
        <w:tc>
          <w:tcPr>
            <w:tcW w:w="22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40" w:before="0" w:after="80"/>
              <w:ind w:left="0" w:right="0" w:hanging="0"/>
              <w:jc w:val="center"/>
              <w:rPr>
                <w:rFonts w:ascii="Arial;Helvetica;sans-serif" w:hAnsi="Arial;Helvetica;sans-serif"/>
                <w:sz w:val="20"/>
              </w:rPr>
            </w:pPr>
            <w:r>
              <w:rPr>
                <w:rFonts w:ascii="Arial;Helvetica;sans-serif" w:hAnsi="Arial;Helvetica;sans-serif"/>
                <w:sz w:val="20"/>
              </w:rPr>
              <w:t>Less than 25</w:t>
            </w:r>
            <w:r>
              <w:rPr>
                <w:rFonts w:ascii="Arial;Helvetica;sans-serif" w:hAnsi="Arial;Helvetica;sans-serif"/>
                <w:sz w:val="15"/>
              </w:rPr>
              <w:t>th</w:t>
            </w:r>
            <w:r>
              <w:rPr>
                <w:rFonts w:ascii="Arial;Helvetica;sans-serif" w:hAnsi="Arial;Helvetica;sans-serif"/>
                <w:sz w:val="20"/>
              </w:rPr>
              <w:t xml:space="preserve"> percentile</w:t>
            </w:r>
          </w:p>
        </w:tc>
        <w:tc>
          <w:tcPr>
            <w:tcW w:w="261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80"/>
              <w:ind w:left="0" w:right="0" w:hanging="0"/>
              <w:jc w:val="center"/>
              <w:rPr>
                <w:rFonts w:ascii="Arial;Helvetica;sans-serif" w:hAnsi="Arial;Helvetica;sans-serif"/>
                <w:sz w:val="20"/>
              </w:rPr>
            </w:pPr>
            <w:r>
              <w:rPr>
                <w:rFonts w:ascii="Arial;Helvetica;sans-serif" w:hAnsi="Arial;Helvetica;sans-serif"/>
                <w:sz w:val="20"/>
              </w:rPr>
              <w:t>-25%</w:t>
            </w:r>
          </w:p>
        </w:tc>
      </w:tr>
    </w:tbl>
    <w:p>
      <w:pPr>
        <w:pStyle w:val="TextBody"/>
        <w:bidi w:val="0"/>
        <w:spacing w:lineRule="auto" w:line="285" w:before="240" w:after="0"/>
        <w:ind w:left="0" w:right="0" w:hanging="0"/>
        <w:jc w:val="center"/>
        <w:rPr>
          <w:rFonts w:ascii="Arial;Helvetica;sans-serif" w:hAnsi="Arial;Helvetica;sans-serif"/>
          <w:sz w:val="20"/>
        </w:rPr>
      </w:pPr>
      <w:r>
        <w:rPr>
          <w:rFonts w:ascii="Arial;Helvetica;sans-serif" w:hAnsi="Arial;Helvetica;sans-serif"/>
          <w:b/>
          <w:sz w:val="20"/>
        </w:rPr>
        <w:t>2025 PSU Earned Performance =</w:t>
      </w:r>
      <w:r>
        <w:rPr>
          <w:rFonts w:ascii="Arial;Helvetica;sans-serif" w:hAnsi="Arial;Helvetica;sans-serif"/>
          <w:sz w:val="20"/>
        </w:rPr>
        <w:t xml:space="preserve"> </w:t>
      </w:r>
      <w:r>
        <w:rPr>
          <w:rFonts w:ascii="Arial;Helvetica;sans-serif" w:hAnsi="Arial;Helvetica;sans-serif"/>
          <w:i/>
          <w:sz w:val="20"/>
        </w:rPr>
        <w:t>Company Free Cash Flow Performance + TSR Performance Modifier</w:t>
      </w:r>
    </w:p>
    <w:p>
      <w:pPr>
        <w:pStyle w:val="TextBody"/>
        <w:bidi w:val="0"/>
        <w:spacing w:lineRule="auto" w:line="285" w:before="0" w:after="0"/>
        <w:ind w:left="0" w:right="0" w:hanging="0"/>
        <w:jc w:val="left"/>
        <w:rPr/>
      </w:pPr>
      <w:r>
        <w:rPr/>
        <w:t>​</w:t>
      </w:r>
    </w:p>
    <w:p>
      <w:pPr>
        <w:pStyle w:val="TextBody"/>
        <w:bidi w:val="0"/>
        <w:spacing w:lineRule="auto" w:line="285" w:before="0" w:after="200"/>
        <w:ind w:left="0" w:right="0" w:hanging="0"/>
        <w:jc w:val="left"/>
        <w:rPr>
          <w:rFonts w:ascii="Arial;Helvetica;sans-serif" w:hAnsi="Arial;Helvetica;sans-serif"/>
          <w:sz w:val="20"/>
        </w:rPr>
      </w:pPr>
      <w:r>
        <w:rPr>
          <w:rFonts w:ascii="Arial;Helvetica;sans-serif" w:hAnsi="Arial;Helvetica;sans-serif"/>
          <w:sz w:val="20"/>
        </w:rPr>
        <w:t>Cumulative 2025 PSU achievement ranges between 0% and 200% and is calculated by combining the Free Cash Flow Performance and Total Shareholder Return Performance Modifier.</w:t>
      </w:r>
    </w:p>
    <w:p>
      <w:pPr>
        <w:pStyle w:val="TextBody"/>
        <w:bidi w:val="0"/>
        <w:spacing w:lineRule="auto" w:line="285" w:before="0" w:after="200"/>
        <w:ind w:left="0" w:right="0" w:hanging="0"/>
        <w:jc w:val="left"/>
        <w:rPr>
          <w:rFonts w:ascii="Arial;Helvetica;sans-serif" w:hAnsi="Arial;Helvetica;sans-serif"/>
          <w:sz w:val="20"/>
        </w:rPr>
      </w:pPr>
      <w:r>
        <w:rPr>
          <w:rFonts w:ascii="Arial;Helvetica;sans-serif" w:hAnsi="Arial;Helvetica;sans-serif"/>
          <w:sz w:val="20"/>
        </w:rPr>
        <w:t>Additionally, the Committee has applied a price cap such that if the fair market value of a share exceeds $20 on the date the Committee makes a determination with respect to achievement of TSR performance over the performance cycle (such date being the “determination date”), the number of PSUs that would have been earned will be reduced by multiplying such number of PSUs by a fraction, the numerator of which is $20 and the denominator of which is the fair market value of a share on the determination date. The Committee set this price cap to prevent an unintended compensation windfall in a recovering market.</w:t>
      </w:r>
    </w:p>
    <w:p>
      <w:pPr>
        <w:pStyle w:val="TextBody"/>
        <w:bidi w:val="0"/>
        <w:spacing w:lineRule="auto" w:line="285" w:before="0" w:after="200"/>
        <w:ind w:left="0" w:right="0" w:hanging="0"/>
        <w:jc w:val="left"/>
        <w:rPr>
          <w:rFonts w:ascii="Arial;Helvetica;sans-serif" w:hAnsi="Arial;Helvetica;sans-serif"/>
          <w:sz w:val="20"/>
        </w:rPr>
      </w:pPr>
      <w:r>
        <w:rPr>
          <w:rFonts w:ascii="Arial;Helvetica;sans-serif" w:hAnsi="Arial;Helvetica;sans-serif"/>
          <w:sz w:val="20"/>
        </w:rPr>
        <w:t>Upon completion of the 2025-2027 PSU performance cycle, the Committee will determine final payout levels, if any, and shares will be distributed to the Named Executive Officers, along with a cash payment equal to any dividends or equivalents for earned shares that may have accrued during the performance cycle.</w:t>
      </w:r>
    </w:p>
    <w:p>
      <w:pPr>
        <w:pStyle w:val="TextBody"/>
        <w:bidi w:val="0"/>
        <w:spacing w:lineRule="auto" w:line="285" w:before="0" w:after="200"/>
        <w:ind w:left="0" w:right="0" w:hanging="0"/>
        <w:jc w:val="left"/>
        <w:rPr>
          <w:rFonts w:ascii="Arial;Helvetica;sans-serif" w:hAnsi="Arial;Helvetica;sans-serif"/>
          <w:sz w:val="20"/>
        </w:rPr>
      </w:pPr>
      <w:r>
        <w:rPr>
          <w:rFonts w:ascii="Arial;Helvetica;sans-serif" w:hAnsi="Arial;Helvetica;sans-serif"/>
          <w:sz w:val="20"/>
        </w:rPr>
        <w:t>The 2026 PSU grant, like the 2025 award, is based on Company Free Cash Flow and Relative TSR performance.</w:t>
      </w:r>
    </w:p>
    <w:p>
      <w:pPr>
        <w:pStyle w:val="TextBody"/>
        <w:bidi w:val="0"/>
        <w:spacing w:lineRule="auto" w:line="285" w:before="0" w:after="240"/>
        <w:ind w:left="0" w:right="0" w:hanging="0"/>
        <w:jc w:val="both"/>
        <w:rPr>
          <w:rFonts w:ascii="Arial;Helvetica;sans-serif" w:hAnsi="Arial;Helvetica;sans-serif"/>
          <w:b/>
          <w:sz w:val="24"/>
        </w:rPr>
      </w:pPr>
      <w:r>
        <w:rPr>
          <w:rFonts w:ascii="Arial;Helvetica;sans-serif" w:hAnsi="Arial;Helvetica;sans-serif"/>
          <w:b/>
          <w:sz w:val="24"/>
        </w:rPr>
        <w:t>RESTRICTED SHARE UNITS (“RSU”)</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target award value of the 2025 RSU grants to each of the Named Executive Officers was weighted at 50% of each officer’s total 2025 LTI target award value.</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P-91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4486"/>
        <w:gridCol w:w="154"/>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448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COMPENSATION DISCUSSION AND ANALYSIS</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rial;Helvetica;sans-serif" w:hAnsi="Arial;Helvetica;sans-serif"/>
          <w:sz w:val="20"/>
        </w:rPr>
      </w:pPr>
      <w:r>
        <w:rPr>
          <w:rFonts w:ascii="Arial;Helvetica;sans-serif" w:hAnsi="Arial;Helvetica;sans-serif"/>
          <w:sz w:val="20"/>
        </w:rPr>
        <w:t>Time-vested RSUs were granted to all Named Executive Officers as part of the 2025 annual long-term incentive grants. Each RSU represents one share and the RSUs vest over a three-year schedule (ratably one-third each year), contingent upon continued service.</w:t>
      </w:r>
    </w:p>
    <w:p>
      <w:pPr>
        <w:pStyle w:val="TextBody"/>
        <w:bidi w:val="0"/>
        <w:spacing w:lineRule="auto" w:line="285" w:before="0" w:after="240"/>
        <w:ind w:left="0" w:right="0" w:hanging="0"/>
        <w:jc w:val="both"/>
        <w:rPr>
          <w:rFonts w:ascii="Arial;Helvetica;sans-serif" w:hAnsi="Arial;Helvetica;sans-serif"/>
          <w:b/>
          <w:sz w:val="24"/>
        </w:rPr>
      </w:pPr>
      <w:r>
        <w:rPr>
          <w:rFonts w:ascii="Arial;Helvetica;sans-serif" w:hAnsi="Arial;Helvetica;sans-serif"/>
          <w:b/>
          <w:sz w:val="24"/>
        </w:rPr>
        <w:t>PSUs EARNED IN 2025</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2023 PSU award achievement is based on the Company’s TSR performance relative to a group of 14 industry peer companies measured over three, one-year performance periods weighted 20% each, and one, three-year performance period weighted 40%. At the completion of each performance period, the Committee evaluated the Company’s performance relative to the peer group established for the 2023 PSU award. In 2026, following the completion of the final performance period, the Committee confirmed cumulative performance achievement at 62.48% of target, based on performance for each relevant period as follows:</w:t>
      </w:r>
    </w:p>
    <w:tbl>
      <w:tblPr>
        <w:tblW w:w="7325" w:type="dxa"/>
        <w:jc w:val="left"/>
        <w:tblInd w:w="0" w:type="dxa"/>
        <w:tblLayout w:type="fixed"/>
        <w:tblCellMar>
          <w:top w:w="0" w:type="dxa"/>
          <w:left w:w="0" w:type="dxa"/>
          <w:bottom w:w="0" w:type="dxa"/>
          <w:right w:w="0" w:type="dxa"/>
        </w:tblCellMar>
      </w:tblPr>
      <w:tblGrid>
        <w:gridCol w:w="3481"/>
        <w:gridCol w:w="346"/>
        <w:gridCol w:w="871"/>
        <w:gridCol w:w="346"/>
        <w:gridCol w:w="2281"/>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210435" cy="175260"/>
                      <wp:effectExtent l="0" t="0" r="0" b="0"/>
                      <wp:wrapNone/>
                      <wp:docPr id="247" name="Frame122"/>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48"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53085" cy="175260"/>
                      <wp:effectExtent l="0" t="0" r="0" b="0"/>
                      <wp:wrapNone/>
                      <wp:docPr id="249" name="Frame12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0"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448435" cy="175260"/>
                      <wp:effectExtent l="0" t="0" r="0" b="0"/>
                      <wp:wrapNone/>
                      <wp:docPr id="251" name="Frame126"/>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3481"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sz w:val="20"/>
              </w:rPr>
            </w:pPr>
            <w:r>
              <w:rPr>
                <w:rFonts w:ascii="Arial;Helvetica;sans-serif" w:hAnsi="Arial;Helvetica;sans-serif"/>
                <w:b/>
                <w:sz w:val="20"/>
              </w:rPr>
              <w:t>Performance Period</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  ​ ​ ​</w:t>
            </w:r>
          </w:p>
        </w:tc>
        <w:tc>
          <w:tcPr>
            <w:tcW w:w="87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Result</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pPr>
            <w:r>
              <w:rPr/>
              <w:t>  ​ ​ ​</w:t>
            </w:r>
          </w:p>
        </w:tc>
        <w:tc>
          <w:tcPr>
            <w:tcW w:w="228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Weighted Achievement</w:t>
            </w:r>
          </w:p>
        </w:tc>
      </w:tr>
      <w:tr>
        <w:trPr/>
        <w:tc>
          <w:tcPr>
            <w:tcW w:w="348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12-months, ending December 31, 2023</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189.29%</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28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37.86%</w:t>
            </w:r>
          </w:p>
        </w:tc>
      </w:tr>
      <w:tr>
        <w:trPr/>
        <w:tc>
          <w:tcPr>
            <w:tcW w:w="348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12-months, ending December 31, 2024</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0.00%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8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0.00%</w:t>
            </w:r>
          </w:p>
        </w:tc>
      </w:tr>
      <w:tr>
        <w:trPr/>
        <w:tc>
          <w:tcPr>
            <w:tcW w:w="348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12-months, ending December 31, 2025</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0.00%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8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0.00%</w:t>
            </w:r>
          </w:p>
        </w:tc>
      </w:tr>
      <w:tr>
        <w:trPr/>
        <w:tc>
          <w:tcPr>
            <w:tcW w:w="348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36-months, ending December 31, 2025</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7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61.54%</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8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24.62%</w:t>
            </w:r>
          </w:p>
        </w:tc>
      </w:tr>
      <w:tr>
        <w:trPr/>
        <w:tc>
          <w:tcPr>
            <w:tcW w:w="4698" w:type="dxa"/>
            <w:gridSpan w:val="3"/>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Cumulative Performance Achievement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281" w:type="dxa"/>
            <w:tcBorders>
              <w:bottom w:val="single" w:sz="2" w:space="0" w:color="D9D9D9"/>
            </w:tcBorders>
            <w:tcMar>
              <w:bottom w:w="28" w:type="dxa"/>
            </w:tcMar>
            <w:vAlign w:val="center"/>
          </w:tcPr>
          <w:p>
            <w:pPr>
              <w:pStyle w:val="TableContents"/>
              <w:bidi w:val="0"/>
              <w:spacing w:lineRule="auto" w:line="285" w:before="0" w:after="0"/>
              <w:ind w:left="0" w:right="670" w:hanging="0"/>
              <w:jc w:val="right"/>
              <w:rPr>
                <w:rFonts w:ascii="Arial;Helvetica;sans-serif" w:hAnsi="Arial;Helvetica;sans-serif"/>
                <w:sz w:val="20"/>
              </w:rPr>
            </w:pPr>
            <w:r>
              <w:rPr>
                <w:rFonts w:ascii="Arial;Helvetica;sans-serif" w:hAnsi="Arial;Helvetica;sans-serif"/>
                <w:sz w:val="20"/>
              </w:rPr>
              <w:t>62.48%</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exhibit below illustrates the estimated 38% realized value of the CEO’s 2023 PSU award at 62.48% achieved performance, relative to the expected target value at grant.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pPr>
      <w:r>
        <w:rPr/>
        <w:drawing>
          <wp:inline distT="0" distB="0" distL="0" distR="0">
            <wp:extent cx="2880360" cy="2038350"/>
            <wp:effectExtent l="0" t="0" r="0" b="0"/>
            <wp:docPr id="252"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26" descr=""/>
                    <pic:cNvPicPr>
                      <a:picLocks noChangeAspect="1" noChangeArrowheads="1"/>
                    </pic:cNvPicPr>
                  </pic:nvPicPr>
                  <pic:blipFill>
                    <a:blip r:embed="rId127"/>
                    <a:stretch>
                      <a:fillRect/>
                    </a:stretch>
                  </pic:blipFill>
                  <pic:spPr bwMode="auto">
                    <a:xfrm>
                      <a:off x="0" y="0"/>
                      <a:ext cx="2880360" cy="2038350"/>
                    </a:xfrm>
                    <a:prstGeom prst="rect">
                      <a:avLst/>
                    </a:prstGeom>
                  </pic:spPr>
                </pic:pic>
              </a:graphicData>
            </a:graphic>
          </wp:inline>
        </w:drawing>
      </w:r>
    </w:p>
    <w:p>
      <w:pPr>
        <w:pStyle w:val="TextBody"/>
        <w:bidi w:val="0"/>
        <w:spacing w:lineRule="auto" w:line="285" w:before="0" w:after="0"/>
        <w:ind w:left="0" w:right="0" w:hanging="0"/>
        <w:jc w:val="left"/>
        <w:rPr>
          <w:color w:val="ECA44A"/>
        </w:rPr>
      </w:pPr>
      <w:r>
        <w:rPr>
          <w:color w:val="ECA44A"/>
        </w:rPr>
        <w:t>​</w:t>
      </w:r>
    </w:p>
    <w:p>
      <w:pPr>
        <w:pStyle w:val="TextBody"/>
        <w:bidi w:val="0"/>
        <w:spacing w:lineRule="auto" w:line="285" w:before="200" w:after="240"/>
        <w:ind w:left="0" w:right="0" w:hanging="0"/>
        <w:jc w:val="both"/>
        <w:rPr>
          <w:rFonts w:ascii="Arial;Helvetica;sans-serif" w:hAnsi="Arial;Helvetica;sans-serif"/>
          <w:b/>
          <w:color w:val="ECA44A"/>
          <w:sz w:val="28"/>
        </w:rPr>
      </w:pPr>
      <w:r>
        <w:rPr>
          <w:rFonts w:ascii="Arial;Helvetica;sans-serif" w:hAnsi="Arial;Helvetica;sans-serif"/>
          <w:b/>
          <w:color w:val="ECA44A"/>
          <w:sz w:val="28"/>
        </w:rPr>
        <w:t>2025 Named Executive Officer Transitions</w:t>
      </w:r>
    </w:p>
    <w:p>
      <w:pPr>
        <w:pStyle w:val="TextBody"/>
        <w:bidi w:val="0"/>
        <w:spacing w:lineRule="auto" w:line="285" w:before="0" w:after="240"/>
        <w:ind w:left="0" w:right="0" w:hanging="0"/>
        <w:jc w:val="both"/>
        <w:rPr>
          <w:rFonts w:ascii="Arial;Helvetica;sans-serif" w:hAnsi="Arial;Helvetica;sans-serif"/>
          <w:b/>
          <w:color w:val="00556F"/>
          <w:sz w:val="20"/>
        </w:rPr>
      </w:pPr>
      <w:r>
        <w:rPr>
          <w:rFonts w:ascii="Arial;Helvetica;sans-serif" w:hAnsi="Arial;Helvetica;sans-serif"/>
          <w:b/>
          <w:color w:val="00556F"/>
          <w:sz w:val="20"/>
        </w:rPr>
        <w:t xml:space="preserve">Developing and retaining key executive talent is critical to the Company’s current and future financial performance and success. The Board monitors and plans for succession of key executive roles taking into consideration prior performance and future potential. </w:t>
      </w:r>
    </w:p>
    <w:p>
      <w:pPr>
        <w:pStyle w:val="TextBody"/>
        <w:bidi w:val="0"/>
        <w:spacing w:lineRule="auto" w:line="285" w:before="0" w:after="240"/>
        <w:ind w:left="0" w:right="0" w:hanging="0"/>
        <w:jc w:val="both"/>
        <w:rPr>
          <w:rFonts w:ascii="Arial;Helvetica;sans-serif" w:hAnsi="Arial;Helvetica;sans-serif"/>
          <w:sz w:val="20"/>
        </w:rPr>
      </w:pPr>
      <w:r>
        <w:rPr>
          <w:rFonts w:ascii="Arial;Helvetica;sans-serif" w:hAnsi="Arial;Helvetica;sans-serif"/>
          <w:sz w:val="20"/>
        </w:rPr>
        <w:t xml:space="preserve">Pursuant to the Company’s multi-year succession planning strategy, in April 2025, the Company confirmed the transition of the role of Chief Executive Officer from Mr. Jeremy Thigpen to Mr. Keelan Adamson, such transition was completed on May 1, 2025. Following shareholder approval at the May 2025 Annual General Meeting, Mr. Thigpen was elected Executive Chair of the Board. </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In the role of Executive Chair, Mr. Thigpen remains a member of the Executive Management Team and continues to serve an integral role in providing long-term strategic direction to the Company. Mr. Thigpen’s responsibilities include ensuring effective governance at the Board level, supporting the CEO, providing </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P-92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124"/>
        <w:gridCol w:w="4516"/>
      </w:tblGrid>
      <w:tr>
        <w:trPr/>
        <w:tc>
          <w:tcPr>
            <w:tcW w:w="124" w:type="dxa"/>
            <w:tcBorders/>
            <w:vAlign w:val="center"/>
          </w:tcPr>
          <w:p>
            <w:pPr>
              <w:pStyle w:val="TableContents"/>
              <w:bidi w:val="0"/>
              <w:spacing w:lineRule="auto" w:line="285" w:before="0" w:after="0"/>
              <w:ind w:left="0" w:right="0" w:hanging="0"/>
              <w:jc w:val="both"/>
              <w:rPr/>
            </w:pPr>
            <w:r>
              <w:rPr/>
              <w:t>​</w:t>
            </w:r>
          </w:p>
        </w:tc>
        <w:tc>
          <w:tcPr>
            <w:tcW w:w="45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451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COMPENSATION DISCUSSION AND ANALYSIS</w:t>
            </w:r>
          </w:p>
        </w:tc>
      </w:tr>
    </w:tbl>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rial;Helvetica;sans-serif" w:hAnsi="Arial;Helvetica;sans-serif"/>
          <w:sz w:val="20"/>
        </w:rPr>
      </w:pPr>
      <w:r>
        <w:rPr>
          <w:rFonts w:ascii="Arial;Helvetica;sans-serif" w:hAnsi="Arial;Helvetica;sans-serif"/>
          <w:sz w:val="20"/>
        </w:rPr>
        <w:t>outreach to investors and major customers when appropriate, and providing strategic oversight of corporate transactions and government relations.</w:t>
      </w:r>
    </w:p>
    <w:p>
      <w:pPr>
        <w:pStyle w:val="TextBody"/>
        <w:bidi w:val="0"/>
        <w:spacing w:lineRule="auto" w:line="285" w:before="0" w:after="240"/>
        <w:ind w:left="0" w:right="0" w:hanging="0"/>
        <w:jc w:val="both"/>
        <w:rPr>
          <w:rFonts w:ascii="Arial;Helvetica;sans-serif" w:hAnsi="Arial;Helvetica;sans-serif"/>
          <w:b/>
          <w:sz w:val="20"/>
        </w:rPr>
      </w:pPr>
      <w:r>
        <w:rPr>
          <w:rFonts w:ascii="Arial;Helvetica;sans-serif" w:hAnsi="Arial;Helvetica;sans-serif"/>
          <w:b/>
          <w:sz w:val="20"/>
        </w:rPr>
        <w:t>CEO Compensation Decisions</w:t>
      </w:r>
    </w:p>
    <w:p>
      <w:pPr>
        <w:pStyle w:val="TextBody"/>
        <w:bidi w:val="0"/>
        <w:spacing w:lineRule="auto" w:line="285" w:before="0" w:after="240"/>
        <w:ind w:left="0" w:right="0" w:hanging="0"/>
        <w:jc w:val="both"/>
        <w:rPr>
          <w:rFonts w:ascii="Arial;Helvetica;sans-serif" w:hAnsi="Arial;Helvetica;sans-serif"/>
          <w:sz w:val="20"/>
        </w:rPr>
      </w:pPr>
      <w:r>
        <w:rPr>
          <w:rFonts w:ascii="Arial;Helvetica;sans-serif" w:hAnsi="Arial;Helvetica;sans-serif"/>
          <w:sz w:val="20"/>
        </w:rPr>
        <w:t xml:space="preserve">With support from its independent advisor, and considering factors such as CEO market compensation among peer companies, company tenure and industry experience, upon Mr. Adamson’s promotion to CEO, the Compensation Committee approved a promotional compensation package comprised of (a) base salary of $1,000,000, (b) a target annual incentive opportunity of 130%, and (c) an incremental, promotional long-term incentive award in the value of $2,410,000 based on the compensation target associated with his new position and pro-rated for the portion of the year following his promotion (delivered 50% in RSUs, 50% in PSUs). Mr. Adamson’s initial full-year CEO Target Total Compensation will be $9,300,000, approximately 13% below the value provided to the Company’s previous CEO and below the median of the Compensation Peer Group CEOs. Please refer to the Summary Compensation Table for a description of the 2025 compensation earned by Mr. Adamson. </w:t>
      </w:r>
    </w:p>
    <w:p>
      <w:pPr>
        <w:pStyle w:val="TextBody"/>
        <w:bidi w:val="0"/>
        <w:spacing w:lineRule="auto" w:line="285" w:before="0" w:after="240"/>
        <w:ind w:left="0" w:right="0" w:hanging="0"/>
        <w:jc w:val="both"/>
        <w:rPr>
          <w:rFonts w:ascii="Arial;Helvetica;sans-serif" w:hAnsi="Arial;Helvetica;sans-serif"/>
          <w:b/>
          <w:sz w:val="20"/>
        </w:rPr>
      </w:pPr>
      <w:r>
        <w:rPr>
          <w:rFonts w:ascii="Arial;Helvetica;sans-serif" w:hAnsi="Arial;Helvetica;sans-serif"/>
          <w:b/>
          <w:sz w:val="20"/>
        </w:rPr>
        <w:t>Executive Chair Transition Year</w:t>
      </w:r>
    </w:p>
    <w:p>
      <w:pPr>
        <w:pStyle w:val="TextBody"/>
        <w:bidi w:val="0"/>
        <w:spacing w:lineRule="auto" w:line="285" w:before="0" w:after="240"/>
        <w:ind w:left="0" w:right="0" w:hanging="0"/>
        <w:jc w:val="both"/>
        <w:rPr>
          <w:rFonts w:ascii="Arial;Helvetica;sans-serif" w:hAnsi="Arial;Helvetica;sans-serif"/>
          <w:sz w:val="20"/>
        </w:rPr>
      </w:pPr>
      <w:r>
        <w:rPr>
          <w:rFonts w:ascii="Arial;Helvetica;sans-serif" w:hAnsi="Arial;Helvetica;sans-serif"/>
          <w:sz w:val="20"/>
        </w:rPr>
        <w:t xml:space="preserve">In 2025 Mr. Thigpen received compensation for his role as CEO through April 30, 2025, and his role as Executive Chair for the remainder of the year. As previously disclosed, in April 2025, Mr. Thigpen entered into a new Employment Agreement (“Executive Chair Agreement”) which complies with the requirements of the Swiss Code and incorporates the 12-month notice period compensation to which he was entitled under his then-current 2015 CEO employment agreement (“Previous Agreement”) and in accordance with the Company’s Articles of Association. Pursuant to Mr. Thigpen’s Previous Agreement and maintained in his 2025 Executive Chair Agreement, for continued service for one year (beginning May 1, 2025, through May 1, 2026) he is entitled to an aggregate amount of $2,702,500, which is equivalent to one-year base salary and one-year target bonus. Further, Mr. Thigpen is eligible for a pro-rated bonus at actual performance achievement under the annual performance bonus plan for his service while CEO from January 1, 2025, through April 30, 2025. Following the one-year period ending May 1, 2026, Mr. Thigpen’s compensation will be determined by the Committee using relevant executive chair market data. Please refer to the Summary Compensation Table for a description of the 2025 compensation earned by Mr. Thigpen. </w:t>
      </w:r>
    </w:p>
    <w:p>
      <w:pPr>
        <w:pStyle w:val="TextBody"/>
        <w:bidi w:val="0"/>
        <w:spacing w:lineRule="auto" w:line="285" w:before="0" w:after="120"/>
        <w:ind w:left="0" w:right="0" w:hanging="0"/>
        <w:jc w:val="both"/>
        <w:rPr>
          <w:rFonts w:ascii="Arial;Helvetica;sans-serif" w:hAnsi="Arial;Helvetica;sans-serif"/>
          <w:b/>
          <w:color w:val="ECA44A"/>
          <w:sz w:val="28"/>
        </w:rPr>
      </w:pPr>
      <w:r>
        <w:rPr>
          <w:rFonts w:ascii="Arial;Helvetica;sans-serif" w:hAnsi="Arial;Helvetica;sans-serif"/>
          <w:b/>
          <w:color w:val="ECA44A"/>
          <w:sz w:val="28"/>
        </w:rPr>
        <w:t>EMPLOYMENT AGREEMENTS WITH NAMED EXECUTIVE OFFICERS</w:t>
      </w:r>
    </w:p>
    <w:p>
      <w:pPr>
        <w:pStyle w:val="TextBody"/>
        <w:bidi w:val="0"/>
        <w:spacing w:lineRule="auto" w:line="285" w:before="0" w:after="240"/>
        <w:ind w:left="0" w:right="0" w:hanging="0"/>
        <w:jc w:val="both"/>
        <w:rPr>
          <w:rFonts w:ascii="Arial;Helvetica;sans-serif" w:hAnsi="Arial;Helvetica;sans-serif"/>
          <w:sz w:val="20"/>
        </w:rPr>
      </w:pPr>
      <w:r>
        <w:rPr>
          <w:rFonts w:ascii="Arial;Helvetica;sans-serif" w:hAnsi="Arial;Helvetica;sans-serif"/>
          <w:sz w:val="20"/>
        </w:rPr>
        <w:t>Employment agreements with our Executive Management Team comply with the Swiss Code, which prohibits the payment of severance benefits to members of the Executive Management Team. Other than the individual compensation terms applicable for each executive, the same basic form of employment agreement was used for Named Executive Officers with agreements.</w:t>
      </w:r>
    </w:p>
    <w:p>
      <w:pPr>
        <w:pStyle w:val="TextBody"/>
        <w:bidi w:val="0"/>
        <w:spacing w:lineRule="auto" w:line="285" w:before="0" w:after="120"/>
        <w:ind w:left="0" w:right="0" w:hanging="0"/>
        <w:jc w:val="both"/>
        <w:rPr>
          <w:rFonts w:ascii="Arial;Helvetica;sans-serif" w:hAnsi="Arial;Helvetica;sans-serif"/>
          <w:b/>
          <w:color w:val="ECA44A"/>
          <w:sz w:val="28"/>
        </w:rPr>
      </w:pPr>
      <w:r>
        <w:rPr>
          <w:rFonts w:ascii="Arial;Helvetica;sans-serif" w:hAnsi="Arial;Helvetica;sans-serif"/>
          <w:b/>
          <w:color w:val="ECA44A"/>
          <w:sz w:val="28"/>
        </w:rPr>
        <w:t>INDIRECT COMPENSATION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 addition to base salary, annual and long-term incentive compensation, we offer limited indirect compensatory arrangements to our executives. These indirect elements of executive compensation are not performance-based and are offered as part of the overall compensation package to ensure that the package is competitive with other companies with which we compete for talent. Below is a summary of the indirect elements of compensation for our Named Executive Officers.</w:t>
      </w:r>
    </w:p>
    <w:p>
      <w:pPr>
        <w:pStyle w:val="TextBody"/>
        <w:bidi w:val="0"/>
        <w:spacing w:lineRule="auto" w:line="285" w:before="0" w:after="120"/>
        <w:ind w:left="0" w:right="0" w:hanging="0"/>
        <w:jc w:val="both"/>
        <w:rPr>
          <w:rFonts w:ascii="Arial;Helvetica;sans-serif" w:hAnsi="Arial;Helvetica;sans-serif"/>
          <w:b/>
          <w:sz w:val="24"/>
        </w:rPr>
      </w:pPr>
      <w:r>
        <w:rPr>
          <w:rFonts w:ascii="Arial;Helvetica;sans-serif" w:hAnsi="Arial;Helvetica;sans-serif"/>
          <w:b/>
          <w:sz w:val="24"/>
        </w:rPr>
        <w:t>HEALTH, WELFARE AND RETIREMENT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Our Named Executive Officers are eligible for Company-wide benefits on substantially the same basis as other full-time employees, including savings, pension, medical and life insurance benefits. Our Named Executive Officers also receive a supplemental life insurance benefit equal to four times base salary capped at a maximum of $4 million. In addition, we make a supplemental non-qualified defined contribution restoration plan available to employees (including the Named Executive Officers) to compensate for benefits that are capped due to U.S. Internal Revenue Service limits on qualified retirement plans.</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P-93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4486"/>
        <w:gridCol w:w="154"/>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448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COMPENSATION DISCUSSION AND ANALYSIS</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b/>
          <w:sz w:val="24"/>
        </w:rPr>
      </w:pPr>
      <w:r>
        <w:rPr>
          <w:rFonts w:ascii="Arial;Helvetica;sans-serif" w:hAnsi="Arial;Helvetica;sans-serif"/>
          <w:b/>
          <w:sz w:val="24"/>
        </w:rPr>
        <w:t>PERQUISITES</w:t>
      </w:r>
    </w:p>
    <w:p>
      <w:pPr>
        <w:pStyle w:val="TextBody"/>
        <w:bidi w:val="0"/>
        <w:spacing w:lineRule="auto" w:line="285" w:before="0" w:after="240"/>
        <w:ind w:left="0" w:right="0" w:hanging="0"/>
        <w:jc w:val="both"/>
        <w:rPr>
          <w:rFonts w:ascii="Arial;Helvetica;sans-serif" w:hAnsi="Arial;Helvetica;sans-serif"/>
          <w:sz w:val="20"/>
        </w:rPr>
      </w:pPr>
      <w:r>
        <w:rPr>
          <w:rFonts w:ascii="Arial;Helvetica;sans-serif" w:hAnsi="Arial;Helvetica;sans-serif"/>
          <w:sz w:val="20"/>
        </w:rPr>
        <w:t>The Committee eliminated all executive perquisites for our Named Executive Officers, effective January 1, 2017. As a result, none of our Named Executive Officers received perquisites in 2025.</w:t>
      </w:r>
    </w:p>
    <w:p>
      <w:pPr>
        <w:pStyle w:val="TextBody"/>
        <w:bidi w:val="0"/>
        <w:spacing w:lineRule="auto" w:line="285" w:before="0" w:after="120"/>
        <w:ind w:left="0" w:right="0" w:hanging="0"/>
        <w:jc w:val="both"/>
        <w:rPr>
          <w:rFonts w:ascii="Arial;Helvetica;sans-serif" w:hAnsi="Arial;Helvetica;sans-serif"/>
          <w:b/>
          <w:color w:val="ECA44A"/>
          <w:sz w:val="28"/>
        </w:rPr>
      </w:pPr>
      <w:r>
        <w:rPr>
          <w:rFonts w:ascii="Arial;Helvetica;sans-serif" w:hAnsi="Arial;Helvetica;sans-serif"/>
          <w:b/>
          <w:color w:val="ECA44A"/>
          <w:sz w:val="28"/>
        </w:rPr>
        <w:t>POST-EMPLOYMENT COMPENSATION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 xml:space="preserve">The competitive marketplace for executive talent and our desire to retain our Executive Officers require us, subject to compliance with applicable law, to provide our Executive Officers with a severance package. Each of our Executive Officers who are not members of our Executive Management Team is eligible to receive severance benefits in the event the Company chooses to terminate the Executive Officer without cause or the Executive Officer voluntarily terminates employment for good reason (both referred to as a “qualifying termination”). Subject to the Committee’s approval, the benefits provided in the event of a qualifying termination under the terms of our Executive Severance Benefit Policy include a cash severance benefit limited to one year of base salary; a pro rata share of the termination year’s award under the Bonus Plan for such executive; treatment of outstanding long-term incentive awards as provided for in the terms and conditions of each award (as more fully described under “Executive Compensation—Potential Payments Upon Termination or Change of Control”); and outplacement services not to exceed 5% of the base salary of the executive. In 2024, the policy was updated to increase the amount of the cash severance benefit to Executive Officers reporting directly to the Chief Executive Officer to two times base salary in the event of a qualifying termination that occurs 30 days prior to or 24 months following a change of control. </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interests of our shareholders are served by including a double-trigger change-in-control provision in the Bonus Plan and the Long-Term Incentive Plan for Named Executive Officers who would be integral to the success of, and are most likely to be impacted by, a change of control of the Company. By requiring two triggering events to occur, those Executive Officers who remain with the Company through a change of control will be appropriately focused on the success of the combined enterprise while those who depart because of a change of control will be appropriately compensated. The types of payments that will be made to our executives, along with estimated values as of December 31, 2025, are described under “Executive Compensation-Potential Payments Upon Termination or Change of Control.”</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Committee periodically reviews severance packages offered to the Executive Officers that are not part of our Executive Management Team to ensure the benefits are aligned with prevailing market practices. For a Named Executive Officer to receive the benefits described above, the Named Executive Officer must first sign a release of all claims against the Company and enter into a legally compliant non-competition, non-solicitation, and confidentiality agreement covering our trade secrets and proprietary information.</w:t>
      </w:r>
    </w:p>
    <w:p>
      <w:pPr>
        <w:pStyle w:val="TextBody"/>
        <w:bidi w:val="0"/>
        <w:spacing w:lineRule="auto" w:line="285" w:before="0" w:after="240"/>
        <w:ind w:left="0" w:right="0" w:hanging="0"/>
        <w:jc w:val="both"/>
        <w:rPr>
          <w:rFonts w:ascii="Arial;Helvetica;sans-serif" w:hAnsi="Arial;Helvetica;sans-serif"/>
          <w:sz w:val="20"/>
        </w:rPr>
      </w:pPr>
      <w:r>
        <w:rPr>
          <w:rFonts w:ascii="Arial;Helvetica;sans-serif" w:hAnsi="Arial;Helvetica;sans-serif"/>
          <w:sz w:val="20"/>
        </w:rPr>
        <w:t>The Swiss Code prohibits certain types of compensation payments to members of the Executive Management Team, including severance payments in any form. Therefore, members of the Executive Management Team are not eligible to participate in the Executive Severance Benefit Policy.</w:t>
      </w:r>
    </w:p>
    <w:p>
      <w:pPr>
        <w:pStyle w:val="TextBody"/>
        <w:bidi w:val="0"/>
        <w:spacing w:lineRule="auto" w:line="285" w:before="0" w:after="120"/>
        <w:ind w:left="0" w:right="0" w:hanging="0"/>
        <w:jc w:val="both"/>
        <w:rPr>
          <w:rFonts w:ascii="Arial;Helvetica;sans-serif" w:hAnsi="Arial;Helvetica;sans-serif"/>
          <w:sz w:val="32"/>
        </w:rPr>
      </w:pPr>
      <w:bookmarkStart w:id="147" w:name="ECGPP"/>
      <w:bookmarkEnd w:id="147"/>
      <w:r>
        <w:rPr>
          <w:rFonts w:ascii="Arial;Helvetica;sans-serif" w:hAnsi="Arial;Helvetica;sans-serif"/>
          <w:sz w:val="32"/>
        </w:rPr>
        <w:t>Executive Compensation Governance, Policy and Practice</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Committee is responsible for the executive compensation program design and decision-making process. The Committee solicits input from independent members of the Board of Directors, the Chief Executive Officer, other members of management, and the independent compensation consultant to assist with its responsibilities. The following summarizes the roles of each of the key participants in the executive compensation decision-making process.</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P-94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124"/>
        <w:gridCol w:w="4516"/>
      </w:tblGrid>
      <w:tr>
        <w:trPr/>
        <w:tc>
          <w:tcPr>
            <w:tcW w:w="124" w:type="dxa"/>
            <w:tcBorders/>
            <w:vAlign w:val="center"/>
          </w:tcPr>
          <w:p>
            <w:pPr>
              <w:pStyle w:val="TableContents"/>
              <w:bidi w:val="0"/>
              <w:spacing w:lineRule="auto" w:line="285" w:before="0" w:after="0"/>
              <w:ind w:left="0" w:right="0" w:hanging="0"/>
              <w:jc w:val="both"/>
              <w:rPr/>
            </w:pPr>
            <w:r>
              <w:rPr/>
              <w:t>​</w:t>
            </w:r>
          </w:p>
        </w:tc>
        <w:tc>
          <w:tcPr>
            <w:tcW w:w="45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451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COMPENSATION DISCUSSION AND ANALYSIS</w:t>
            </w:r>
          </w:p>
        </w:tc>
      </w:tr>
    </w:tbl>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b/>
          <w:color w:val="ECA44A"/>
          <w:sz w:val="28"/>
        </w:rPr>
      </w:pPr>
      <w:r>
        <w:rPr>
          <w:rFonts w:ascii="Arial;Helvetica;sans-serif" w:hAnsi="Arial;Helvetica;sans-serif"/>
          <w:b/>
          <w:color w:val="ECA44A"/>
          <w:sz w:val="28"/>
        </w:rPr>
        <w:t>COMPENSATION COMMITTEE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Committee is composed solely of members of the Board of Directors who</w:t>
      </w:r>
    </w:p>
    <w:tbl>
      <w:tblPr>
        <w:tblW w:w="4026" w:type="dxa"/>
        <w:jc w:val="left"/>
        <w:tblInd w:w="0" w:type="dxa"/>
        <w:tblLayout w:type="fixed"/>
        <w:tblCellMar>
          <w:top w:w="28" w:type="dxa"/>
          <w:left w:w="28" w:type="dxa"/>
          <w:bottom w:w="28" w:type="dxa"/>
          <w:right w:w="28" w:type="dxa"/>
        </w:tblCellMar>
      </w:tblPr>
      <w:tblGrid>
        <w:gridCol w:w="124"/>
        <w:gridCol w:w="271"/>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w:t>
            </w:r>
          </w:p>
        </w:tc>
        <w:tc>
          <w:tcPr>
            <w:tcW w:w="36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are not employees of the Company, and</w:t>
            </w:r>
          </w:p>
        </w:tc>
      </w:tr>
    </w:tbl>
    <w:tbl>
      <w:tblPr>
        <w:tblW w:w="5016" w:type="dxa"/>
        <w:jc w:val="left"/>
        <w:tblInd w:w="0" w:type="dxa"/>
        <w:tblLayout w:type="fixed"/>
        <w:tblCellMar>
          <w:top w:w="28" w:type="dxa"/>
          <w:left w:w="28" w:type="dxa"/>
          <w:bottom w:w="28" w:type="dxa"/>
          <w:right w:w="28" w:type="dxa"/>
        </w:tblCellMar>
      </w:tblPr>
      <w:tblGrid>
        <w:gridCol w:w="124"/>
        <w:gridCol w:w="31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(ii)</w:t>
            </w:r>
          </w:p>
        </w:tc>
        <w:tc>
          <w:tcPr>
            <w:tcW w:w="45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meet the independence requirements of the NYSE.</w:t>
            </w:r>
          </w:p>
        </w:tc>
      </w:tr>
    </w:tbl>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Committee acts on behalf of our Board of Directors to establish the executive compensation philosophy and oversee our executive compensation and long-term incentive programs. Specifically, the Committee is responsible for:</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380" w:type="dxa"/>
            <w:gridSpan w:val="2"/>
            <w:tcBorders/>
            <w:vAlign w:val="center"/>
          </w:tcPr>
          <w:p>
            <w:pPr>
              <w:pStyle w:val="TableContents"/>
              <w:bidi w:val="0"/>
              <w:spacing w:lineRule="auto" w:line="285" w:before="0" w:after="0"/>
              <w:ind w:left="0" w:right="0" w:hanging="0"/>
              <w:jc w:val="both"/>
              <w:rPr/>
            </w:pPr>
            <w:r>
              <w:rPr/>
              <w:t>​</w:t>
            </w:r>
          </w:p>
        </w:tc>
        <w:tc>
          <w:tcPr>
            <w:tcW w:w="9825" w:type="dxa"/>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vAlign w:val="center"/>
          </w:tcPr>
          <w:p>
            <w:pPr>
              <w:pStyle w:val="TableContents"/>
              <w:bidi w:val="0"/>
              <w:spacing w:lineRule="auto" w:line="316" w:before="0" w:after="0"/>
              <w:ind w:left="0" w:right="0" w:hanging="0"/>
              <w:jc w:val="left"/>
              <w:rPr>
                <w:color w:val="005670"/>
              </w:rPr>
            </w:pPr>
            <w:r>
              <w:rPr>
                <w:color w:val="005670"/>
              </w:rPr>
              <w:t>■</w:t>
            </w:r>
          </w:p>
        </w:tc>
        <w:tc>
          <w:tcPr>
            <w:tcW w:w="9825" w:type="dxa"/>
            <w:tcBorders/>
            <w:vAlign w:val="center"/>
          </w:tcPr>
          <w:p>
            <w:pPr>
              <w:pStyle w:val="TableContents"/>
              <w:bidi w:val="0"/>
              <w:spacing w:lineRule="auto" w:line="285" w:before="0" w:after="100"/>
              <w:ind w:left="0" w:right="0" w:hanging="0"/>
              <w:jc w:val="both"/>
              <w:rPr>
                <w:rFonts w:ascii="Arial;Helvetica;sans-serif" w:hAnsi="Arial;Helvetica;sans-serif"/>
                <w:sz w:val="20"/>
              </w:rPr>
            </w:pPr>
            <w:r>
              <w:rPr>
                <w:rFonts w:ascii="Arial;Helvetica;sans-serif" w:hAnsi="Arial;Helvetica;sans-serif"/>
                <w:sz w:val="20"/>
              </w:rPr>
              <w:t>Reviewing and approving the target and actual compensation paid to, and the benefits received by, our Executive Officers;</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vAlign w:val="center"/>
          </w:tcPr>
          <w:p>
            <w:pPr>
              <w:pStyle w:val="TableContents"/>
              <w:bidi w:val="0"/>
              <w:spacing w:lineRule="auto" w:line="285" w:before="0" w:after="100"/>
              <w:ind w:left="0" w:right="0" w:hanging="0"/>
              <w:jc w:val="left"/>
              <w:rPr>
                <w:color w:val="005670"/>
              </w:rPr>
            </w:pPr>
            <w:r>
              <w:rPr>
                <w:color w:val="005670"/>
              </w:rPr>
              <w:t>■</w:t>
            </w:r>
          </w:p>
        </w:tc>
        <w:tc>
          <w:tcPr>
            <w:tcW w:w="9825" w:type="dxa"/>
            <w:tcBorders/>
            <w:vAlign w:val="center"/>
          </w:tcPr>
          <w:p>
            <w:pPr>
              <w:pStyle w:val="TableContents"/>
              <w:bidi w:val="0"/>
              <w:spacing w:lineRule="auto" w:line="285" w:before="0" w:after="100"/>
              <w:ind w:left="0" w:right="0" w:hanging="0"/>
              <w:jc w:val="both"/>
              <w:rPr>
                <w:rFonts w:ascii="Arial;Helvetica;sans-serif" w:hAnsi="Arial;Helvetica;sans-serif"/>
                <w:sz w:val="20"/>
              </w:rPr>
            </w:pPr>
            <w:r>
              <w:rPr>
                <w:rFonts w:ascii="Arial;Helvetica;sans-serif" w:hAnsi="Arial;Helvetica;sans-serif"/>
                <w:sz w:val="20"/>
              </w:rPr>
              <w:t>Recommending focus areas for our Chief Executive Officer for approval by the members of our Board of Directors who meet the independence and experience requirements set forth in the Committee charter;</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vAlign w:val="center"/>
          </w:tcPr>
          <w:p>
            <w:pPr>
              <w:pStyle w:val="TableContents"/>
              <w:bidi w:val="0"/>
              <w:spacing w:lineRule="auto" w:line="285" w:before="0" w:after="100"/>
              <w:ind w:left="0" w:right="0" w:hanging="0"/>
              <w:jc w:val="left"/>
              <w:rPr>
                <w:color w:val="005670"/>
              </w:rPr>
            </w:pPr>
            <w:r>
              <w:rPr>
                <w:color w:val="005670"/>
              </w:rPr>
              <w:t>■</w:t>
            </w:r>
          </w:p>
        </w:tc>
        <w:tc>
          <w:tcPr>
            <w:tcW w:w="9825" w:type="dxa"/>
            <w:tcBorders/>
            <w:vAlign w:val="center"/>
          </w:tcPr>
          <w:p>
            <w:pPr>
              <w:pStyle w:val="TableContents"/>
              <w:bidi w:val="0"/>
              <w:spacing w:lineRule="auto" w:line="285" w:before="0" w:after="100"/>
              <w:ind w:left="0" w:right="0" w:hanging="0"/>
              <w:jc w:val="both"/>
              <w:rPr>
                <w:rFonts w:ascii="Arial;Helvetica;sans-serif" w:hAnsi="Arial;Helvetica;sans-serif"/>
                <w:sz w:val="20"/>
              </w:rPr>
            </w:pPr>
            <w:r>
              <w:rPr>
                <w:rFonts w:ascii="Arial;Helvetica;sans-serif" w:hAnsi="Arial;Helvetica;sans-serif"/>
                <w:sz w:val="20"/>
              </w:rPr>
              <w:t>Evaluating all aspects of our Chief Executive Officer’s performance in light of these focus areas (with the participation of all non-executive members of the Board of Directors) and setting our Chief Executive Officer’s compensation based on this evaluation as well as a review of compensation practices in the competitive market;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vAlign w:val="center"/>
          </w:tcPr>
          <w:p>
            <w:pPr>
              <w:pStyle w:val="TableContents"/>
              <w:bidi w:val="0"/>
              <w:spacing w:lineRule="auto" w:line="285" w:before="0" w:after="100"/>
              <w:ind w:left="0" w:right="0" w:hanging="0"/>
              <w:jc w:val="left"/>
              <w:rPr>
                <w:color w:val="005670"/>
              </w:rPr>
            </w:pPr>
            <w:r>
              <w:rPr>
                <w:color w:val="005670"/>
              </w:rPr>
              <w:t>■</w:t>
            </w:r>
          </w:p>
        </w:tc>
        <w:tc>
          <w:tcPr>
            <w:tcW w:w="9825" w:type="dxa"/>
            <w:tcBorders/>
            <w:vAlign w:val="center"/>
          </w:tcPr>
          <w:p>
            <w:pPr>
              <w:pStyle w:val="TableContents"/>
              <w:bidi w:val="0"/>
              <w:spacing w:lineRule="auto" w:line="285" w:before="0" w:after="100"/>
              <w:ind w:left="0" w:right="0" w:hanging="0"/>
              <w:jc w:val="both"/>
              <w:rPr>
                <w:rFonts w:ascii="Arial;Helvetica;sans-serif" w:hAnsi="Arial;Helvetica;sans-serif"/>
                <w:sz w:val="20"/>
              </w:rPr>
            </w:pPr>
            <w:r>
              <w:rPr>
                <w:rFonts w:ascii="Arial;Helvetica;sans-serif" w:hAnsi="Arial;Helvetica;sans-serif"/>
                <w:sz w:val="20"/>
              </w:rPr>
              <w:t>Establishing and approving our executive compensation plans and arrangements to provide benefits to our Executive Officers in accordance with the goals and objectives of the Company, as established by the Board of Directors;</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vAlign w:val="center"/>
          </w:tcPr>
          <w:p>
            <w:pPr>
              <w:pStyle w:val="TableContents"/>
              <w:bidi w:val="0"/>
              <w:spacing w:lineRule="auto" w:line="285" w:before="0" w:after="100"/>
              <w:ind w:left="0" w:right="0" w:hanging="0"/>
              <w:jc w:val="left"/>
              <w:rPr>
                <w:color w:val="005670"/>
              </w:rPr>
            </w:pPr>
            <w:r>
              <w:rPr>
                <w:color w:val="005670"/>
              </w:rPr>
              <w:t>■</w:t>
            </w:r>
          </w:p>
        </w:tc>
        <w:tc>
          <w:tcPr>
            <w:tcW w:w="9825" w:type="dxa"/>
            <w:tcBorders/>
            <w:vAlign w:val="center"/>
          </w:tcPr>
          <w:p>
            <w:pPr>
              <w:pStyle w:val="TableContents"/>
              <w:bidi w:val="0"/>
              <w:spacing w:lineRule="auto" w:line="285" w:before="0" w:after="100"/>
              <w:ind w:left="0" w:right="0" w:hanging="0"/>
              <w:jc w:val="both"/>
              <w:rPr>
                <w:rFonts w:ascii="Arial;Helvetica;sans-serif" w:hAnsi="Arial;Helvetica;sans-serif"/>
                <w:sz w:val="20"/>
              </w:rPr>
            </w:pPr>
            <w:r>
              <w:rPr>
                <w:rFonts w:ascii="Arial;Helvetica;sans-serif" w:hAnsi="Arial;Helvetica;sans-serif"/>
                <w:sz w:val="20"/>
              </w:rPr>
              <w:t>Administering the Company’s LTI plans, including determining plan eligibility and approving individual awards for all plan participants;</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vAlign w:val="center"/>
          </w:tcPr>
          <w:p>
            <w:pPr>
              <w:pStyle w:val="TableContents"/>
              <w:bidi w:val="0"/>
              <w:spacing w:lineRule="auto" w:line="285" w:before="0" w:after="100"/>
              <w:ind w:left="0" w:right="0" w:hanging="0"/>
              <w:jc w:val="left"/>
              <w:rPr>
                <w:color w:val="005670"/>
              </w:rPr>
            </w:pPr>
            <w:r>
              <w:rPr>
                <w:color w:val="005670"/>
              </w:rPr>
              <w:t>■</w:t>
            </w:r>
          </w:p>
        </w:tc>
        <w:tc>
          <w:tcPr>
            <w:tcW w:w="9825"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Administering the Company’s Performance Award and Cash Bonus Plan and approving individual awards for all Executive Officers;</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vAlign w:val="center"/>
          </w:tcPr>
          <w:p>
            <w:pPr>
              <w:pStyle w:val="TableContents"/>
              <w:bidi w:val="0"/>
              <w:spacing w:lineRule="auto" w:line="285" w:before="0" w:after="100"/>
              <w:ind w:left="0" w:right="0" w:hanging="0"/>
              <w:jc w:val="left"/>
              <w:rPr>
                <w:color w:val="005670"/>
              </w:rPr>
            </w:pPr>
            <w:r>
              <w:rPr>
                <w:color w:val="005670"/>
              </w:rPr>
              <w:t>■</w:t>
            </w:r>
          </w:p>
        </w:tc>
        <w:tc>
          <w:tcPr>
            <w:tcW w:w="9825" w:type="dxa"/>
            <w:tcBorders/>
            <w:vAlign w:val="center"/>
          </w:tcPr>
          <w:p>
            <w:pPr>
              <w:pStyle w:val="TableContents"/>
              <w:bidi w:val="0"/>
              <w:spacing w:lineRule="auto" w:line="285" w:before="0" w:after="100"/>
              <w:ind w:left="0" w:right="0" w:hanging="0"/>
              <w:jc w:val="both"/>
              <w:rPr>
                <w:rFonts w:ascii="Arial;Helvetica;sans-serif" w:hAnsi="Arial;Helvetica;sans-serif"/>
                <w:sz w:val="20"/>
              </w:rPr>
            </w:pPr>
            <w:r>
              <w:rPr>
                <w:rFonts w:ascii="Arial;Helvetica;sans-serif" w:hAnsi="Arial;Helvetica;sans-serif"/>
                <w:sz w:val="20"/>
              </w:rPr>
              <w:t>Considering and approving executive employment and, to the extent permissible under Swiss law, severance agreements or other contractual agreements that may be entered into with our Executive Officers (that shall not include “single-trigger” change-in-control agreements);</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vAlign w:val="center"/>
          </w:tcPr>
          <w:p>
            <w:pPr>
              <w:pStyle w:val="TableContents"/>
              <w:bidi w:val="0"/>
              <w:spacing w:lineRule="auto" w:line="285" w:before="0" w:after="100"/>
              <w:ind w:left="0" w:right="0" w:hanging="0"/>
              <w:jc w:val="left"/>
              <w:rPr>
                <w:color w:val="005670"/>
              </w:rPr>
            </w:pPr>
            <w:r>
              <w:rPr>
                <w:color w:val="005670"/>
              </w:rPr>
              <w:t>■</w:t>
            </w:r>
          </w:p>
        </w:tc>
        <w:tc>
          <w:tcPr>
            <w:tcW w:w="9825" w:type="dxa"/>
            <w:tcBorders/>
            <w:vAlign w:val="center"/>
          </w:tcPr>
          <w:p>
            <w:pPr>
              <w:pStyle w:val="TableContents"/>
              <w:bidi w:val="0"/>
              <w:spacing w:lineRule="auto" w:line="285" w:before="0" w:after="100"/>
              <w:ind w:left="0" w:right="0" w:hanging="0"/>
              <w:jc w:val="both"/>
              <w:rPr>
                <w:rFonts w:ascii="Arial;Helvetica;sans-serif" w:hAnsi="Arial;Helvetica;sans-serif"/>
                <w:sz w:val="20"/>
              </w:rPr>
            </w:pPr>
            <w:r>
              <w:rPr>
                <w:rFonts w:ascii="Arial;Helvetica;sans-serif" w:hAnsi="Arial;Helvetica;sans-serif"/>
                <w:sz w:val="20"/>
              </w:rPr>
              <w:t>Engage with our shareholders to review and consider their feedback on executive compensation design;</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vAlign w:val="center"/>
          </w:tcPr>
          <w:p>
            <w:pPr>
              <w:pStyle w:val="TableContents"/>
              <w:bidi w:val="0"/>
              <w:spacing w:lineRule="auto" w:line="285" w:before="0" w:after="100"/>
              <w:ind w:left="0" w:right="0" w:hanging="0"/>
              <w:jc w:val="left"/>
              <w:rPr>
                <w:color w:val="005670"/>
              </w:rPr>
            </w:pPr>
            <w:r>
              <w:rPr>
                <w:color w:val="005670"/>
              </w:rPr>
              <w:t>■</w:t>
            </w:r>
          </w:p>
        </w:tc>
        <w:tc>
          <w:tcPr>
            <w:tcW w:w="9825" w:type="dxa"/>
            <w:tcBorders/>
            <w:vAlign w:val="center"/>
          </w:tcPr>
          <w:p>
            <w:pPr>
              <w:pStyle w:val="TableContents"/>
              <w:bidi w:val="0"/>
              <w:spacing w:lineRule="auto" w:line="285" w:before="0" w:after="100"/>
              <w:ind w:left="0" w:right="0" w:hanging="0"/>
              <w:jc w:val="both"/>
              <w:rPr>
                <w:rFonts w:ascii="Arial;Helvetica;sans-serif" w:hAnsi="Arial;Helvetica;sans-serif"/>
                <w:sz w:val="20"/>
              </w:rPr>
            </w:pPr>
            <w:r>
              <w:rPr>
                <w:rFonts w:ascii="Arial;Helvetica;sans-serif" w:hAnsi="Arial;Helvetica;sans-serif"/>
                <w:sz w:val="20"/>
              </w:rPr>
              <w:t>Reviewing and discussing this Compensation Discussion and Analysis, the Company’s Swiss statutory compensation report and maximum aggregate compensation limits for the Board of Directors and members of the Executive Management Team with our management and, based upon such review and discussion, recommending to the Board of Directors that the Compensation Discussion and Analysis be included in the proxy statement for our Annual General Meeting or our annual report, as applicable; and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vAlign w:val="center"/>
          </w:tcPr>
          <w:p>
            <w:pPr>
              <w:pStyle w:val="TableContents"/>
              <w:bidi w:val="0"/>
              <w:spacing w:lineRule="auto" w:line="285" w:before="0" w:after="0"/>
              <w:ind w:left="0" w:right="0" w:hanging="0"/>
              <w:jc w:val="left"/>
              <w:rPr>
                <w:color w:val="005670"/>
              </w:rPr>
            </w:pPr>
            <w:r>
              <w:rPr>
                <w:color w:val="005670"/>
              </w:rPr>
              <w:t>■</w:t>
            </w:r>
          </w:p>
        </w:tc>
        <w:tc>
          <w:tcPr>
            <w:tcW w:w="9825"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Assessing the risks associated with the Company’s compensation arrangements.</w:t>
            </w:r>
          </w:p>
        </w:tc>
      </w:tr>
    </w:tbl>
    <w:p>
      <w:pPr>
        <w:pStyle w:val="TextBody"/>
        <w:bidi w:val="0"/>
        <w:spacing w:lineRule="auto" w:line="285" w:before="0" w:after="0"/>
        <w:ind w:left="0" w:right="0" w:hanging="0"/>
        <w:jc w:val="both"/>
        <w:rPr/>
      </w:pPr>
      <w:r>
        <w:rPr/>
        <w:t>​</w:t>
      </w:r>
    </w:p>
    <w:p>
      <w:pPr>
        <w:pStyle w:val="TextBody"/>
        <w:bidi w:val="0"/>
        <w:spacing w:lineRule="auto" w:line="285" w:before="120" w:after="200"/>
        <w:ind w:left="0" w:right="0" w:hanging="0"/>
        <w:jc w:val="both"/>
        <w:rPr>
          <w:rFonts w:ascii="Arial;Helvetica;sans-serif" w:hAnsi="Arial;Helvetica;sans-serif"/>
          <w:sz w:val="20"/>
        </w:rPr>
      </w:pPr>
      <w:r>
        <w:rPr>
          <w:rFonts w:ascii="Arial;Helvetica;sans-serif" w:hAnsi="Arial;Helvetica;sans-serif"/>
          <w:sz w:val="20"/>
        </w:rPr>
        <w:t>The Committee makes all compensation decisions and approves all share-based awards for the Named Executive Officers and other Executive Officers. The Committee may exercise its discretion in modifying any compensation element to any Executive Officer, including reducing or increasing the payment amount for one or more components of such awards.</w:t>
      </w:r>
    </w:p>
    <w:p>
      <w:pPr>
        <w:pStyle w:val="TextBody"/>
        <w:bidi w:val="0"/>
        <w:spacing w:lineRule="auto" w:line="285" w:before="200" w:after="200"/>
        <w:ind w:left="0" w:right="0" w:hanging="0"/>
        <w:jc w:val="both"/>
        <w:rPr>
          <w:rFonts w:ascii="Arial;Helvetica;sans-serif" w:hAnsi="Arial;Helvetica;sans-serif"/>
          <w:sz w:val="20"/>
        </w:rPr>
      </w:pPr>
      <w:r>
        <w:rPr>
          <w:rFonts w:ascii="Arial;Helvetica;sans-serif" w:hAnsi="Arial;Helvetica;sans-serif"/>
          <w:sz w:val="20"/>
        </w:rPr>
        <w:t>During 2025, the Compensation Committee consisted of the following directors: Glyn A. Barker (Chair), Vanessa C.L. Chang, and Samuel J. Merksamer. At the 2025 Annual General Meeting, Frederico F. Curado replaced Mr. Merksamer on the Committee.</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P-95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4486"/>
        <w:gridCol w:w="154"/>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448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COMPENSATION DISCUSSION AND ANALYSIS</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b/>
          <w:color w:val="ECA44A"/>
          <w:sz w:val="28"/>
        </w:rPr>
      </w:pPr>
      <w:r>
        <w:rPr>
          <w:rFonts w:ascii="Arial;Helvetica;sans-serif" w:hAnsi="Arial;Helvetica;sans-serif"/>
          <w:b/>
          <w:color w:val="ECA44A"/>
          <w:sz w:val="28"/>
        </w:rPr>
        <w:t>INDEPENDENT COMPENSATION CONSULTANT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To assist in discharging its responsibilities and to ensure that we are continually reviewing and evolving our compensation programs with competitive market standards, the Committee engaged an independent executive compensation consulting firm, Pay Governance LLC (“Pay Governance”), that advised the Committee on executive compensation matters in 2025.</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 order to preserve the independence of the Committee’s compensation consultant and avoid the appearance of an impairment of such independence, the Committee adopted a policy that any compensation consultant to the Committee may not provide other services to the Company in excess of $100,000. Neither Pay Governance nor any of its affiliates provided the Company with any other services in 2025. In May 2025, the Committee assessed whether the work of Pay Governance for the Committee during 2025 raised any conflict of interest by conducting a review of several independence factors, which included the factors set forth under Rule 10C-1 of the Exchange Act. The Committee concluded that no conflict of interest was raised that would prevent Pay Governance from independently advising the Committee.</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 advising the Committee, the compensation consultant reports to and acts at the direction of the Committee. The Committee directs the compensation consultant in the performance of its duties under its engagement to provide certain guidance on an ongoing basis, including:</w:t>
      </w:r>
    </w:p>
    <w:tbl>
      <w:tblPr>
        <w:tblW w:w="10205" w:type="dxa"/>
        <w:jc w:val="left"/>
        <w:tblInd w:w="0" w:type="dxa"/>
        <w:tblLayout w:type="fixed"/>
        <w:tblCellMar>
          <w:top w:w="0" w:type="dxa"/>
          <w:left w:w="0" w:type="dxa"/>
          <w:bottom w:w="0" w:type="dxa"/>
          <w:right w:w="0" w:type="dxa"/>
        </w:tblCellMar>
      </w:tblPr>
      <w:tblGrid>
        <w:gridCol w:w="6318"/>
        <w:gridCol w:w="3887"/>
      </w:tblGrid>
      <w:tr>
        <w:trPr/>
        <w:tc>
          <w:tcPr>
            <w:tcW w:w="6318"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In advising the Committee, the compensation consultant reports to and acts at the direction of the Committee. The Committee directs the compensation consultant in the performance of its duties under its engagement to provide certain guidance on an ongoing basis, including: </w:t>
            </w:r>
          </w:p>
        </w:tc>
        <w:tc>
          <w:tcPr>
            <w:tcW w:w="3887" w:type="dxa"/>
            <w:tcBorders/>
            <w:vAlign w:val="center"/>
          </w:tcPr>
          <w:p>
            <w:pPr>
              <w:pStyle w:val="TableContents"/>
              <w:bidi w:val="0"/>
              <w:spacing w:lineRule="auto" w:line="285" w:before="0" w:after="0"/>
              <w:ind w:left="0" w:right="0" w:hanging="0"/>
              <w:jc w:val="both"/>
              <w:rPr/>
            </w:pPr>
            <w:r>
              <w:rPr/>
              <w:t>​</w:t>
            </w:r>
          </w:p>
        </w:tc>
      </w:tr>
      <w:tr>
        <w:trPr/>
        <w:tc>
          <w:tcPr>
            <w:tcW w:w="6318" w:type="dxa"/>
            <w:tcBorders/>
            <w:vAlign w:val="center"/>
          </w:tcPr>
          <w:p>
            <w:pPr>
              <w:pStyle w:val="TableContents"/>
              <w:bidi w:val="0"/>
              <w:spacing w:lineRule="auto" w:line="285" w:before="0" w:after="100"/>
              <w:ind w:left="0" w:right="0" w:hanging="0"/>
              <w:jc w:val="right"/>
              <w:rPr>
                <w:color w:val="005670"/>
              </w:rPr>
            </w:pPr>
            <w:r>
              <w:rPr>
                <w:color w:val="005670"/>
              </w:rPr>
              <w:t>■</w:t>
            </w:r>
          </w:p>
        </w:tc>
        <w:tc>
          <w:tcPr>
            <w:tcW w:w="3887"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Expertise on compensation strategy and program design;</w:t>
            </w:r>
          </w:p>
        </w:tc>
      </w:tr>
      <w:tr>
        <w:trPr/>
        <w:tc>
          <w:tcPr>
            <w:tcW w:w="6318" w:type="dxa"/>
            <w:tcBorders/>
            <w:vAlign w:val="center"/>
          </w:tcPr>
          <w:p>
            <w:pPr>
              <w:pStyle w:val="TableContents"/>
              <w:bidi w:val="0"/>
              <w:spacing w:lineRule="auto" w:line="285" w:before="0" w:after="100"/>
              <w:ind w:left="0" w:right="0" w:hanging="0"/>
              <w:jc w:val="right"/>
              <w:rPr>
                <w:color w:val="005670"/>
              </w:rPr>
            </w:pPr>
            <w:r>
              <w:rPr>
                <w:color w:val="005670"/>
              </w:rPr>
              <w:t>■</w:t>
            </w:r>
          </w:p>
        </w:tc>
        <w:tc>
          <w:tcPr>
            <w:tcW w:w="3887"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Information relating to the selection of the Company’s peer groups;</w:t>
            </w:r>
          </w:p>
        </w:tc>
      </w:tr>
      <w:tr>
        <w:trPr/>
        <w:tc>
          <w:tcPr>
            <w:tcW w:w="6318" w:type="dxa"/>
            <w:tcBorders/>
            <w:vAlign w:val="center"/>
          </w:tcPr>
          <w:p>
            <w:pPr>
              <w:pStyle w:val="TableContents"/>
              <w:bidi w:val="0"/>
              <w:spacing w:lineRule="auto" w:line="285" w:before="0" w:after="100"/>
              <w:ind w:left="0" w:right="0" w:hanging="0"/>
              <w:jc w:val="right"/>
              <w:rPr>
                <w:color w:val="005670"/>
              </w:rPr>
            </w:pPr>
            <w:r>
              <w:rPr>
                <w:color w:val="005670"/>
              </w:rPr>
              <w:t>■</w:t>
            </w:r>
          </w:p>
        </w:tc>
        <w:tc>
          <w:tcPr>
            <w:tcW w:w="3887"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Relevant market data and alternatives to consider when making compensation decisions;</w:t>
            </w:r>
          </w:p>
        </w:tc>
      </w:tr>
      <w:tr>
        <w:trPr/>
        <w:tc>
          <w:tcPr>
            <w:tcW w:w="6318" w:type="dxa"/>
            <w:tcBorders/>
            <w:vAlign w:val="center"/>
          </w:tcPr>
          <w:p>
            <w:pPr>
              <w:pStyle w:val="TableContents"/>
              <w:bidi w:val="0"/>
              <w:spacing w:lineRule="auto" w:line="285" w:before="0" w:after="100"/>
              <w:ind w:left="0" w:right="0" w:hanging="0"/>
              <w:jc w:val="right"/>
              <w:rPr>
                <w:color w:val="005670"/>
              </w:rPr>
            </w:pPr>
            <w:r>
              <w:rPr>
                <w:color w:val="005670"/>
              </w:rPr>
              <w:t>■</w:t>
            </w:r>
          </w:p>
        </w:tc>
        <w:tc>
          <w:tcPr>
            <w:tcW w:w="3887"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Assistance in establishing and updating annual and long-term incentive guidelines;</w:t>
            </w:r>
          </w:p>
        </w:tc>
      </w:tr>
      <w:tr>
        <w:trPr/>
        <w:tc>
          <w:tcPr>
            <w:tcW w:w="6318" w:type="dxa"/>
            <w:tcBorders/>
            <w:vAlign w:val="center"/>
          </w:tcPr>
          <w:p>
            <w:pPr>
              <w:pStyle w:val="TableContents"/>
              <w:bidi w:val="0"/>
              <w:spacing w:lineRule="auto" w:line="285" w:before="0" w:after="100"/>
              <w:ind w:left="0" w:right="0" w:hanging="0"/>
              <w:jc w:val="right"/>
              <w:rPr>
                <w:color w:val="005670"/>
              </w:rPr>
            </w:pPr>
            <w:r>
              <w:rPr>
                <w:color w:val="005670"/>
              </w:rPr>
              <w:t>■</w:t>
            </w:r>
          </w:p>
        </w:tc>
        <w:tc>
          <w:tcPr>
            <w:tcW w:w="3887"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 xml:space="preserve">Periodic reviews of the total executive compensation program; </w:t>
            </w:r>
          </w:p>
        </w:tc>
      </w:tr>
      <w:tr>
        <w:trPr/>
        <w:tc>
          <w:tcPr>
            <w:tcW w:w="6318" w:type="dxa"/>
            <w:tcBorders/>
            <w:vAlign w:val="center"/>
          </w:tcPr>
          <w:p>
            <w:pPr>
              <w:pStyle w:val="TableContents"/>
              <w:bidi w:val="0"/>
              <w:spacing w:lineRule="auto" w:line="285" w:before="0" w:after="0"/>
              <w:ind w:left="0" w:right="0" w:hanging="0"/>
              <w:jc w:val="right"/>
              <w:rPr>
                <w:color w:val="005670"/>
              </w:rPr>
            </w:pPr>
            <w:r>
              <w:rPr>
                <w:color w:val="005670"/>
              </w:rPr>
              <w:t>■</w:t>
            </w:r>
          </w:p>
        </w:tc>
        <w:tc>
          <w:tcPr>
            <w:tcW w:w="3887"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Regular assessment of realizable pay-for-performance; and</w:t>
            </w:r>
          </w:p>
        </w:tc>
      </w:tr>
      <w:tr>
        <w:trPr/>
        <w:tc>
          <w:tcPr>
            <w:tcW w:w="6318" w:type="dxa"/>
            <w:tcBorders/>
            <w:vAlign w:val="center"/>
          </w:tcPr>
          <w:p>
            <w:pPr>
              <w:pStyle w:val="TableContents"/>
              <w:bidi w:val="0"/>
              <w:spacing w:lineRule="auto" w:line="285" w:before="0" w:after="0"/>
              <w:ind w:left="0" w:right="0" w:hanging="0"/>
              <w:jc w:val="right"/>
              <w:rPr>
                <w:color w:val="005670"/>
              </w:rPr>
            </w:pPr>
            <w:r>
              <w:rPr>
                <w:color w:val="005670"/>
              </w:rPr>
              <w:t>■</w:t>
            </w:r>
          </w:p>
        </w:tc>
        <w:tc>
          <w:tcPr>
            <w:tcW w:w="3887"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Support and advise as the Committee conducts its analysis of and makes its decisions regarding executive compensation.</w:t>
            </w:r>
          </w:p>
        </w:tc>
      </w:tr>
    </w:tbl>
    <w:p>
      <w:pPr>
        <w:pStyle w:val="TextBody"/>
        <w:bidi w:val="0"/>
        <w:spacing w:lineRule="auto" w:line="285" w:before="120" w:after="200"/>
        <w:ind w:left="0" w:right="0" w:hanging="0"/>
        <w:jc w:val="both"/>
        <w:rPr>
          <w:rFonts w:ascii="Arial;Helvetica;sans-serif" w:hAnsi="Arial;Helvetica;sans-serif"/>
          <w:sz w:val="20"/>
        </w:rPr>
      </w:pPr>
      <w:r>
        <w:rPr>
          <w:rFonts w:ascii="Arial;Helvetica;sans-serif" w:hAnsi="Arial;Helvetica;sans-serif"/>
          <w:sz w:val="20"/>
        </w:rPr>
        <w:t>The Committee does not necessarily adopt all recommendations made by the compensation consultant but uses the consultant’s work as a reference in exercising its own judgment with respect to its own executive compensation actions and decisions.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compensation consultant participates in every meeting of the Committee and meets privately with the Committee at the Committee’s request. Our management provides information to the consultant but does not direct or oversee its activities with respect to our executive compensation program.</w:t>
      </w:r>
    </w:p>
    <w:p>
      <w:pPr>
        <w:pStyle w:val="TextBody"/>
        <w:bidi w:val="0"/>
        <w:spacing w:lineRule="auto" w:line="285" w:before="0" w:after="120"/>
        <w:ind w:left="0" w:right="0" w:hanging="0"/>
        <w:jc w:val="both"/>
        <w:rPr>
          <w:rFonts w:ascii="Arial;Helvetica;sans-serif" w:hAnsi="Arial;Helvetica;sans-serif"/>
          <w:b/>
          <w:color w:val="ECA44A"/>
          <w:sz w:val="28"/>
        </w:rPr>
      </w:pPr>
      <w:r>
        <w:rPr>
          <w:rFonts w:ascii="Arial;Helvetica;sans-serif" w:hAnsi="Arial;Helvetica;sans-serif"/>
          <w:b/>
          <w:color w:val="ECA44A"/>
          <w:sz w:val="28"/>
        </w:rPr>
        <w:t>OTHER ADVISORS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From time-to-time, management engages other advisors to assist in providing advice to the Committee. Such advisors have included, among others, an outside law firm to provide advice regarding various legal issues, financial analysts to examine relevant performance metrics and an outside actuarial firm to evaluate benefit programs. The Committee evaluates these advisors for independence, when retained. No advisors other than Pay Governance were hired in 2025.</w:t>
      </w:r>
    </w:p>
    <w:p>
      <w:pPr>
        <w:pStyle w:val="TextBody"/>
        <w:bidi w:val="0"/>
        <w:spacing w:lineRule="auto" w:line="285" w:before="0" w:after="120"/>
        <w:ind w:left="0" w:right="0" w:hanging="0"/>
        <w:jc w:val="both"/>
        <w:rPr>
          <w:rFonts w:ascii="Arial;Helvetica;sans-serif" w:hAnsi="Arial;Helvetica;sans-serif"/>
          <w:b/>
          <w:color w:val="ECA44A"/>
          <w:sz w:val="28"/>
        </w:rPr>
      </w:pPr>
      <w:r>
        <w:rPr>
          <w:rFonts w:ascii="Arial;Helvetica;sans-serif" w:hAnsi="Arial;Helvetica;sans-serif"/>
          <w:b/>
          <w:color w:val="ECA44A"/>
          <w:sz w:val="28"/>
        </w:rPr>
        <w:t>MANAGEMENT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Our Chief Executive Officer annually reviews the competitive pay position and the performance of each member of senior management other than himself and our Executive Chair. Our Chief Executive Officer’s conclusions and recommendations, including base salary adjustments and award amounts for the current year and target annual award amounts for the next year under our Bonus Plan (other than for himself), are presented to the Committee. The Committee makes all compensation decisions and approves all share-based awards for the Named Executive Officers and other Executive Officers.</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P-96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124"/>
        <w:gridCol w:w="4516"/>
      </w:tblGrid>
      <w:tr>
        <w:trPr/>
        <w:tc>
          <w:tcPr>
            <w:tcW w:w="124" w:type="dxa"/>
            <w:tcBorders/>
            <w:vAlign w:val="center"/>
          </w:tcPr>
          <w:p>
            <w:pPr>
              <w:pStyle w:val="TableContents"/>
              <w:bidi w:val="0"/>
              <w:spacing w:lineRule="auto" w:line="285" w:before="0" w:after="0"/>
              <w:ind w:left="0" w:right="0" w:hanging="0"/>
              <w:jc w:val="both"/>
              <w:rPr/>
            </w:pPr>
            <w:r>
              <w:rPr/>
              <w:t>​</w:t>
            </w:r>
          </w:p>
        </w:tc>
        <w:tc>
          <w:tcPr>
            <w:tcW w:w="45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451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COMPENSATION DISCUSSION AND ANALYSIS</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Committee may exercise its discretion in modifying any compensation element to any Executive Officer, including reducing or increasing the payment amount for one or more components of such awards.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Officers and other employees in our Human Resources Department assist our Chief Executive Officer with his recommendations and develop and present other recommendations regarding compensation to the Committee as needed. Our officers and other employees participate in Committee discussions in an informational and advisory capacity and have no authority in the Committee’s decision-making process.</w:t>
      </w:r>
    </w:p>
    <w:p>
      <w:pPr>
        <w:pStyle w:val="TextBody"/>
        <w:bidi w:val="0"/>
        <w:spacing w:lineRule="auto" w:line="285" w:before="0" w:after="120"/>
        <w:ind w:left="0" w:right="0" w:hanging="0"/>
        <w:jc w:val="both"/>
        <w:rPr>
          <w:rFonts w:ascii="Arial;Helvetica;sans-serif" w:hAnsi="Arial;Helvetica;sans-serif"/>
          <w:b/>
          <w:color w:val="ECA44A"/>
          <w:sz w:val="28"/>
        </w:rPr>
      </w:pPr>
      <w:r>
        <w:rPr>
          <w:rFonts w:ascii="Arial;Helvetica;sans-serif" w:hAnsi="Arial;Helvetica;sans-serif"/>
          <w:b/>
          <w:color w:val="ECA44A"/>
          <w:sz w:val="28"/>
        </w:rPr>
        <w:t>SHARE OWNERSHIP GUIDELINES FOR EXECUTIVES</w:t>
      </w:r>
    </w:p>
    <w:p>
      <w:pPr>
        <w:pStyle w:val="TextBody"/>
        <w:bidi w:val="0"/>
        <w:spacing w:lineRule="auto" w:line="285" w:before="0" w:after="120"/>
        <w:ind w:left="0" w:right="0" w:hanging="0"/>
        <w:jc w:val="both"/>
        <w:rPr>
          <w:rFonts w:ascii="Arial;Helvetica;sans-serif" w:hAnsi="Arial;Helvetica;sans-serif"/>
          <w:b/>
          <w:color w:val="005670"/>
          <w:sz w:val="20"/>
        </w:rPr>
      </w:pPr>
      <w:r>
        <w:rPr>
          <w:rFonts w:ascii="Arial;Helvetica;sans-serif" w:hAnsi="Arial;Helvetica;sans-serif"/>
          <w:b/>
          <w:color w:val="005670"/>
          <w:sz w:val="20"/>
        </w:rPr>
        <w:t>IT IS IMPORTANT FOR OUR NAMED EXECUTIVE OFFICERS TO BUILD AND MAINTAIN AN APPROPRIATE EQUITY STAKE IN THE COMPANY.</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Company’s share ownership guidelines for executives, including our Named Executive Officers, are intended to further align executives’ interests with the interests of our shareholders. Under these guidelines, Named Executive Officers must retain 50% of any shares received (net of tax shares) on the exercise, vesting or settlement, as applicable, of each award until the share ownership guidelines are met. Each of our Named Executive Officers must own at least an amount of shares equivalent in value to the following, as applicable:</w:t>
      </w:r>
    </w:p>
    <w:tbl>
      <w:tblPr>
        <w:tblW w:w="3869" w:type="dxa"/>
        <w:jc w:val="left"/>
        <w:tblInd w:w="0" w:type="dxa"/>
        <w:tblLayout w:type="fixed"/>
        <w:tblCellMar>
          <w:top w:w="0" w:type="dxa"/>
          <w:left w:w="0" w:type="dxa"/>
          <w:bottom w:w="0" w:type="dxa"/>
          <w:right w:w="0" w:type="dxa"/>
        </w:tblCellMar>
      </w:tblPr>
      <w:tblGrid>
        <w:gridCol w:w="2326"/>
        <w:gridCol w:w="451"/>
        <w:gridCol w:w="1092"/>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86385" cy="29210"/>
                      <wp:effectExtent l="0" t="0" r="0" b="0"/>
                      <wp:wrapNone/>
                      <wp:docPr id="253" name="Frame127"/>
                      <a:graphic xmlns:a="http://schemas.openxmlformats.org/drawingml/2006/main">
                        <a:graphicData uri="http://schemas.microsoft.com/office/word/2010/wordprocessingShape">
                          <wps:wsp>
                            <wps:cNvSpPr txBox="1"/>
                            <wps:spPr>
                              <a:xfrm>
                                <a:off x="0" y="0"/>
                                <a:ext cx="286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2" w:type="dxa"/>
            <w:tcBorders/>
            <w:vAlign w:val="center"/>
          </w:tcPr>
          <w:p>
            <w:pPr>
              <w:pStyle w:val="TableContents"/>
              <w:bidi w:val="0"/>
              <w:spacing w:before="0" w:after="283"/>
              <w:ind w:left="0" w:right="0" w:hanging="0"/>
              <w:jc w:val="left"/>
              <w:rPr>
                <w:sz w:val="4"/>
                <w:szCs w:val="4"/>
              </w:rPr>
            </w:pPr>
            <w:r>
              <w:rPr>
                <w:sz w:val="4"/>
                <w:szCs w:val="4"/>
              </w:rPr>
            </w:r>
          </w:p>
        </w:tc>
      </w:tr>
      <w:tr>
        <w:trPr/>
        <w:tc>
          <w:tcPr>
            <w:tcW w:w="2326" w:type="dxa"/>
            <w:tcBorders/>
            <w:shd w:fill="F2F2F2"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477010" cy="175260"/>
                      <wp:effectExtent l="0" t="0" r="0" b="0"/>
                      <wp:wrapNone/>
                      <wp:docPr id="254" name="Frame128"/>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543" w:type="dxa"/>
            <w:gridSpan w:val="2"/>
            <w:tcBorders/>
            <w:shd w:fill="F2F2F2"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979805" cy="175260"/>
                      <wp:effectExtent l="0" t="0" r="0" b="0"/>
                      <wp:wrapNone/>
                      <wp:docPr id="255" name="Frame129"/>
                      <a:graphic xmlns:a="http://schemas.openxmlformats.org/drawingml/2006/main">
                        <a:graphicData uri="http://schemas.microsoft.com/office/word/2010/wordprocessingShape">
                          <wps:wsp>
                            <wps:cNvSpPr txBox="1"/>
                            <wps:spPr>
                              <a:xfrm>
                                <a:off x="0" y="0"/>
                                <a:ext cx="97980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2326" w:type="dxa"/>
            <w:tcBorders/>
            <w:shd w:fill="F2F2F2" w:val="clear"/>
            <w:vAlign w:val="center"/>
          </w:tcPr>
          <w:p>
            <w:pPr>
              <w:pStyle w:val="TableContents"/>
              <w:bidi w:val="0"/>
              <w:spacing w:lineRule="auto" w:line="304" w:before="0" w:after="0"/>
              <w:ind w:left="0" w:right="0" w:hanging="0"/>
              <w:jc w:val="left"/>
              <w:rPr>
                <w:rFonts w:ascii="Arial;Helvetica;sans-serif" w:hAnsi="Arial;Helvetica;sans-serif"/>
                <w:sz w:val="20"/>
              </w:rPr>
            </w:pPr>
            <w:r>
              <w:rPr>
                <w:rFonts w:ascii="Arial;Helvetica;sans-serif" w:hAnsi="Arial;Helvetica;sans-serif"/>
                <w:sz w:val="20"/>
              </w:rPr>
              <w:t>CEO &amp; Executive Chair</w:t>
            </w:r>
          </w:p>
        </w:tc>
        <w:tc>
          <w:tcPr>
            <w:tcW w:w="451" w:type="dxa"/>
            <w:tcBorders/>
            <w:shd w:fill="F2F2F2" w:val="clear"/>
            <w:vAlign w:val="center"/>
          </w:tcPr>
          <w:p>
            <w:pPr>
              <w:pStyle w:val="TableContents"/>
              <w:bidi w:val="0"/>
              <w:spacing w:lineRule="auto" w:line="304" w:before="0" w:after="0"/>
              <w:ind w:left="0" w:right="0" w:hanging="0"/>
              <w:jc w:val="left"/>
              <w:rPr>
                <w:rFonts w:ascii="Arial;Helvetica;sans-serif" w:hAnsi="Arial;Helvetica;sans-serif"/>
                <w:color w:val="005670"/>
                <w:sz w:val="32"/>
              </w:rPr>
            </w:pPr>
            <w:r>
              <w:rPr>
                <w:rFonts w:ascii="Arial;Helvetica;sans-serif" w:hAnsi="Arial;Helvetica;sans-serif"/>
                <w:color w:val="005670"/>
                <w:sz w:val="32"/>
              </w:rPr>
              <w:t>6x</w:t>
            </w:r>
          </w:p>
        </w:tc>
        <w:tc>
          <w:tcPr>
            <w:tcW w:w="1092" w:type="dxa"/>
            <w:tcBorders/>
            <w:shd w:fill="F2F2F2" w:val="clear"/>
            <w:vAlign w:val="center"/>
          </w:tcPr>
          <w:p>
            <w:pPr>
              <w:pStyle w:val="TableContents"/>
              <w:bidi w:val="0"/>
              <w:spacing w:lineRule="auto" w:line="304" w:before="0" w:after="0"/>
              <w:ind w:left="0" w:right="0" w:hanging="0"/>
              <w:jc w:val="left"/>
              <w:rPr>
                <w:rFonts w:ascii="Arial;Helvetica;sans-serif" w:hAnsi="Arial;Helvetica;sans-serif"/>
                <w:sz w:val="20"/>
              </w:rPr>
            </w:pPr>
            <w:r>
              <w:rPr>
                <w:rFonts w:ascii="Arial;Helvetica;sans-serif" w:hAnsi="Arial;Helvetica;sans-serif"/>
                <w:sz w:val="20"/>
              </w:rPr>
              <w:t>Base Pay</w:t>
            </w:r>
          </w:p>
        </w:tc>
      </w:tr>
      <w:tr>
        <w:trPr/>
        <w:tc>
          <w:tcPr>
            <w:tcW w:w="2326" w:type="dxa"/>
            <w:tcBorders/>
            <w:shd w:fill="F2F2F2" w:val="clear"/>
            <w:vAlign w:val="center"/>
          </w:tcPr>
          <w:p>
            <w:pPr>
              <w:pStyle w:val="TableContents"/>
              <w:bidi w:val="0"/>
              <w:spacing w:lineRule="auto" w:line="304" w:before="0" w:after="0"/>
              <w:ind w:left="0" w:right="0" w:hanging="0"/>
              <w:jc w:val="left"/>
              <w:rPr>
                <w:rFonts w:ascii="Arial;Helvetica;sans-serif" w:hAnsi="Arial;Helvetica;sans-serif"/>
                <w:sz w:val="20"/>
              </w:rPr>
            </w:pPr>
            <w:r>
              <w:rPr>
                <w:rFonts w:ascii="Arial;Helvetica;sans-serif" w:hAnsi="Arial;Helvetica;sans-serif"/>
                <w:sz w:val="20"/>
              </w:rPr>
              <w:t>Executive Vice President</w:t>
            </w:r>
          </w:p>
        </w:tc>
        <w:tc>
          <w:tcPr>
            <w:tcW w:w="451" w:type="dxa"/>
            <w:tcBorders/>
            <w:shd w:fill="F2F2F2" w:val="clear"/>
            <w:vAlign w:val="center"/>
          </w:tcPr>
          <w:p>
            <w:pPr>
              <w:pStyle w:val="TableContents"/>
              <w:bidi w:val="0"/>
              <w:spacing w:lineRule="auto" w:line="304" w:before="0" w:after="0"/>
              <w:ind w:left="0" w:right="0" w:hanging="0"/>
              <w:jc w:val="left"/>
              <w:rPr>
                <w:rFonts w:ascii="Arial;Helvetica;sans-serif" w:hAnsi="Arial;Helvetica;sans-serif"/>
                <w:color w:val="005670"/>
                <w:sz w:val="32"/>
              </w:rPr>
            </w:pPr>
            <w:r>
              <w:rPr>
                <w:rFonts w:ascii="Arial;Helvetica;sans-serif" w:hAnsi="Arial;Helvetica;sans-serif"/>
                <w:color w:val="005670"/>
                <w:sz w:val="32"/>
              </w:rPr>
              <w:t>3x</w:t>
            </w:r>
          </w:p>
        </w:tc>
        <w:tc>
          <w:tcPr>
            <w:tcW w:w="1092" w:type="dxa"/>
            <w:tcBorders/>
            <w:shd w:fill="F2F2F2" w:val="clear"/>
            <w:vAlign w:val="center"/>
          </w:tcPr>
          <w:p>
            <w:pPr>
              <w:pStyle w:val="TableContents"/>
              <w:bidi w:val="0"/>
              <w:spacing w:lineRule="auto" w:line="304" w:before="0" w:after="0"/>
              <w:ind w:left="0" w:right="0" w:hanging="0"/>
              <w:jc w:val="left"/>
              <w:rPr>
                <w:rFonts w:ascii="Arial;Helvetica;sans-serif" w:hAnsi="Arial;Helvetica;sans-serif"/>
                <w:sz w:val="20"/>
              </w:rPr>
            </w:pPr>
            <w:r>
              <w:rPr>
                <w:rFonts w:ascii="Arial;Helvetica;sans-serif" w:hAnsi="Arial;Helvetica;sans-serif"/>
                <w:sz w:val="20"/>
              </w:rPr>
              <w:t>Base Pay</w:t>
            </w:r>
          </w:p>
        </w:tc>
      </w:tr>
      <w:tr>
        <w:trPr/>
        <w:tc>
          <w:tcPr>
            <w:tcW w:w="2326" w:type="dxa"/>
            <w:tcBorders/>
            <w:shd w:fill="F2F2F2" w:val="clear"/>
            <w:vAlign w:val="center"/>
          </w:tcPr>
          <w:p>
            <w:pPr>
              <w:pStyle w:val="TableContents"/>
              <w:bidi w:val="0"/>
              <w:spacing w:lineRule="auto" w:line="304" w:before="0" w:after="0"/>
              <w:ind w:left="0" w:right="0" w:hanging="0"/>
              <w:jc w:val="left"/>
              <w:rPr>
                <w:rFonts w:ascii="Arial;Helvetica;sans-serif" w:hAnsi="Arial;Helvetica;sans-serif"/>
                <w:sz w:val="20"/>
              </w:rPr>
            </w:pPr>
            <w:r>
              <w:rPr>
                <w:rFonts w:ascii="Arial;Helvetica;sans-serif" w:hAnsi="Arial;Helvetica;sans-serif"/>
                <w:sz w:val="20"/>
              </w:rPr>
              <w:t>Senior Vice President</w:t>
            </w:r>
          </w:p>
        </w:tc>
        <w:tc>
          <w:tcPr>
            <w:tcW w:w="451" w:type="dxa"/>
            <w:tcBorders/>
            <w:shd w:fill="F2F2F2" w:val="clear"/>
            <w:vAlign w:val="center"/>
          </w:tcPr>
          <w:p>
            <w:pPr>
              <w:pStyle w:val="TableContents"/>
              <w:bidi w:val="0"/>
              <w:spacing w:lineRule="auto" w:line="304" w:before="0" w:after="0"/>
              <w:ind w:left="0" w:right="0" w:hanging="0"/>
              <w:jc w:val="left"/>
              <w:rPr>
                <w:rFonts w:ascii="Arial;Helvetica;sans-serif" w:hAnsi="Arial;Helvetica;sans-serif"/>
                <w:color w:val="005670"/>
                <w:sz w:val="32"/>
              </w:rPr>
            </w:pPr>
            <w:r>
              <w:rPr>
                <w:rFonts w:ascii="Arial;Helvetica;sans-serif" w:hAnsi="Arial;Helvetica;sans-serif"/>
                <w:color w:val="005670"/>
                <w:sz w:val="32"/>
              </w:rPr>
              <w:t>2x</w:t>
            </w:r>
          </w:p>
        </w:tc>
        <w:tc>
          <w:tcPr>
            <w:tcW w:w="1092" w:type="dxa"/>
            <w:tcBorders/>
            <w:shd w:fill="F2F2F2" w:val="clear"/>
            <w:vAlign w:val="center"/>
          </w:tcPr>
          <w:p>
            <w:pPr>
              <w:pStyle w:val="TableContents"/>
              <w:bidi w:val="0"/>
              <w:spacing w:lineRule="auto" w:line="304" w:before="0" w:after="0"/>
              <w:ind w:left="0" w:right="0" w:hanging="0"/>
              <w:jc w:val="left"/>
              <w:rPr>
                <w:rFonts w:ascii="Arial;Helvetica;sans-serif" w:hAnsi="Arial;Helvetica;sans-serif"/>
                <w:sz w:val="20"/>
              </w:rPr>
            </w:pPr>
            <w:r>
              <w:rPr>
                <w:rFonts w:ascii="Arial;Helvetica;sans-serif" w:hAnsi="Arial;Helvetica;sans-serif"/>
                <w:sz w:val="20"/>
              </w:rPr>
              <w:t>Base Pay</w:t>
            </w:r>
          </w:p>
        </w:tc>
      </w:tr>
      <w:tr>
        <w:trPr/>
        <w:tc>
          <w:tcPr>
            <w:tcW w:w="2326" w:type="dxa"/>
            <w:tcBorders/>
            <w:shd w:fill="F2F2F2" w:val="clear"/>
            <w:vAlign w:val="center"/>
          </w:tcPr>
          <w:p>
            <w:pPr>
              <w:pStyle w:val="TableContents"/>
              <w:bidi w:val="0"/>
              <w:spacing w:lineRule="auto" w:line="304" w:before="0" w:after="60"/>
              <w:ind w:left="0" w:right="0" w:hanging="0"/>
              <w:jc w:val="left"/>
              <w:rPr>
                <w:rFonts w:ascii="Arial;Helvetica;sans-serif" w:hAnsi="Arial;Helvetica;sans-serif"/>
                <w:sz w:val="20"/>
              </w:rPr>
            </w:pPr>
            <w:r>
              <w:rPr>
                <w:rFonts w:ascii="Arial;Helvetica;sans-serif" w:hAnsi="Arial;Helvetica;sans-serif"/>
                <w:sz w:val="20"/>
              </w:rPr>
              <w:t>Vice President</w:t>
            </w:r>
          </w:p>
        </w:tc>
        <w:tc>
          <w:tcPr>
            <w:tcW w:w="451" w:type="dxa"/>
            <w:tcBorders/>
            <w:shd w:fill="F2F2F2" w:val="clear"/>
            <w:vAlign w:val="center"/>
          </w:tcPr>
          <w:p>
            <w:pPr>
              <w:pStyle w:val="TableContents"/>
              <w:bidi w:val="0"/>
              <w:spacing w:lineRule="auto" w:line="304" w:before="0" w:after="60"/>
              <w:ind w:left="0" w:right="0" w:hanging="0"/>
              <w:jc w:val="left"/>
              <w:rPr>
                <w:rFonts w:ascii="Arial;Helvetica;sans-serif" w:hAnsi="Arial;Helvetica;sans-serif"/>
                <w:color w:val="005670"/>
                <w:sz w:val="32"/>
              </w:rPr>
            </w:pPr>
            <w:r>
              <w:rPr>
                <w:rFonts w:ascii="Arial;Helvetica;sans-serif" w:hAnsi="Arial;Helvetica;sans-serif"/>
                <w:color w:val="005670"/>
                <w:sz w:val="32"/>
              </w:rPr>
              <w:t>1x</w:t>
            </w:r>
          </w:p>
        </w:tc>
        <w:tc>
          <w:tcPr>
            <w:tcW w:w="1092" w:type="dxa"/>
            <w:tcBorders/>
            <w:shd w:fill="F2F2F2" w:val="clear"/>
            <w:vAlign w:val="center"/>
          </w:tcPr>
          <w:p>
            <w:pPr>
              <w:pStyle w:val="TableContents"/>
              <w:bidi w:val="0"/>
              <w:spacing w:lineRule="auto" w:line="304" w:before="0" w:after="60"/>
              <w:ind w:left="0" w:right="0" w:firstLine="86"/>
              <w:jc w:val="left"/>
              <w:rPr>
                <w:rFonts w:ascii="Arial;Helvetica;sans-serif" w:hAnsi="Arial;Helvetica;sans-serif"/>
                <w:sz w:val="20"/>
              </w:rPr>
            </w:pPr>
            <w:r>
              <w:rPr>
                <w:rFonts w:ascii="Arial;Helvetica;sans-serif" w:hAnsi="Arial;Helvetica;sans-serif"/>
                <w:sz w:val="20"/>
              </w:rPr>
              <w:t>Base Pay</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Under our share ownership guidelines, time-vested restricted share units and earned but unsettled performance units may be counted towards compliance. Unearned performance-based full value awards and/or unexercised stock options may not be counted towards compliance with the guidelines.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Compliance with these guidelines is reviewed by the Committee, and executives must certify their compliance on an annual basis. The Committee may exercise its discretion in response to any non-compliance of these guidelines. The Committee determined that all executives were in compliance with these requirements in 2025.</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EXECUTIVE COMPENSATION RECOUPMENT/CLAWBACK POLICY</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Our Executive Officer Incentive-Based Compensation Recoupment Policy complies with the most recent SEC and NYSE clawback rules. The policy provides that certain incentive compensation (cash or equity) received by current and former executive officers is subject to recoupment in the event of an accounting restatement. Specifically, amounts of compensation paid in excess of the amount that otherwise would have been received had payment of the incentive-based compensation been determined based on the accounting restatement, computed without regard to taxes paid, must be recouped to the extent received after the policy went into effect and during the three fiscal years preceding the date it is determined that the Company is required to prepare an accounting restatement. Further, the Committee has separately established terms and conditions for equity awards providing that awards may be forfeited in the event an executive’s conduct is in violation of human resource or legal compliance and ethics policies, including our Code of Integrity.</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both"/>
        <w:rPr>
          <w:rFonts w:ascii="Arial;Helvetica;sans-serif" w:hAnsi="Arial;Helvetica;sans-serif"/>
          <w:b/>
          <w:color w:val="ECA44A"/>
          <w:sz w:val="28"/>
        </w:rPr>
      </w:pPr>
      <w:r>
        <w:rPr>
          <w:rFonts w:ascii="Arial;Helvetica;sans-serif" w:hAnsi="Arial;Helvetica;sans-serif"/>
          <w:b/>
          <w:color w:val="ECA44A"/>
          <w:sz w:val="28"/>
        </w:rPr>
        <w:t>NO HEDGING OR PLEDGING OF COMPANY SHARES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Our Insider Trading Policy prohibits any employee, officer or director of the Company from engaging in short-term or speculative transactions in the Company’s securities. It therefore is the Company’s policy that employees, officers and directors and their family members and wholly-owned businesses not engage in any of the following transactions with respect to the Company’s securities:</w:t>
      </w:r>
    </w:p>
    <w:tbl>
      <w:tblPr>
        <w:tblW w:w="1592" w:type="dxa"/>
        <w:jc w:val="left"/>
        <w:tblInd w:w="0" w:type="dxa"/>
        <w:tblLayout w:type="fixed"/>
        <w:tblCellMar>
          <w:top w:w="0" w:type="dxa"/>
          <w:left w:w="0" w:type="dxa"/>
          <w:bottom w:w="0" w:type="dxa"/>
          <w:right w:w="0" w:type="dxa"/>
        </w:tblCellMar>
      </w:tblPr>
      <w:tblGrid>
        <w:gridCol w:w="391"/>
        <w:gridCol w:w="1201"/>
      </w:tblGrid>
      <w:tr>
        <w:trPr/>
        <w:tc>
          <w:tcPr>
            <w:tcW w:w="391" w:type="dxa"/>
            <w:tcBorders/>
            <w:vAlign w:val="center"/>
          </w:tcPr>
          <w:p>
            <w:pPr>
              <w:pStyle w:val="TableContents"/>
              <w:bidi w:val="0"/>
              <w:spacing w:lineRule="auto" w:line="285" w:before="0" w:after="0"/>
              <w:ind w:left="0" w:right="0" w:hanging="0"/>
              <w:jc w:val="both"/>
              <w:rPr/>
            </w:pPr>
            <w:r>
              <w:rPr/>
              <w:t>​</w:t>
            </w:r>
          </w:p>
        </w:tc>
        <w:tc>
          <w:tcPr>
            <w:tcW w:w="1201" w:type="dxa"/>
            <w:tcBorders/>
            <w:vAlign w:val="center"/>
          </w:tcPr>
          <w:p>
            <w:pPr>
              <w:pStyle w:val="TableContents"/>
              <w:bidi w:val="0"/>
              <w:spacing w:lineRule="auto" w:line="285" w:before="0" w:after="0"/>
              <w:ind w:left="0" w:right="0" w:hanging="0"/>
              <w:jc w:val="both"/>
              <w:rPr/>
            </w:pPr>
            <w:r>
              <w:rPr/>
              <w:t>​</w:t>
            </w:r>
          </w:p>
        </w:tc>
      </w:tr>
      <w:tr>
        <w:trPr/>
        <w:tc>
          <w:tcPr>
            <w:tcW w:w="391" w:type="dxa"/>
            <w:tcBorders/>
            <w:vAlign w:val="center"/>
          </w:tcPr>
          <w:p>
            <w:pPr>
              <w:pStyle w:val="TableContents"/>
              <w:bidi w:val="0"/>
              <w:spacing w:lineRule="auto" w:line="285" w:before="0" w:after="100"/>
              <w:ind w:left="0" w:right="0" w:hanging="0"/>
              <w:jc w:val="right"/>
              <w:rPr>
                <w:color w:val="005670"/>
              </w:rPr>
            </w:pPr>
            <w:r>
              <w:rPr>
                <w:color w:val="005670"/>
              </w:rPr>
              <w:t>■  ​</w:t>
            </w:r>
          </w:p>
        </w:tc>
        <w:tc>
          <w:tcPr>
            <w:tcW w:w="1201"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Short sales;</w:t>
            </w:r>
          </w:p>
        </w:tc>
      </w:tr>
    </w:tbl>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P-97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4640" w:type="dxa"/>
        <w:jc w:val="left"/>
        <w:tblInd w:w="0" w:type="dxa"/>
        <w:tblLayout w:type="fixed"/>
        <w:tblCellMar>
          <w:top w:w="0" w:type="dxa"/>
          <w:left w:w="0" w:type="dxa"/>
          <w:bottom w:w="0" w:type="dxa"/>
          <w:right w:w="0" w:type="dxa"/>
        </w:tblCellMar>
      </w:tblPr>
      <w:tblGrid>
        <w:gridCol w:w="4486"/>
        <w:gridCol w:w="154"/>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448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COMPENSATION DISCUSSION AND ANALYSIS</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tbl>
      <w:tblPr>
        <w:tblW w:w="3197" w:type="dxa"/>
        <w:jc w:val="left"/>
        <w:tblInd w:w="0" w:type="dxa"/>
        <w:tblLayout w:type="fixed"/>
        <w:tblCellMar>
          <w:top w:w="0" w:type="dxa"/>
          <w:left w:w="0" w:type="dxa"/>
          <w:bottom w:w="0" w:type="dxa"/>
          <w:right w:w="0" w:type="dxa"/>
        </w:tblCellMar>
      </w:tblPr>
      <w:tblGrid>
        <w:gridCol w:w="391"/>
        <w:gridCol w:w="2806"/>
      </w:tblGrid>
      <w:tr>
        <w:trPr/>
        <w:tc>
          <w:tcPr>
            <w:tcW w:w="391" w:type="dxa"/>
            <w:tcBorders/>
            <w:vAlign w:val="center"/>
          </w:tcPr>
          <w:p>
            <w:pPr>
              <w:pStyle w:val="TableContents"/>
              <w:bidi w:val="0"/>
              <w:spacing w:lineRule="auto" w:line="285" w:before="0" w:after="100"/>
              <w:ind w:left="0" w:right="0" w:hanging="0"/>
              <w:jc w:val="right"/>
              <w:rPr>
                <w:color w:val="005670"/>
              </w:rPr>
            </w:pPr>
            <w:r>
              <w:rPr>
                <w:color w:val="005670"/>
              </w:rPr>
              <w:t>■  ​</w:t>
            </w:r>
          </w:p>
        </w:tc>
        <w:tc>
          <w:tcPr>
            <w:tcW w:w="2806"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Publicly traded options;</w:t>
            </w:r>
          </w:p>
        </w:tc>
      </w:tr>
      <w:tr>
        <w:trPr/>
        <w:tc>
          <w:tcPr>
            <w:tcW w:w="391" w:type="dxa"/>
            <w:tcBorders/>
            <w:vAlign w:val="center"/>
          </w:tcPr>
          <w:p>
            <w:pPr>
              <w:pStyle w:val="TableContents"/>
              <w:bidi w:val="0"/>
              <w:spacing w:lineRule="auto" w:line="285" w:before="0" w:after="100"/>
              <w:ind w:left="0" w:right="0" w:hanging="0"/>
              <w:jc w:val="right"/>
              <w:rPr>
                <w:color w:val="005670"/>
              </w:rPr>
            </w:pPr>
            <w:r>
              <w:rPr>
                <w:color w:val="005670"/>
              </w:rPr>
              <w:t>■  ​</w:t>
            </w:r>
          </w:p>
        </w:tc>
        <w:tc>
          <w:tcPr>
            <w:tcW w:w="2806"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Hedging transactions; and</w:t>
            </w:r>
          </w:p>
        </w:tc>
      </w:tr>
      <w:tr>
        <w:trPr/>
        <w:tc>
          <w:tcPr>
            <w:tcW w:w="391" w:type="dxa"/>
            <w:tcBorders/>
            <w:vAlign w:val="center"/>
          </w:tcPr>
          <w:p>
            <w:pPr>
              <w:pStyle w:val="TableContents"/>
              <w:bidi w:val="0"/>
              <w:spacing w:lineRule="auto" w:line="285" w:before="0" w:after="0"/>
              <w:ind w:left="0" w:right="0" w:hanging="0"/>
              <w:jc w:val="right"/>
              <w:rPr>
                <w:color w:val="005670"/>
              </w:rPr>
            </w:pPr>
            <w:r>
              <w:rPr>
                <w:color w:val="005670"/>
              </w:rPr>
              <w:t>■  ​</w:t>
            </w:r>
          </w:p>
        </w:tc>
        <w:tc>
          <w:tcPr>
            <w:tcW w:w="2806" w:type="dxa"/>
            <w:tcBorders/>
            <w:vAlign w:val="center"/>
          </w:tcPr>
          <w:p>
            <w:pPr>
              <w:pStyle w:val="TableContents"/>
              <w:bidi w:val="0"/>
              <w:spacing w:lineRule="auto" w:line="285" w:before="0" w:after="160"/>
              <w:ind w:left="0" w:right="0" w:hanging="0"/>
              <w:jc w:val="left"/>
              <w:rPr>
                <w:rFonts w:ascii="Arial;Helvetica;sans-serif" w:hAnsi="Arial;Helvetica;sans-serif"/>
                <w:sz w:val="20"/>
              </w:rPr>
            </w:pPr>
            <w:r>
              <w:rPr>
                <w:rFonts w:ascii="Arial;Helvetica;sans-serif" w:hAnsi="Arial;Helvetica;sans-serif"/>
                <w:sz w:val="20"/>
              </w:rPr>
              <w:t>Margin accounts and pledging.</w:t>
            </w:r>
          </w:p>
        </w:tc>
      </w:tr>
    </w:tbl>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Our Executive Officers and directors must certify compliance with the hedging and pledging provisions of our Insider Trading Policy on an annual basis, and all have done so.</w:t>
      </w:r>
    </w:p>
    <w:p>
      <w:pPr>
        <w:pStyle w:val="TextBody"/>
        <w:bidi w:val="0"/>
        <w:spacing w:lineRule="auto" w:line="285" w:before="0" w:after="200"/>
        <w:ind w:left="0" w:right="0" w:hanging="0"/>
        <w:jc w:val="both"/>
        <w:rPr>
          <w:rFonts w:ascii="Arial;Helvetica;sans-serif" w:hAnsi="Arial;Helvetica;sans-serif"/>
          <w:b/>
          <w:color w:val="ECA44A"/>
          <w:sz w:val="28"/>
        </w:rPr>
      </w:pPr>
      <w:r>
        <w:rPr>
          <w:rFonts w:ascii="Arial;Helvetica;sans-serif" w:hAnsi="Arial;Helvetica;sans-serif"/>
          <w:b/>
          <w:color w:val="ECA44A"/>
          <w:sz w:val="28"/>
        </w:rPr>
        <w:t>USE OF TALLY SHEETS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Committee reviews compensation tally sheets, prepared by management, that present comprehensive data on the total compensation and benefits package for each of our Named Executive Officers. Tally sheets include all current compensation obligations, as well as additional analyses with respect to payments at hypothetical terminations to consider the Company’s obligations under such circumstances. The Committee does not use the tally sheets to determine the various elements of compensation or the actual amounts of compensation to be approved but, rather, to evaluate the Company’s obligations under the various programs.</w:t>
      </w:r>
    </w:p>
    <w:p>
      <w:pPr>
        <w:pStyle w:val="TextBody"/>
        <w:bidi w:val="0"/>
        <w:spacing w:lineRule="auto" w:line="285" w:before="0" w:after="200"/>
        <w:ind w:left="0" w:right="0" w:hanging="0"/>
        <w:jc w:val="both"/>
        <w:rPr>
          <w:rFonts w:ascii="Arial;Helvetica;sans-serif" w:hAnsi="Arial;Helvetica;sans-serif"/>
          <w:sz w:val="32"/>
        </w:rPr>
      </w:pPr>
      <w:bookmarkStart w:id="148" w:name="TIOC"/>
      <w:bookmarkEnd w:id="148"/>
      <w:r>
        <w:rPr>
          <w:rFonts w:ascii="Arial;Helvetica;sans-serif" w:hAnsi="Arial;Helvetica;sans-serif"/>
          <w:sz w:val="32"/>
        </w:rPr>
        <w:t>Tax Impact on Compensation</w:t>
      </w:r>
    </w:p>
    <w:p>
      <w:pPr>
        <w:pStyle w:val="TextBody"/>
        <w:bidi w:val="0"/>
        <w:spacing w:lineRule="auto" w:line="285" w:before="0" w:after="20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Section 162(m) of the Internal Revenue Code limits the annual tax deduction to $1 million for compensation paid by a publicly held company to its chief executive officer, its chief financial officer, and certain of the company’s other current and former executive officers.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P-98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rFonts w:ascii="Arial;Helvetica;sans-serif" w:hAnsi="Arial;Helvetica;sans-serif"/>
          <w:b/>
          <w:color w:val="ECA44A"/>
          <w:sz w:val="40"/>
        </w:rPr>
      </w:pPr>
      <w:bookmarkStart w:id="149" w:name="COMPENSATIONCOMMITTEEREPORT"/>
      <w:bookmarkStart w:id="150" w:name="_81b5535d_08a2_480d_ab08_2e5c26ba587c"/>
      <w:bookmarkEnd w:id="149"/>
      <w:bookmarkEnd w:id="150"/>
      <w:r>
        <w:rPr>
          <w:rFonts w:ascii="Arial;Helvetica;sans-serif" w:hAnsi="Arial;Helvetica;sans-serif"/>
          <w:b/>
          <w:color w:val="ECA44A"/>
          <w:sz w:val="40"/>
        </w:rPr>
        <w:t>COMPENSATION COMMITTEE REPORT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Compensation Committee of the Board of Directors has reviewed and discussed the above Compensation Discussion and Analysis with management. Based on such review and discussions, the Compensation Committee recommended to the Company’s Board of Directors that the above Compensation Discussion and Analysis be included in this proxy statement.</w:t>
      </w:r>
    </w:p>
    <w:tbl>
      <w:tblPr>
        <w:tblW w:w="4955" w:type="dxa"/>
        <w:jc w:val="left"/>
        <w:tblInd w:w="0" w:type="dxa"/>
        <w:tblLayout w:type="fixed"/>
        <w:tblCellMar>
          <w:top w:w="0" w:type="dxa"/>
          <w:left w:w="0" w:type="dxa"/>
          <w:bottom w:w="0" w:type="dxa"/>
          <w:right w:w="0" w:type="dxa"/>
        </w:tblCellMar>
      </w:tblPr>
      <w:tblGrid>
        <w:gridCol w:w="124"/>
        <w:gridCol w:w="4831"/>
      </w:tblGrid>
      <w:tr>
        <w:trPr/>
        <w:tc>
          <w:tcPr>
            <w:tcW w:w="124" w:type="dxa"/>
            <w:tcBorders/>
            <w:vAlign w:val="center"/>
          </w:tcPr>
          <w:p>
            <w:pPr>
              <w:pStyle w:val="TableContents"/>
              <w:bidi w:val="0"/>
              <w:spacing w:lineRule="auto" w:line="285" w:before="0" w:after="0"/>
              <w:ind w:left="0" w:right="0" w:hanging="0"/>
              <w:jc w:val="both"/>
              <w:rPr/>
            </w:pPr>
            <w:r>
              <w:rPr/>
              <w:t>​</w:t>
            </w:r>
          </w:p>
        </w:tc>
        <w:tc>
          <w:tcPr>
            <w:tcW w:w="4831" w:type="dxa"/>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pBdr/>
              <w:bidi w:val="0"/>
              <w:spacing w:lineRule="auto" w:line="285" w:before="0" w:after="0"/>
              <w:ind w:left="0" w:right="0" w:hanging="0"/>
              <w:jc w:val="both"/>
              <w:rPr/>
            </w:pPr>
            <w:r>
              <w:rPr/>
              <w:t>​</w:t>
            </w:r>
          </w:p>
        </w:tc>
        <w:tc>
          <w:tcPr>
            <w:tcW w:w="4831" w:type="dxa"/>
            <w:tcBorders/>
            <w:vAlign w:val="center"/>
          </w:tcPr>
          <w:p>
            <w:pPr>
              <w:pStyle w:val="TableContents"/>
              <w:bidi w:val="0"/>
              <w:spacing w:lineRule="auto" w:line="285" w:before="0" w:after="0"/>
              <w:ind w:left="0" w:right="0" w:hanging="0"/>
              <w:jc w:val="left"/>
              <w:rPr>
                <w:rFonts w:ascii="Arial;Helvetica;sans-serif" w:hAnsi="Arial;Helvetica;sans-serif"/>
                <w:b/>
                <w:color w:val="4B4F54"/>
                <w:sz w:val="20"/>
              </w:rPr>
            </w:pPr>
            <w:r>
              <w:rPr>
                <w:rFonts w:ascii="Arial;Helvetica;sans-serif" w:hAnsi="Arial;Helvetica;sans-serif"/>
                <w:b/>
                <w:color w:val="4B4F54"/>
                <w:sz w:val="20"/>
              </w:rPr>
              <w:t>MEMBERS OF THE COMPENSATION COMMITTEE</w:t>
            </w:r>
          </w:p>
        </w:tc>
      </w:tr>
      <w:tr>
        <w:trPr/>
        <w:tc>
          <w:tcPr>
            <w:tcW w:w="124" w:type="dxa"/>
            <w:tcBorders/>
            <w:vAlign w:val="center"/>
          </w:tcPr>
          <w:p>
            <w:pPr>
              <w:pStyle w:val="TableContents"/>
              <w:pBdr/>
              <w:bidi w:val="0"/>
              <w:spacing w:lineRule="auto" w:line="285" w:before="0" w:after="0"/>
              <w:ind w:left="0" w:right="0" w:hanging="0"/>
              <w:jc w:val="both"/>
              <w:rPr/>
            </w:pPr>
            <w:r>
              <w:rPr/>
              <w:t>​</w:t>
            </w:r>
          </w:p>
        </w:tc>
        <w:tc>
          <w:tcPr>
            <w:tcW w:w="4831" w:type="dxa"/>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pBdr/>
              <w:bidi w:val="0"/>
              <w:spacing w:lineRule="auto" w:line="285" w:before="0" w:after="0"/>
              <w:ind w:left="0" w:right="0" w:hanging="0"/>
              <w:jc w:val="both"/>
              <w:rPr/>
            </w:pPr>
            <w:r>
              <w:rPr/>
              <w:t>​</w:t>
            </w:r>
          </w:p>
        </w:tc>
        <w:tc>
          <w:tcPr>
            <w:tcW w:w="4831"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Glyn A. Barker, Chair</w:t>
              <w:br/>
              <w:t>Vanessa C.L. Chang</w:t>
            </w:r>
          </w:p>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Frederico F. Curado</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P-99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rFonts w:ascii="Arial;Helvetica;sans-serif" w:hAnsi="Arial;Helvetica;sans-serif"/>
          <w:b/>
          <w:color w:val="ECA44A"/>
          <w:sz w:val="40"/>
        </w:rPr>
      </w:pPr>
      <w:bookmarkStart w:id="151" w:name="EXECUTIVECOMPENSATION"/>
      <w:bookmarkStart w:id="152" w:name="_3d9bcdb6_0e22_4577_8b8b_815d4ea07ac4"/>
      <w:bookmarkEnd w:id="151"/>
      <w:bookmarkEnd w:id="152"/>
      <w:r>
        <w:rPr>
          <w:rFonts w:ascii="Arial;Helvetica;sans-serif" w:hAnsi="Arial;Helvetica;sans-serif"/>
          <w:b/>
          <w:color w:val="ECA44A"/>
          <w:sz w:val="40"/>
        </w:rPr>
        <w:t>EXECUTIVE COMPENSATION</w:t>
      </w:r>
    </w:p>
    <w:p>
      <w:pPr>
        <w:pStyle w:val="TextBody"/>
        <w:pBdr/>
        <w:bidi w:val="0"/>
        <w:spacing w:lineRule="auto" w:line="285" w:before="0" w:after="0"/>
        <w:ind w:left="0" w:right="0" w:hanging="220"/>
        <w:jc w:val="both"/>
        <w:rPr>
          <w:rFonts w:ascii="Arial;Helvetica;sans-serif" w:hAnsi="Arial;Helvetica;sans-serif"/>
          <w:sz w:val="32"/>
        </w:rPr>
      </w:pPr>
      <w:r>
        <w:rPr>
          <w:rFonts w:ascii="Arial;Helvetica;sans-serif" w:hAnsi="Arial;Helvetica;sans-serif"/>
          <w:sz w:val="32"/>
        </w:rPr>
        <w:t>Summary Compensation Table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following table shows the compensation paid by the Company for the fiscal year ended December 31, 2025, to each of our Chief Executive Officer, Chief Financial Officer, Executive Chair (Former Chief Executive Officer), and the next three most highly compensated Executive Officers, who are collectively referred to herein as our Named Executive Officers.</w:t>
      </w:r>
    </w:p>
    <w:p>
      <w:pPr>
        <w:pStyle w:val="TextBody"/>
        <w:bidi w:val="0"/>
        <w:spacing w:lineRule="auto" w:line="285" w:before="0" w:after="0"/>
        <w:ind w:left="0" w:right="0" w:hanging="0"/>
        <w:jc w:val="both"/>
        <w:rPr/>
      </w:pPr>
      <w:r>
        <w:rPr/>
        <w:t>​</w:t>
      </w:r>
    </w:p>
    <w:tbl>
      <w:tblPr>
        <w:tblW w:w="10549" w:type="dxa"/>
        <w:jc w:val="left"/>
        <w:tblInd w:w="0" w:type="dxa"/>
        <w:tblLayout w:type="fixed"/>
        <w:tblCellMar>
          <w:top w:w="0" w:type="dxa"/>
          <w:left w:w="0" w:type="dxa"/>
          <w:bottom w:w="0" w:type="dxa"/>
          <w:right w:w="0" w:type="dxa"/>
        </w:tblCellMar>
      </w:tblPr>
      <w:tblGrid>
        <w:gridCol w:w="901"/>
        <w:gridCol w:w="226"/>
        <w:gridCol w:w="466"/>
        <w:gridCol w:w="226"/>
        <w:gridCol w:w="826"/>
        <w:gridCol w:w="226"/>
        <w:gridCol w:w="541"/>
        <w:gridCol w:w="226"/>
        <w:gridCol w:w="826"/>
        <w:gridCol w:w="226"/>
        <w:gridCol w:w="691"/>
        <w:gridCol w:w="226"/>
        <w:gridCol w:w="1111"/>
        <w:gridCol w:w="226"/>
        <w:gridCol w:w="1081"/>
        <w:gridCol w:w="226"/>
        <w:gridCol w:w="1111"/>
        <w:gridCol w:w="226"/>
        <w:gridCol w:w="961"/>
      </w:tblGrid>
      <w:tr>
        <w:trPr/>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72135" cy="175260"/>
                      <wp:effectExtent l="0" t="0" r="0" b="0"/>
                      <wp:wrapNone/>
                      <wp:docPr id="256" name="Frame13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43510" cy="175260"/>
                      <wp:effectExtent l="0" t="0" r="0" b="0"/>
                      <wp:wrapNone/>
                      <wp:docPr id="257" name="Frame13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95910" cy="175260"/>
                      <wp:effectExtent l="0" t="0" r="0" b="0"/>
                      <wp:wrapNone/>
                      <wp:docPr id="258" name="Frame13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43510" cy="175260"/>
                      <wp:effectExtent l="0" t="0" r="0" b="0"/>
                      <wp:wrapNone/>
                      <wp:docPr id="259" name="Frame13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24510" cy="175260"/>
                      <wp:effectExtent l="0" t="0" r="0" b="0"/>
                      <wp:wrapNone/>
                      <wp:docPr id="260" name="Frame13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43510" cy="175260"/>
                      <wp:effectExtent l="0" t="0" r="0" b="0"/>
                      <wp:wrapNone/>
                      <wp:docPr id="261" name="Frame13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43535" cy="175260"/>
                      <wp:effectExtent l="0" t="0" r="0" b="0"/>
                      <wp:wrapNone/>
                      <wp:docPr id="262" name="Frame13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43510" cy="175260"/>
                      <wp:effectExtent l="0" t="0" r="0" b="0"/>
                      <wp:wrapNone/>
                      <wp:docPr id="263" name="Frame1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24510" cy="175260"/>
                      <wp:effectExtent l="0" t="0" r="0" b="0"/>
                      <wp:wrapNone/>
                      <wp:docPr id="264" name="Frame13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43510" cy="175260"/>
                      <wp:effectExtent l="0" t="0" r="0" b="0"/>
                      <wp:wrapNone/>
                      <wp:docPr id="265" name="Frame1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38785" cy="175260"/>
                      <wp:effectExtent l="0" t="0" r="0" b="0"/>
                      <wp:wrapNone/>
                      <wp:docPr id="266" name="Frame1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43510" cy="175260"/>
                      <wp:effectExtent l="0" t="0" r="0" b="0"/>
                      <wp:wrapNone/>
                      <wp:docPr id="267" name="Frame14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705485" cy="175260"/>
                      <wp:effectExtent l="0" t="0" r="0" b="0"/>
                      <wp:wrapNone/>
                      <wp:docPr id="268" name="Frame142"/>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43510" cy="175260"/>
                      <wp:effectExtent l="0" t="0" r="0" b="0"/>
                      <wp:wrapNone/>
                      <wp:docPr id="269" name="Frame14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86435" cy="175260"/>
                      <wp:effectExtent l="0" t="0" r="0" b="0"/>
                      <wp:wrapNone/>
                      <wp:docPr id="270" name="Frame14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43510" cy="175260"/>
                      <wp:effectExtent l="0" t="0" r="0" b="0"/>
                      <wp:wrapNone/>
                      <wp:docPr id="271" name="Frame1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05485" cy="175260"/>
                      <wp:effectExtent l="0" t="0" r="0" b="0"/>
                      <wp:wrapNone/>
                      <wp:docPr id="272" name="Frame14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43510" cy="175260"/>
                      <wp:effectExtent l="0" t="0" r="0" b="0"/>
                      <wp:wrapNone/>
                      <wp:docPr id="273" name="Frame14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10235" cy="175260"/>
                      <wp:effectExtent l="0" t="0" r="0" b="0"/>
                      <wp:wrapNone/>
                      <wp:docPr id="274" name="Frame14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90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46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8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54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8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69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111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108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CHANGE IN</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111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961" w:type="dxa"/>
            <w:tcBorders/>
            <w:vAlign w:val="center"/>
          </w:tcPr>
          <w:p>
            <w:pPr>
              <w:pStyle w:val="TableContents"/>
              <w:bidi w:val="0"/>
              <w:spacing w:lineRule="auto" w:line="285" w:before="0" w:after="0"/>
              <w:ind w:left="0" w:right="0" w:hanging="0"/>
              <w:jc w:val="center"/>
              <w:rPr>
                <w:color w:val="4B4F54"/>
              </w:rPr>
            </w:pPr>
            <w:r>
              <w:rPr>
                <w:color w:val="4B4F54"/>
              </w:rPr>
              <w:t>​</w:t>
            </w:r>
          </w:p>
        </w:tc>
      </w:tr>
      <w:tr>
        <w:trPr/>
        <w:tc>
          <w:tcPr>
            <w:tcW w:w="90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46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54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69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1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8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PENSION</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1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color w:val="4B4F54"/>
              </w:rPr>
            </w:pPr>
            <w:r>
              <w:rPr>
                <w:color w:val="4B4F54"/>
              </w:rPr>
              <w:t>​</w:t>
            </w:r>
          </w:p>
        </w:tc>
      </w:tr>
      <w:tr>
        <w:trPr/>
        <w:tc>
          <w:tcPr>
            <w:tcW w:w="90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46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54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69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1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8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VALUE AND</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1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color w:val="4B4F54"/>
              </w:rPr>
            </w:pPr>
            <w:r>
              <w:rPr>
                <w:color w:val="4B4F54"/>
              </w:rPr>
              <w:t>​</w:t>
            </w:r>
          </w:p>
        </w:tc>
      </w:tr>
      <w:tr>
        <w:trPr/>
        <w:tc>
          <w:tcPr>
            <w:tcW w:w="90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46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54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69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1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NON-EQUITY</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8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NONQUALIFIED</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1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color w:val="4B4F54"/>
              </w:rPr>
            </w:pPr>
            <w:r>
              <w:rPr>
                <w:color w:val="4B4F54"/>
              </w:rPr>
              <w:t>​</w:t>
            </w:r>
          </w:p>
        </w:tc>
      </w:tr>
      <w:tr>
        <w:trPr/>
        <w:tc>
          <w:tcPr>
            <w:tcW w:w="90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46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54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69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1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INCENTIVE</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8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DEFERRED</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1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color w:val="4B4F54"/>
              </w:rPr>
            </w:pPr>
            <w:r>
              <w:rPr>
                <w:color w:val="4B4F54"/>
              </w:rPr>
              <w:t>​</w:t>
            </w:r>
          </w:p>
        </w:tc>
      </w:tr>
      <w:tr>
        <w:trPr/>
        <w:tc>
          <w:tcPr>
            <w:tcW w:w="90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46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54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STOCK</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69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OPTION</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1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PLAN</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8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COMPENSATION</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1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ALL OTHER</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color w:val="4B4F54"/>
              </w:rPr>
            </w:pPr>
            <w:r>
              <w:rPr>
                <w:color w:val="4B4F54"/>
              </w:rPr>
              <w:t>​</w:t>
            </w:r>
          </w:p>
        </w:tc>
      </w:tr>
      <w:tr>
        <w:trPr/>
        <w:tc>
          <w:tcPr>
            <w:tcW w:w="901" w:type="dxa"/>
            <w:tcBorders/>
            <w:vAlign w:val="center"/>
          </w:tcPr>
          <w:p>
            <w:pPr>
              <w:pStyle w:val="TableContents"/>
              <w:bidi w:val="0"/>
              <w:spacing w:lineRule="auto" w:line="285" w:before="0" w:after="0"/>
              <w:ind w:left="0" w:right="0" w:hanging="0"/>
              <w:jc w:val="both"/>
              <w:rPr>
                <w:rFonts w:ascii="Arial;Helvetica;sans-serif" w:hAnsi="Arial;Helvetica;sans-serif"/>
                <w:b/>
                <w:color w:val="4B4F54"/>
                <w:sz w:val="12"/>
              </w:rPr>
            </w:pPr>
            <w:r>
              <w:rPr>
                <w:rFonts w:ascii="Arial;Helvetica;sans-serif" w:hAnsi="Arial;Helvetica;sans-serif"/>
                <w:b/>
                <w:color w:val="4B4F54"/>
                <w:sz w:val="12"/>
              </w:rPr>
              <w:t>NAME AND</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46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color w:val="4B4F54"/>
                <w:sz w:val="12"/>
              </w:rPr>
              <w:t xml:space="preserve">SALARY </w:t>
            </w:r>
            <w:r>
              <w:rPr>
                <w:rFonts w:ascii="Arial;Helvetica;sans-serif" w:hAnsi="Arial;Helvetica;sans-serif"/>
                <w:b/>
                <w:color w:val="4B4F54"/>
                <w:sz w:val="9"/>
              </w:rPr>
              <w:t>(1)</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54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BONUS</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color w:val="4B4F54"/>
                <w:sz w:val="12"/>
              </w:rPr>
              <w:t>AWARDS</w:t>
            </w:r>
            <w:r>
              <w:rPr>
                <w:rFonts w:ascii="Arial;Helvetica;sans-serif" w:hAnsi="Arial;Helvetica;sans-serif"/>
                <w:b/>
                <w:color w:val="4B4F54"/>
                <w:sz w:val="9"/>
              </w:rPr>
              <w:t>(2)</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691" w:type="dxa"/>
            <w:tcBorders/>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color w:val="4B4F54"/>
                <w:sz w:val="12"/>
              </w:rPr>
              <w:t>AWARDS</w:t>
            </w:r>
            <w:r>
              <w:rPr>
                <w:rFonts w:ascii="Arial;Helvetica;sans-serif" w:hAnsi="Arial;Helvetica;sans-serif"/>
                <w:b/>
                <w:color w:val="4B4F54"/>
                <w:sz w:val="9"/>
              </w:rPr>
              <w:t>(2)</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11" w:type="dxa"/>
            <w:tcBorders/>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color w:val="4B4F54"/>
                <w:sz w:val="12"/>
              </w:rPr>
              <w:t>COMPENSATION</w:t>
            </w:r>
            <w:r>
              <w:rPr>
                <w:rFonts w:ascii="Arial;Helvetica;sans-serif" w:hAnsi="Arial;Helvetica;sans-serif"/>
                <w:b/>
                <w:color w:val="4B4F54"/>
                <w:sz w:val="9"/>
              </w:rPr>
              <w:t>(3)</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81" w:type="dxa"/>
            <w:tcBorders/>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color w:val="4B4F54"/>
                <w:sz w:val="12"/>
              </w:rPr>
              <w:t>EARNINGS</w:t>
            </w:r>
            <w:r>
              <w:rPr>
                <w:rFonts w:ascii="Arial;Helvetica;sans-serif" w:hAnsi="Arial;Helvetica;sans-serif"/>
                <w:b/>
                <w:color w:val="4B4F54"/>
                <w:sz w:val="9"/>
              </w:rPr>
              <w:t>(4)</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11" w:type="dxa"/>
            <w:tcBorders/>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color w:val="4B4F54"/>
                <w:sz w:val="12"/>
              </w:rPr>
              <w:t>COMPENSATION</w:t>
            </w:r>
            <w:r>
              <w:rPr>
                <w:rFonts w:ascii="Arial;Helvetica;sans-serif" w:hAnsi="Arial;Helvetica;sans-serif"/>
                <w:b/>
                <w:color w:val="4B4F54"/>
                <w:sz w:val="9"/>
              </w:rPr>
              <w:t>(5)</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TOTAL</w:t>
            </w:r>
          </w:p>
        </w:tc>
      </w:tr>
      <w:tr>
        <w:trPr/>
        <w:tc>
          <w:tcPr>
            <w:tcW w:w="901"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2"/>
              </w:rPr>
            </w:pPr>
            <w:r>
              <w:rPr>
                <w:rFonts w:ascii="Arial;Helvetica;sans-serif" w:hAnsi="Arial;Helvetica;sans-serif"/>
                <w:b/>
                <w:color w:val="4B4F54"/>
                <w:sz w:val="12"/>
              </w:rPr>
              <w:t>PRINCIPAL POSITION</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46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YEAR</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(U.S. $)</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54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(U.S. $)</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(U.S. $)</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69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(U.S. $)</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111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(U.S. $)</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108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(U.S. $)</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111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(U.S. $)</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(U.S. $)</w:t>
            </w:r>
          </w:p>
        </w:tc>
      </w:tr>
      <w:tr>
        <w:trPr/>
        <w:tc>
          <w:tcPr>
            <w:tcW w:w="901" w:type="dxa"/>
            <w:tcBorders/>
            <w:vAlign w:val="center"/>
          </w:tcPr>
          <w:p>
            <w:pPr>
              <w:pStyle w:val="TableContents"/>
              <w:bidi w:val="0"/>
              <w:spacing w:lineRule="auto" w:line="285" w:before="0" w:after="0"/>
              <w:ind w:left="0" w:right="0" w:hanging="0"/>
              <w:jc w:val="both"/>
              <w:rPr>
                <w:rFonts w:ascii="Arial;Helvetica;sans-serif" w:hAnsi="Arial;Helvetica;sans-serif"/>
                <w:b/>
                <w:sz w:val="15"/>
              </w:rPr>
            </w:pPr>
            <w:r>
              <w:rPr>
                <w:rFonts w:ascii="Arial;Helvetica;sans-serif" w:hAnsi="Arial;Helvetica;sans-serif"/>
                <w:b/>
                <w:sz w:val="15"/>
              </w:rPr>
              <w:t>Keelan I. Adamson</w:t>
            </w:r>
          </w:p>
        </w:tc>
        <w:tc>
          <w:tcPr>
            <w:tcW w:w="226" w:type="dxa"/>
            <w:tcBorders/>
            <w:vAlign w:val="center"/>
          </w:tcPr>
          <w:p>
            <w:pPr>
              <w:pStyle w:val="TableContents"/>
              <w:bidi w:val="0"/>
              <w:spacing w:lineRule="auto" w:line="285" w:before="0" w:after="0"/>
              <w:ind w:left="0" w:right="0" w:hanging="0"/>
              <w:jc w:val="both"/>
              <w:rPr/>
            </w:pPr>
            <w:r>
              <w:rPr/>
              <w:t> </w:t>
            </w:r>
          </w:p>
        </w:tc>
        <w:tc>
          <w:tcPr>
            <w:tcW w:w="4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2025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933,333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5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5,771,957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1,820,000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66,010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202,414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6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8,793,715</w:t>
            </w:r>
          </w:p>
        </w:tc>
      </w:tr>
      <w:tr>
        <w:trPr/>
        <w:tc>
          <w:tcPr>
            <w:tcW w:w="901" w:type="dxa"/>
            <w:tcBorders/>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President</w:t>
            </w:r>
          </w:p>
        </w:tc>
        <w:tc>
          <w:tcPr>
            <w:tcW w:w="226" w:type="dxa"/>
            <w:tcBorders/>
            <w:vAlign w:val="center"/>
          </w:tcPr>
          <w:p>
            <w:pPr>
              <w:pStyle w:val="TableContents"/>
              <w:bidi w:val="0"/>
              <w:spacing w:lineRule="auto" w:line="285" w:before="0" w:after="0"/>
              <w:ind w:left="0" w:right="0" w:hanging="0"/>
              <w:jc w:val="both"/>
              <w:rPr/>
            </w:pPr>
            <w:r>
              <w:rPr/>
              <w:t> </w:t>
            </w:r>
          </w:p>
        </w:tc>
        <w:tc>
          <w:tcPr>
            <w:tcW w:w="4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800,000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5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3,365,270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808,000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188,661</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6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5,161,932</w:t>
            </w:r>
          </w:p>
        </w:tc>
      </w:tr>
      <w:tr>
        <w:trPr/>
        <w:tc>
          <w:tcPr>
            <w:tcW w:w="901"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and Chief Executive Officer</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46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2023</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800,000</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54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2,907,999</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11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816,000</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60,336</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111"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187,000</w:t>
            </w:r>
          </w:p>
        </w:tc>
        <w:tc>
          <w:tcPr>
            <w:tcW w:w="226" w:type="dxa"/>
            <w:tcBorders>
              <w:bottom w:val="single" w:sz="2" w:space="0" w:color="A6A6A6"/>
            </w:tcBorders>
            <w:tcMar>
              <w:bottom w:w="28" w:type="dxa"/>
            </w:tcMar>
            <w:vAlign w:val="center"/>
          </w:tcPr>
          <w:p>
            <w:pPr>
              <w:pStyle w:val="TableContents"/>
              <w:bidi w:val="0"/>
              <w:spacing w:lineRule="auto" w:line="240" w:before="0" w:after="0"/>
              <w:ind w:left="0" w:right="0" w:hanging="0"/>
              <w:jc w:val="center"/>
              <w:rPr/>
            </w:pPr>
            <w:r>
              <w:rPr/>
              <w:t> ​</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4,771,335</w:t>
            </w:r>
          </w:p>
        </w:tc>
      </w:tr>
      <w:tr>
        <w:trPr/>
        <w:tc>
          <w:tcPr>
            <w:tcW w:w="901" w:type="dxa"/>
            <w:tcBorders/>
            <w:vAlign w:val="center"/>
          </w:tcPr>
          <w:p>
            <w:pPr>
              <w:pStyle w:val="TableContents"/>
              <w:bidi w:val="0"/>
              <w:spacing w:lineRule="auto" w:line="285" w:before="0" w:after="0"/>
              <w:ind w:left="0" w:right="0" w:hanging="0"/>
              <w:jc w:val="both"/>
              <w:rPr>
                <w:rFonts w:ascii="Arial;Helvetica;sans-serif" w:hAnsi="Arial;Helvetica;sans-serif"/>
                <w:b/>
                <w:sz w:val="15"/>
              </w:rPr>
            </w:pPr>
            <w:r>
              <w:rPr>
                <w:rFonts w:ascii="Arial;Helvetica;sans-serif" w:hAnsi="Arial;Helvetica;sans-serif"/>
                <w:b/>
                <w:sz w:val="15"/>
              </w:rPr>
              <w:t xml:space="preserve">R. Thaddeus Vayda </w:t>
            </w:r>
          </w:p>
        </w:tc>
        <w:tc>
          <w:tcPr>
            <w:tcW w:w="226" w:type="dxa"/>
            <w:tcBorders/>
            <w:vAlign w:val="center"/>
          </w:tcPr>
          <w:p>
            <w:pPr>
              <w:pStyle w:val="TableContents"/>
              <w:bidi w:val="0"/>
              <w:spacing w:lineRule="auto" w:line="285" w:before="0" w:after="0"/>
              <w:ind w:left="0" w:right="0" w:hanging="0"/>
              <w:jc w:val="both"/>
              <w:rPr/>
            </w:pPr>
            <w:r>
              <w:rPr/>
              <w:t>​</w:t>
            </w:r>
          </w:p>
        </w:tc>
        <w:tc>
          <w:tcPr>
            <w:tcW w:w="4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2025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625,000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5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2,045,544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937,500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130,086</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3,738,130</w:t>
            </w:r>
          </w:p>
        </w:tc>
      </w:tr>
      <w:tr>
        <w:trPr/>
        <w:tc>
          <w:tcPr>
            <w:tcW w:w="901" w:type="dxa"/>
            <w:tcBorders/>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Executive Vice President</w:t>
            </w:r>
          </w:p>
        </w:tc>
        <w:tc>
          <w:tcPr>
            <w:tcW w:w="226" w:type="dxa"/>
            <w:tcBorders/>
            <w:vAlign w:val="center"/>
          </w:tcPr>
          <w:p>
            <w:pPr>
              <w:pStyle w:val="TableContents"/>
              <w:bidi w:val="0"/>
              <w:spacing w:lineRule="auto" w:line="285" w:before="0" w:after="0"/>
              <w:ind w:left="0" w:right="0" w:hanging="0"/>
              <w:jc w:val="both"/>
              <w:rPr/>
            </w:pPr>
            <w:r>
              <w:rPr/>
              <w:t>​</w:t>
            </w:r>
          </w:p>
        </w:tc>
        <w:tc>
          <w:tcPr>
            <w:tcW w:w="4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558,333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5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1,509,483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528,698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97,089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2,693,603</w:t>
            </w:r>
          </w:p>
        </w:tc>
      </w:tr>
      <w:tr>
        <w:trPr/>
        <w:tc>
          <w:tcPr>
            <w:tcW w:w="901"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and Chief Financial Officer</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46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54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11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111"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r>
      <w:tr>
        <w:trPr/>
        <w:tc>
          <w:tcPr>
            <w:tcW w:w="901" w:type="dxa"/>
            <w:tcBorders/>
            <w:vAlign w:val="center"/>
          </w:tcPr>
          <w:p>
            <w:pPr>
              <w:pStyle w:val="TableContents"/>
              <w:bidi w:val="0"/>
              <w:spacing w:lineRule="auto" w:line="240" w:before="0" w:after="0"/>
              <w:ind w:left="0" w:right="0" w:hanging="0"/>
              <w:jc w:val="both"/>
              <w:rPr>
                <w:rFonts w:ascii="Arial;Helvetica;sans-serif" w:hAnsi="Arial;Helvetica;sans-serif"/>
                <w:sz w:val="14"/>
              </w:rPr>
            </w:pPr>
            <w:r>
              <w:rPr>
                <w:rFonts w:ascii="Arial;Helvetica;sans-serif" w:hAnsi="Arial;Helvetica;sans-serif"/>
                <w:b/>
                <w:sz w:val="15"/>
              </w:rPr>
              <w:t xml:space="preserve">Jeremy D. Thigpen </w:t>
            </w:r>
            <w:r>
              <w:rPr>
                <w:rFonts w:ascii="Arial;Helvetica;sans-serif" w:hAnsi="Arial;Helvetica;sans-serif"/>
                <w:b/>
                <w:sz w:val="11"/>
              </w:rPr>
              <w:t>(6)</w:t>
            </w:r>
          </w:p>
        </w:tc>
        <w:tc>
          <w:tcPr>
            <w:tcW w:w="226" w:type="dxa"/>
            <w:tcBorders/>
            <w:vAlign w:val="center"/>
          </w:tcPr>
          <w:p>
            <w:pPr>
              <w:pStyle w:val="TableContents"/>
              <w:bidi w:val="0"/>
              <w:spacing w:lineRule="auto" w:line="285" w:before="0" w:after="0"/>
              <w:ind w:left="0" w:right="0" w:hanging="0"/>
              <w:jc w:val="both"/>
              <w:rPr/>
            </w:pPr>
            <w:r>
              <w:rPr/>
              <w:t> </w:t>
            </w:r>
          </w:p>
        </w:tc>
        <w:tc>
          <w:tcPr>
            <w:tcW w:w="4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2025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2,185,000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5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3,740,429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776,250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404,409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6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7,106,087</w:t>
            </w:r>
          </w:p>
        </w:tc>
      </w:tr>
      <w:tr>
        <w:trPr/>
        <w:tc>
          <w:tcPr>
            <w:tcW w:w="901" w:type="dxa"/>
            <w:tcBorders/>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 xml:space="preserve">Executive Chair </w:t>
            </w:r>
          </w:p>
        </w:tc>
        <w:tc>
          <w:tcPr>
            <w:tcW w:w="226" w:type="dxa"/>
            <w:tcBorders/>
            <w:vAlign w:val="center"/>
          </w:tcPr>
          <w:p>
            <w:pPr>
              <w:pStyle w:val="TableContents"/>
              <w:bidi w:val="0"/>
              <w:spacing w:lineRule="auto" w:line="285" w:before="0" w:after="0"/>
              <w:ind w:left="0" w:right="0" w:hanging="0"/>
              <w:jc w:val="both"/>
              <w:rPr/>
            </w:pPr>
            <w:r>
              <w:rPr/>
              <w:t> </w:t>
            </w:r>
          </w:p>
        </w:tc>
        <w:tc>
          <w:tcPr>
            <w:tcW w:w="4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1,150,000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5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7,918,289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1,568,025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301,827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6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10,938,141</w:t>
            </w:r>
          </w:p>
        </w:tc>
      </w:tr>
      <w:tr>
        <w:trPr/>
        <w:tc>
          <w:tcPr>
            <w:tcW w:w="901"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(Former Chief Executive Officer)</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46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2023</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1,150,000</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54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8,308,561</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11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1,583,550</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111"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313,105</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11,355,216</w:t>
            </w:r>
          </w:p>
        </w:tc>
      </w:tr>
      <w:tr>
        <w:trPr/>
        <w:tc>
          <w:tcPr>
            <w:tcW w:w="901" w:type="dxa"/>
            <w:tcBorders/>
            <w:vAlign w:val="center"/>
          </w:tcPr>
          <w:p>
            <w:pPr>
              <w:pStyle w:val="TableContents"/>
              <w:bidi w:val="0"/>
              <w:spacing w:lineRule="auto" w:line="285" w:before="0" w:after="0"/>
              <w:ind w:left="0" w:right="0" w:hanging="0"/>
              <w:jc w:val="both"/>
              <w:rPr>
                <w:rFonts w:ascii="Arial;Helvetica;sans-serif" w:hAnsi="Arial;Helvetica;sans-serif"/>
                <w:b/>
                <w:sz w:val="15"/>
              </w:rPr>
            </w:pPr>
            <w:r>
              <w:rPr>
                <w:rFonts w:ascii="Arial;Helvetica;sans-serif" w:hAnsi="Arial;Helvetica;sans-serif"/>
                <w:b/>
                <w:sz w:val="15"/>
              </w:rPr>
              <w:t>Brady K. Long</w:t>
            </w:r>
          </w:p>
        </w:tc>
        <w:tc>
          <w:tcPr>
            <w:tcW w:w="226" w:type="dxa"/>
            <w:tcBorders/>
            <w:vAlign w:val="center"/>
          </w:tcPr>
          <w:p>
            <w:pPr>
              <w:pStyle w:val="TableContents"/>
              <w:bidi w:val="0"/>
              <w:spacing w:lineRule="auto" w:line="285" w:before="0" w:after="0"/>
              <w:ind w:left="0" w:right="0" w:hanging="0"/>
              <w:jc w:val="both"/>
              <w:rPr/>
            </w:pPr>
            <w:r>
              <w:rPr/>
              <w:t> </w:t>
            </w:r>
          </w:p>
        </w:tc>
        <w:tc>
          <w:tcPr>
            <w:tcW w:w="4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2025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630,000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5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2,142,244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945,000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142,957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6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3,860,201</w:t>
            </w:r>
          </w:p>
        </w:tc>
      </w:tr>
      <w:tr>
        <w:trPr/>
        <w:tc>
          <w:tcPr>
            <w:tcW w:w="901" w:type="dxa"/>
            <w:tcBorders/>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Executive Vice President</w:t>
            </w:r>
          </w:p>
        </w:tc>
        <w:tc>
          <w:tcPr>
            <w:tcW w:w="226" w:type="dxa"/>
            <w:tcBorders/>
            <w:vAlign w:val="center"/>
          </w:tcPr>
          <w:p>
            <w:pPr>
              <w:pStyle w:val="TableContents"/>
              <w:bidi w:val="0"/>
              <w:spacing w:lineRule="auto" w:line="285" w:before="0" w:after="0"/>
              <w:ind w:left="0" w:right="0" w:hanging="0"/>
              <w:jc w:val="both"/>
              <w:rPr/>
            </w:pPr>
            <w:r>
              <w:rPr/>
              <w:t> </w:t>
            </w:r>
          </w:p>
        </w:tc>
        <w:tc>
          <w:tcPr>
            <w:tcW w:w="4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618,750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5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2,159,534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624,938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144,362</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6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3,547,583</w:t>
            </w:r>
          </w:p>
        </w:tc>
      </w:tr>
      <w:tr>
        <w:trPr/>
        <w:tc>
          <w:tcPr>
            <w:tcW w:w="901"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and Chief Legal Officer</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46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2023</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600,000</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54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2,265,972</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11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612,000</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111"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148,300</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3,626,272</w:t>
            </w:r>
          </w:p>
        </w:tc>
      </w:tr>
      <w:tr>
        <w:trPr/>
        <w:tc>
          <w:tcPr>
            <w:tcW w:w="901" w:type="dxa"/>
            <w:tcBorders/>
            <w:vAlign w:val="center"/>
          </w:tcPr>
          <w:p>
            <w:pPr>
              <w:pStyle w:val="TableContents"/>
              <w:bidi w:val="0"/>
              <w:spacing w:lineRule="auto" w:line="285" w:before="0" w:after="0"/>
              <w:ind w:left="0" w:right="0" w:hanging="0"/>
              <w:jc w:val="both"/>
              <w:rPr>
                <w:rFonts w:ascii="Arial;Helvetica;sans-serif" w:hAnsi="Arial;Helvetica;sans-serif"/>
                <w:b/>
                <w:sz w:val="15"/>
              </w:rPr>
            </w:pPr>
            <w:r>
              <w:rPr>
                <w:rFonts w:ascii="Arial;Helvetica;sans-serif" w:hAnsi="Arial;Helvetica;sans-serif"/>
                <w:b/>
                <w:sz w:val="15"/>
              </w:rPr>
              <w:t>Roderick J. Mackenzie</w:t>
            </w:r>
          </w:p>
        </w:tc>
        <w:tc>
          <w:tcPr>
            <w:tcW w:w="226" w:type="dxa"/>
            <w:tcBorders/>
            <w:vAlign w:val="center"/>
          </w:tcPr>
          <w:p>
            <w:pPr>
              <w:pStyle w:val="TableContents"/>
              <w:bidi w:val="0"/>
              <w:spacing w:lineRule="auto" w:line="285" w:before="0" w:after="0"/>
              <w:ind w:left="0" w:right="0" w:hanging="0"/>
              <w:jc w:val="both"/>
              <w:rPr/>
            </w:pPr>
            <w:r>
              <w:rPr/>
              <w:t> </w:t>
            </w:r>
          </w:p>
        </w:tc>
        <w:tc>
          <w:tcPr>
            <w:tcW w:w="4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2025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550,000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5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1,542,929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825,000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8,345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136,809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6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3,063,083</w:t>
            </w:r>
          </w:p>
        </w:tc>
      </w:tr>
      <w:tr>
        <w:trPr/>
        <w:tc>
          <w:tcPr>
            <w:tcW w:w="901" w:type="dxa"/>
            <w:tcBorders/>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Executive Vice President</w:t>
            </w:r>
          </w:p>
        </w:tc>
        <w:tc>
          <w:tcPr>
            <w:tcW w:w="226" w:type="dxa"/>
            <w:tcBorders/>
            <w:vAlign w:val="center"/>
          </w:tcPr>
          <w:p>
            <w:pPr>
              <w:pStyle w:val="TableContents"/>
              <w:bidi w:val="0"/>
              <w:spacing w:lineRule="auto" w:line="285" w:before="0" w:after="0"/>
              <w:ind w:left="0" w:right="0" w:hanging="0"/>
              <w:jc w:val="both"/>
              <w:rPr/>
            </w:pPr>
            <w:r>
              <w:rPr/>
              <w:t> </w:t>
            </w:r>
          </w:p>
        </w:tc>
        <w:tc>
          <w:tcPr>
            <w:tcW w:w="4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547,443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5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1,633,149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552,918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125,383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6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2,858,893</w:t>
            </w:r>
          </w:p>
        </w:tc>
      </w:tr>
      <w:tr>
        <w:trPr/>
        <w:tc>
          <w:tcPr>
            <w:tcW w:w="901"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Chief Commercial Officer</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46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54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11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111"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r>
      <w:tr>
        <w:trPr/>
        <w:tc>
          <w:tcPr>
            <w:tcW w:w="901" w:type="dxa"/>
            <w:tcBorders/>
            <w:vAlign w:val="center"/>
          </w:tcPr>
          <w:p>
            <w:pPr>
              <w:pStyle w:val="TableContents"/>
              <w:bidi w:val="0"/>
              <w:spacing w:lineRule="auto" w:line="285" w:before="0" w:after="0"/>
              <w:ind w:left="0" w:right="0" w:hanging="0"/>
              <w:jc w:val="both"/>
              <w:rPr>
                <w:rFonts w:ascii="Arial;Helvetica;sans-serif" w:hAnsi="Arial;Helvetica;sans-serif"/>
                <w:b/>
                <w:sz w:val="15"/>
              </w:rPr>
            </w:pPr>
            <w:r>
              <w:rPr>
                <w:rFonts w:ascii="Arial;Helvetica;sans-serif" w:hAnsi="Arial;Helvetica;sans-serif"/>
                <w:b/>
                <w:sz w:val="15"/>
              </w:rPr>
              <w:t>Jason B. Pack</w:t>
            </w:r>
          </w:p>
        </w:tc>
        <w:tc>
          <w:tcPr>
            <w:tcW w:w="226" w:type="dxa"/>
            <w:tcBorders/>
            <w:vAlign w:val="center"/>
          </w:tcPr>
          <w:p>
            <w:pPr>
              <w:pStyle w:val="TableContents"/>
              <w:bidi w:val="0"/>
              <w:spacing w:lineRule="auto" w:line="285" w:before="0" w:after="0"/>
              <w:ind w:left="0" w:right="0" w:hanging="0"/>
              <w:jc w:val="both"/>
              <w:rPr/>
            </w:pPr>
            <w:r>
              <w:rPr/>
              <w:t> </w:t>
            </w:r>
          </w:p>
        </w:tc>
        <w:tc>
          <w:tcPr>
            <w:tcW w:w="4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2025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430,000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5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703,671</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483,750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97,913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6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1,715,334</w:t>
            </w:r>
          </w:p>
        </w:tc>
      </w:tr>
      <w:tr>
        <w:trPr/>
        <w:tc>
          <w:tcPr>
            <w:tcW w:w="901" w:type="dxa"/>
            <w:tcBorders/>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Senior Vice President</w:t>
            </w:r>
          </w:p>
        </w:tc>
        <w:tc>
          <w:tcPr>
            <w:tcW w:w="226" w:type="dxa"/>
            <w:tcBorders/>
            <w:vAlign w:val="center"/>
          </w:tcPr>
          <w:p>
            <w:pPr>
              <w:pStyle w:val="TableContents"/>
              <w:bidi w:val="0"/>
              <w:spacing w:lineRule="auto" w:line="285" w:before="0" w:after="0"/>
              <w:ind w:left="0" w:right="0" w:hanging="0"/>
              <w:jc w:val="both"/>
              <w:rPr/>
            </w:pPr>
            <w:r>
              <w:rPr/>
              <w:t> </w:t>
            </w:r>
          </w:p>
        </w:tc>
        <w:tc>
          <w:tcPr>
            <w:tcW w:w="4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5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11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6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901"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Chief Accounting Officer</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46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54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11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111"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88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 Mr. Thigpen, Salary for 2025 includes $383,333 for service as CEO and $1,801,667 for service as Executive Chair as detailed in his employment agreement.</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2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These amounts represent the aggregate grant date fair value of performance units and restricted share units granted in each year as shown in the “Grants of Plan-Based Awards for 2025” table and computed in accordance with the provisions of FASB ASC Topic 718. For a discussion of our policies for estimating fair values of, and additional information about, our share-based awards, please see Notes to Consolidated Financial Statements—Note 2—Significant Accounting Policies and Note 14—Share-Based Compensation included in Item 8 of our annual report on Form 10 K for the fiscal year ended December 31, 2025.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991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These amounts represent annual cash bonuses payable to the Named Executive Officers based on service during the year and awarded in the following year pursuant to the Performance Award and Cash Bonus Plan. The Performance Award and Cash Bonus Plan, including the performance targets used for 2025, is described under the Compensation Discussion and Analysis – Annual Performance Bonus.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w:t>
            </w:r>
          </w:p>
        </w:tc>
        <w:tc>
          <w:tcPr>
            <w:tcW w:w="9912"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These amounts represent the change in value during the 12-month period ending on December 31 of each year. There are no nonqualified deferred compensation earnings included in this column because no Named Executive Officers received above-market or preferential earnings on such compensation during 2025, 2024 or 2023.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w:t>
            </w:r>
          </w:p>
        </w:tc>
        <w:tc>
          <w:tcPr>
            <w:tcW w:w="9922"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All Other Compensation for 2025 includes company matching contributions of $35,000 to the account of each Named Executive Officer under the U.S. 401(k) Savings Plan; company matching contributions under the Savings Restoration Plan in the following amounts: Mr. Adamson, $139,133; Mr. Vayda $80,370; Mr. Thigpen $340,303; Mr. Long $90,494; Mr. Mackenzie $75,292 and Mr. Pack $38,513; and company-paid benefits in the following amounts: Mr. Adamson $28,281; Mr. Vayda $14,716; Mr. Thigpen $29,106 ; Mr. Long $17,463; Mr. Mackenzie $26,517 and Mr. Pack $24,400.</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(6)</w:t>
            </w:r>
          </w:p>
        </w:tc>
        <w:tc>
          <w:tcPr>
            <w:tcW w:w="988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role of Chief Executive Officer was transitioned from Mr. Thigpen to Mr. Adamson on May 1, 2025. Mr. Thigpen currently serves as the Executive Chair of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P-100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53" w:name="_60dd415a_d70c_4258_922a_c1e446653f86"/>
      <w:bookmarkStart w:id="154" w:name="_63607423_9f14_4d5a_96c6_9480839c8155"/>
      <w:bookmarkStart w:id="155" w:name="_60dd415a_d70c_4258_922a_c1e446653f86"/>
      <w:bookmarkStart w:id="156" w:name="_63607423_9f14_4d5a_96c6_9480839c8155"/>
      <w:bookmarkEnd w:id="155"/>
      <w:bookmarkEnd w:id="156"/>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lineRule="auto" w:line="285" w:before="0" w:after="0"/>
              <w:ind w:left="0" w:right="0" w:hanging="0"/>
              <w:jc w:val="both"/>
              <w:rPr/>
            </w:pPr>
            <w:r>
              <w:rPr/>
              <w:t>​</w:t>
            </w:r>
          </w:p>
        </w:tc>
        <w:tc>
          <w:tcPr>
            <w:tcW w:w="292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292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EXECUTIVE COMPENSATION</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32"/>
        </w:rPr>
      </w:pPr>
      <w:r>
        <w:rPr>
          <w:rFonts w:ascii="Arial;Helvetica;sans-serif" w:hAnsi="Arial;Helvetica;sans-serif"/>
          <w:sz w:val="32"/>
        </w:rPr>
        <w:t>Grants of Plan-Based Awards for 2025</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following table provides information concerning the annual performance bonus and long-term incentive awards made to each of the Named Executive Officers in the fiscal year ended December 31, 2025.</w:t>
      </w:r>
    </w:p>
    <w:p>
      <w:pPr>
        <w:pStyle w:val="TextBody"/>
        <w:bidi w:val="0"/>
        <w:spacing w:lineRule="auto" w:line="285" w:before="0" w:after="0"/>
        <w:ind w:left="0" w:right="0" w:hanging="0"/>
        <w:jc w:val="both"/>
        <w:rPr/>
      </w:pPr>
      <w:r>
        <w:rPr/>
        <w:t>​</w:t>
      </w:r>
    </w:p>
    <w:tbl>
      <w:tblPr>
        <w:tblW w:w="11200" w:type="dxa"/>
        <w:jc w:val="left"/>
        <w:tblInd w:w="0" w:type="dxa"/>
        <w:tblLayout w:type="fixed"/>
        <w:tblCellMar>
          <w:top w:w="0" w:type="dxa"/>
          <w:left w:w="0" w:type="dxa"/>
          <w:bottom w:w="0" w:type="dxa"/>
          <w:right w:w="0" w:type="dxa"/>
        </w:tblCellMar>
      </w:tblPr>
      <w:tblGrid>
        <w:gridCol w:w="691"/>
        <w:gridCol w:w="226"/>
        <w:gridCol w:w="511"/>
        <w:gridCol w:w="226"/>
        <w:gridCol w:w="466"/>
        <w:gridCol w:w="226"/>
        <w:gridCol w:w="751"/>
        <w:gridCol w:w="226"/>
        <w:gridCol w:w="586"/>
        <w:gridCol w:w="226"/>
        <w:gridCol w:w="631"/>
        <w:gridCol w:w="226"/>
        <w:gridCol w:w="751"/>
        <w:gridCol w:w="226"/>
        <w:gridCol w:w="526"/>
        <w:gridCol w:w="226"/>
        <w:gridCol w:w="631"/>
        <w:gridCol w:w="226"/>
        <w:gridCol w:w="721"/>
        <w:gridCol w:w="226"/>
        <w:gridCol w:w="796"/>
        <w:gridCol w:w="226"/>
        <w:gridCol w:w="661"/>
        <w:gridCol w:w="226"/>
        <w:gridCol w:w="766"/>
      </w:tblGrid>
      <w:tr>
        <w:trPr/>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38785" cy="175260"/>
                      <wp:effectExtent l="0" t="0" r="0" b="0"/>
                      <wp:wrapNone/>
                      <wp:docPr id="275" name="Frame1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43510" cy="175260"/>
                      <wp:effectExtent l="0" t="0" r="0" b="0"/>
                      <wp:wrapNone/>
                      <wp:docPr id="276" name="Frame15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24485" cy="175260"/>
                      <wp:effectExtent l="0" t="0" r="0" b="0"/>
                      <wp:wrapNone/>
                      <wp:docPr id="277" name="Frame15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43510" cy="175260"/>
                      <wp:effectExtent l="0" t="0" r="0" b="0"/>
                      <wp:wrapNone/>
                      <wp:docPr id="278" name="Frame15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95910" cy="175260"/>
                      <wp:effectExtent l="0" t="0" r="0" b="0"/>
                      <wp:wrapNone/>
                      <wp:docPr id="279" name="Frame15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43510" cy="175260"/>
                      <wp:effectExtent l="0" t="0" r="0" b="0"/>
                      <wp:wrapNone/>
                      <wp:docPr id="280" name="Frame15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76885" cy="175260"/>
                      <wp:effectExtent l="0" t="0" r="0" b="0"/>
                      <wp:wrapNone/>
                      <wp:docPr id="281" name="Frame15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43510" cy="175260"/>
                      <wp:effectExtent l="0" t="0" r="0" b="0"/>
                      <wp:wrapNone/>
                      <wp:docPr id="282" name="Frame15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72110" cy="175260"/>
                      <wp:effectExtent l="0" t="0" r="0" b="0"/>
                      <wp:wrapNone/>
                      <wp:docPr id="283" name="Frame15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43510" cy="175260"/>
                      <wp:effectExtent l="0" t="0" r="0" b="0"/>
                      <wp:wrapNone/>
                      <wp:docPr id="284" name="Frame15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00685" cy="175260"/>
                      <wp:effectExtent l="0" t="0" r="0" b="0"/>
                      <wp:wrapNone/>
                      <wp:docPr id="285" name="Frame15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43510" cy="175260"/>
                      <wp:effectExtent l="0" t="0" r="0" b="0"/>
                      <wp:wrapNone/>
                      <wp:docPr id="286" name="Frame16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76885" cy="175260"/>
                      <wp:effectExtent l="0" t="0" r="0" b="0"/>
                      <wp:wrapNone/>
                      <wp:docPr id="287" name="Frame16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43510" cy="175260"/>
                      <wp:effectExtent l="0" t="0" r="0" b="0"/>
                      <wp:wrapNone/>
                      <wp:docPr id="288" name="Frame16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34010" cy="175260"/>
                      <wp:effectExtent l="0" t="0" r="0" b="0"/>
                      <wp:wrapNone/>
                      <wp:docPr id="289" name="Frame16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43510" cy="175260"/>
                      <wp:effectExtent l="0" t="0" r="0" b="0"/>
                      <wp:wrapNone/>
                      <wp:docPr id="290" name="Frame16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00685" cy="175260"/>
                      <wp:effectExtent l="0" t="0" r="0" b="0"/>
                      <wp:wrapNone/>
                      <wp:docPr id="291" name="Frame16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43510" cy="175260"/>
                      <wp:effectExtent l="0" t="0" r="0" b="0"/>
                      <wp:wrapNone/>
                      <wp:docPr id="292" name="Frame16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57835" cy="175260"/>
                      <wp:effectExtent l="0" t="0" r="0" b="0"/>
                      <wp:wrapNone/>
                      <wp:docPr id="293" name="Frame16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43510" cy="175260"/>
                      <wp:effectExtent l="0" t="0" r="0" b="0"/>
                      <wp:wrapNone/>
                      <wp:docPr id="294" name="Frame16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05460" cy="175260"/>
                      <wp:effectExtent l="0" t="0" r="0" b="0"/>
                      <wp:wrapNone/>
                      <wp:docPr id="295" name="Frame16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43510" cy="175260"/>
                      <wp:effectExtent l="0" t="0" r="0" b="0"/>
                      <wp:wrapNone/>
                      <wp:docPr id="296" name="Frame17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19735" cy="175260"/>
                      <wp:effectExtent l="0" t="0" r="0" b="0"/>
                      <wp:wrapNone/>
                      <wp:docPr id="297" name="Frame171"/>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43510" cy="175260"/>
                      <wp:effectExtent l="0" t="0" r="0" b="0"/>
                      <wp:wrapNone/>
                      <wp:docPr id="298" name="Frame17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86410" cy="175260"/>
                      <wp:effectExtent l="0" t="0" r="0" b="0"/>
                      <wp:wrapNone/>
                      <wp:docPr id="299" name="Frame17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69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51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46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563" w:type="dxa"/>
            <w:gridSpan w:val="3"/>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3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5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5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3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2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96"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2"/>
              </w:rPr>
            </w:pPr>
            <w:r>
              <w:rPr>
                <w:rFonts w:ascii="Arial;Helvetica;sans-serif" w:hAnsi="Arial;Helvetica;sans-serif"/>
                <w:b/>
                <w:color w:val="4B4F54"/>
                <w:sz w:val="12"/>
              </w:rPr>
              <w:t>ALL OTHER</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6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66" w:type="dxa"/>
            <w:tcBorders/>
            <w:vAlign w:val="center"/>
          </w:tcPr>
          <w:p>
            <w:pPr>
              <w:pStyle w:val="TableContents"/>
              <w:bidi w:val="0"/>
              <w:spacing w:lineRule="auto" w:line="285" w:before="0" w:after="0"/>
              <w:ind w:left="0" w:right="0" w:hanging="0"/>
              <w:jc w:val="both"/>
              <w:rPr>
                <w:color w:val="4B4F54"/>
              </w:rPr>
            </w:pPr>
            <w:r>
              <w:rPr>
                <w:color w:val="4B4F54"/>
              </w:rPr>
              <w:t>​</w:t>
            </w:r>
          </w:p>
        </w:tc>
      </w:tr>
      <w:tr>
        <w:trPr/>
        <w:tc>
          <w:tcPr>
            <w:tcW w:w="69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51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46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563" w:type="dxa"/>
            <w:gridSpan w:val="3"/>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ESTIMATED</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3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503" w:type="dxa"/>
            <w:gridSpan w:val="3"/>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ESTIMATED</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3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21"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ALL OTHER</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96"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OPTION</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6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66"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GRANT</w:t>
            </w:r>
          </w:p>
        </w:tc>
      </w:tr>
      <w:tr>
        <w:trPr/>
        <w:tc>
          <w:tcPr>
            <w:tcW w:w="69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51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46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563" w:type="dxa"/>
            <w:gridSpan w:val="3"/>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FUTURE</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3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503" w:type="dxa"/>
            <w:gridSpan w:val="3"/>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FUTURE</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3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21"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STOCK</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96"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AWARDS:</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6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66"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DATE</w:t>
            </w:r>
          </w:p>
        </w:tc>
      </w:tr>
      <w:tr>
        <w:trPr/>
        <w:tc>
          <w:tcPr>
            <w:tcW w:w="69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51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46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563" w:type="dxa"/>
            <w:gridSpan w:val="3"/>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PAYOUTS</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3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503" w:type="dxa"/>
            <w:gridSpan w:val="3"/>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PAYOUTS</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3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21"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AWARDS:</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96"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NUMBER OF</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6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66"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FAIR</w:t>
            </w:r>
          </w:p>
        </w:tc>
      </w:tr>
      <w:tr>
        <w:trPr/>
        <w:tc>
          <w:tcPr>
            <w:tcW w:w="69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51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46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563" w:type="dxa"/>
            <w:gridSpan w:val="3"/>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UNDER NON-EQUITY</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3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503" w:type="dxa"/>
            <w:gridSpan w:val="3"/>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 xml:space="preserve">UNDER </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3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21"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NUMBER</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96"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SHARES OF</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61"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EXERCISE</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66"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VALUE OF</w:t>
            </w:r>
          </w:p>
        </w:tc>
      </w:tr>
      <w:tr>
        <w:trPr/>
        <w:tc>
          <w:tcPr>
            <w:tcW w:w="69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51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46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563" w:type="dxa"/>
            <w:gridSpan w:val="3"/>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INCENTIVE</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3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503" w:type="dxa"/>
            <w:gridSpan w:val="3"/>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EQUITY INCENTIVE</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3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21"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OF SHARES</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96"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SECURITIES</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61"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PRICE OF</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66"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STOCK AND</w:t>
            </w:r>
          </w:p>
        </w:tc>
      </w:tr>
      <w:tr>
        <w:trPr/>
        <w:tc>
          <w:tcPr>
            <w:tcW w:w="69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51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46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563" w:type="dxa"/>
            <w:gridSpan w:val="3"/>
            <w:tcBorders/>
            <w:vAlign w:val="center"/>
          </w:tcPr>
          <w:p>
            <w:pPr>
              <w:pStyle w:val="TableContents"/>
              <w:bidi w:val="0"/>
              <w:spacing w:lineRule="auto" w:line="240" w:before="0" w:after="1"/>
              <w:ind w:left="0" w:right="0" w:hanging="0"/>
              <w:jc w:val="center"/>
              <w:rPr>
                <w:rFonts w:ascii="Arial;Helvetica;sans-serif" w:hAnsi="Arial;Helvetica;sans-serif"/>
                <w:sz w:val="10"/>
              </w:rPr>
            </w:pPr>
            <w:r>
              <w:rPr>
                <w:rFonts w:ascii="Arial;Helvetica;sans-serif" w:hAnsi="Arial;Helvetica;sans-serif"/>
                <w:b/>
                <w:color w:val="4B4F54"/>
                <w:sz w:val="11"/>
              </w:rPr>
              <w:t>PLAN AWARDS</w:t>
            </w:r>
            <w:r>
              <w:rPr>
                <w:rFonts w:ascii="Arial;Helvetica;sans-serif" w:hAnsi="Arial;Helvetica;sans-serif"/>
                <w:b/>
                <w:color w:val="4B4F54"/>
                <w:sz w:val="8"/>
              </w:rPr>
              <w:t>(1)</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3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503" w:type="dxa"/>
            <w:gridSpan w:val="3"/>
            <w:tcBorders/>
            <w:vAlign w:val="center"/>
          </w:tcPr>
          <w:p>
            <w:pPr>
              <w:pStyle w:val="TableContents"/>
              <w:bidi w:val="0"/>
              <w:spacing w:lineRule="auto" w:line="240" w:before="0" w:after="1"/>
              <w:ind w:left="0" w:right="0" w:hanging="0"/>
              <w:jc w:val="center"/>
              <w:rPr>
                <w:rFonts w:ascii="Arial;Helvetica;sans-serif" w:hAnsi="Arial;Helvetica;sans-serif"/>
                <w:sz w:val="10"/>
              </w:rPr>
            </w:pPr>
            <w:r>
              <w:rPr>
                <w:rFonts w:ascii="Arial;Helvetica;sans-serif" w:hAnsi="Arial;Helvetica;sans-serif"/>
                <w:b/>
                <w:color w:val="4B4F54"/>
                <w:sz w:val="11"/>
              </w:rPr>
              <w:t>PLAN AWARDS</w:t>
            </w:r>
            <w:r>
              <w:rPr>
                <w:rFonts w:ascii="Arial;Helvetica;sans-serif" w:hAnsi="Arial;Helvetica;sans-serif"/>
                <w:b/>
                <w:color w:val="4B4F54"/>
                <w:sz w:val="8"/>
              </w:rPr>
              <w:t>(2)</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3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21"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OF STOCK</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96"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UNDERLYING</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61"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OPTION</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66"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OPTION</w:t>
            </w:r>
          </w:p>
        </w:tc>
      </w:tr>
      <w:tr>
        <w:trPr/>
        <w:tc>
          <w:tcPr>
            <w:tcW w:w="69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1"/>
              <w:ind w:left="0" w:right="0" w:hanging="0"/>
              <w:jc w:val="both"/>
              <w:rPr>
                <w:color w:val="4B4F54"/>
              </w:rPr>
            </w:pPr>
            <w:r>
              <w:rPr>
                <w:color w:val="4B4F54"/>
              </w:rPr>
              <w:t>  ​</w:t>
            </w:r>
          </w:p>
        </w:tc>
        <w:tc>
          <w:tcPr>
            <w:tcW w:w="511"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TYPE OF</w:t>
            </w:r>
          </w:p>
        </w:tc>
        <w:tc>
          <w:tcPr>
            <w:tcW w:w="226" w:type="dxa"/>
            <w:tcBorders/>
            <w:vAlign w:val="center"/>
          </w:tcPr>
          <w:p>
            <w:pPr>
              <w:pStyle w:val="TableContents"/>
              <w:bidi w:val="0"/>
              <w:spacing w:lineRule="auto" w:line="285" w:before="0" w:after="1"/>
              <w:ind w:left="0" w:right="0" w:hanging="0"/>
              <w:jc w:val="both"/>
              <w:rPr>
                <w:color w:val="4B4F54"/>
              </w:rPr>
            </w:pPr>
            <w:r>
              <w:rPr>
                <w:color w:val="4B4F54"/>
              </w:rPr>
              <w:t>  ​</w:t>
            </w:r>
          </w:p>
        </w:tc>
        <w:tc>
          <w:tcPr>
            <w:tcW w:w="466"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GRANT</w:t>
            </w:r>
          </w:p>
        </w:tc>
        <w:tc>
          <w:tcPr>
            <w:tcW w:w="226" w:type="dxa"/>
            <w:tcBorders/>
            <w:vAlign w:val="center"/>
          </w:tcPr>
          <w:p>
            <w:pPr>
              <w:pStyle w:val="TableContents"/>
              <w:bidi w:val="0"/>
              <w:spacing w:lineRule="auto" w:line="285" w:before="0" w:after="1"/>
              <w:ind w:left="0" w:right="0" w:hanging="0"/>
              <w:jc w:val="both"/>
              <w:rPr>
                <w:color w:val="4B4F54"/>
              </w:rPr>
            </w:pPr>
            <w:r>
              <w:rPr>
                <w:color w:val="4B4F54"/>
              </w:rPr>
              <w:t>  ​</w:t>
            </w:r>
          </w:p>
        </w:tc>
        <w:tc>
          <w:tcPr>
            <w:tcW w:w="751"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THRESHOLD</w:t>
            </w:r>
          </w:p>
        </w:tc>
        <w:tc>
          <w:tcPr>
            <w:tcW w:w="226" w:type="dxa"/>
            <w:tcBorders/>
            <w:vAlign w:val="center"/>
          </w:tcPr>
          <w:p>
            <w:pPr>
              <w:pStyle w:val="TableContents"/>
              <w:bidi w:val="0"/>
              <w:spacing w:lineRule="auto" w:line="285" w:before="0" w:after="1"/>
              <w:ind w:left="0" w:right="0" w:hanging="0"/>
              <w:jc w:val="both"/>
              <w:rPr>
                <w:color w:val="4B4F54"/>
              </w:rPr>
            </w:pPr>
            <w:r>
              <w:rPr>
                <w:color w:val="4B4F54"/>
              </w:rPr>
              <w:t>  ​</w:t>
            </w:r>
          </w:p>
        </w:tc>
        <w:tc>
          <w:tcPr>
            <w:tcW w:w="586"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TARGET</w:t>
            </w:r>
          </w:p>
        </w:tc>
        <w:tc>
          <w:tcPr>
            <w:tcW w:w="226" w:type="dxa"/>
            <w:tcBorders/>
            <w:vAlign w:val="center"/>
          </w:tcPr>
          <w:p>
            <w:pPr>
              <w:pStyle w:val="TableContents"/>
              <w:bidi w:val="0"/>
              <w:spacing w:lineRule="auto" w:line="285" w:before="0" w:after="1"/>
              <w:ind w:left="0" w:right="0" w:hanging="0"/>
              <w:jc w:val="both"/>
              <w:rPr>
                <w:color w:val="4B4F54"/>
              </w:rPr>
            </w:pPr>
            <w:r>
              <w:rPr>
                <w:color w:val="4B4F54"/>
              </w:rPr>
              <w:t>  ​</w:t>
            </w:r>
          </w:p>
        </w:tc>
        <w:tc>
          <w:tcPr>
            <w:tcW w:w="631"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MAXIMUM</w:t>
            </w:r>
          </w:p>
        </w:tc>
        <w:tc>
          <w:tcPr>
            <w:tcW w:w="226" w:type="dxa"/>
            <w:tcBorders/>
            <w:vAlign w:val="center"/>
          </w:tcPr>
          <w:p>
            <w:pPr>
              <w:pStyle w:val="TableContents"/>
              <w:bidi w:val="0"/>
              <w:spacing w:lineRule="auto" w:line="285" w:before="0" w:after="1"/>
              <w:ind w:left="0" w:right="0" w:hanging="0"/>
              <w:jc w:val="both"/>
              <w:rPr>
                <w:color w:val="4B4F54"/>
              </w:rPr>
            </w:pPr>
            <w:r>
              <w:rPr>
                <w:color w:val="4B4F54"/>
              </w:rPr>
              <w:t>  ​</w:t>
            </w:r>
          </w:p>
        </w:tc>
        <w:tc>
          <w:tcPr>
            <w:tcW w:w="751"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THRESHOLD</w:t>
            </w:r>
          </w:p>
        </w:tc>
        <w:tc>
          <w:tcPr>
            <w:tcW w:w="226" w:type="dxa"/>
            <w:tcBorders/>
            <w:vAlign w:val="center"/>
          </w:tcPr>
          <w:p>
            <w:pPr>
              <w:pStyle w:val="TableContents"/>
              <w:bidi w:val="0"/>
              <w:spacing w:lineRule="auto" w:line="285" w:before="0" w:after="1"/>
              <w:ind w:left="0" w:right="0" w:hanging="0"/>
              <w:jc w:val="both"/>
              <w:rPr>
                <w:color w:val="4B4F54"/>
              </w:rPr>
            </w:pPr>
            <w:r>
              <w:rPr>
                <w:color w:val="4B4F54"/>
              </w:rPr>
              <w:t>  ​</w:t>
            </w:r>
          </w:p>
        </w:tc>
        <w:tc>
          <w:tcPr>
            <w:tcW w:w="526"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TARGET</w:t>
            </w:r>
          </w:p>
        </w:tc>
        <w:tc>
          <w:tcPr>
            <w:tcW w:w="226" w:type="dxa"/>
            <w:tcBorders/>
            <w:vAlign w:val="center"/>
          </w:tcPr>
          <w:p>
            <w:pPr>
              <w:pStyle w:val="TableContents"/>
              <w:bidi w:val="0"/>
              <w:spacing w:lineRule="auto" w:line="285" w:before="0" w:after="1"/>
              <w:ind w:left="0" w:right="0" w:hanging="0"/>
              <w:jc w:val="both"/>
              <w:rPr>
                <w:color w:val="4B4F54"/>
              </w:rPr>
            </w:pPr>
            <w:r>
              <w:rPr>
                <w:color w:val="4B4F54"/>
              </w:rPr>
              <w:t>  ​</w:t>
            </w:r>
          </w:p>
        </w:tc>
        <w:tc>
          <w:tcPr>
            <w:tcW w:w="631" w:type="dxa"/>
            <w:tcBorders/>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MAXIMUM</w:t>
            </w:r>
          </w:p>
        </w:tc>
        <w:tc>
          <w:tcPr>
            <w:tcW w:w="226" w:type="dxa"/>
            <w:tcBorders/>
            <w:vAlign w:val="center"/>
          </w:tcPr>
          <w:p>
            <w:pPr>
              <w:pStyle w:val="TableContents"/>
              <w:bidi w:val="0"/>
              <w:spacing w:lineRule="auto" w:line="285" w:before="0" w:after="1"/>
              <w:ind w:left="0" w:right="0" w:hanging="0"/>
              <w:jc w:val="both"/>
              <w:rPr>
                <w:color w:val="4B4F54"/>
              </w:rPr>
            </w:pPr>
            <w:r>
              <w:rPr>
                <w:color w:val="4B4F54"/>
              </w:rPr>
              <w:t>  ​</w:t>
            </w:r>
          </w:p>
        </w:tc>
        <w:tc>
          <w:tcPr>
            <w:tcW w:w="721" w:type="dxa"/>
            <w:tcBorders/>
            <w:vAlign w:val="center"/>
          </w:tcPr>
          <w:p>
            <w:pPr>
              <w:pStyle w:val="TableContents"/>
              <w:bidi w:val="0"/>
              <w:spacing w:lineRule="auto" w:line="240" w:before="0" w:after="1"/>
              <w:ind w:left="0" w:right="0" w:hanging="0"/>
              <w:jc w:val="center"/>
              <w:rPr>
                <w:rFonts w:ascii="Arial;Helvetica;sans-serif" w:hAnsi="Arial;Helvetica;sans-serif"/>
                <w:sz w:val="10"/>
              </w:rPr>
            </w:pPr>
            <w:r>
              <w:rPr>
                <w:rFonts w:ascii="Arial;Helvetica;sans-serif" w:hAnsi="Arial;Helvetica;sans-serif"/>
                <w:b/>
                <w:color w:val="4B4F54"/>
                <w:sz w:val="11"/>
              </w:rPr>
              <w:t>OR UNITS</w:t>
            </w:r>
            <w:r>
              <w:rPr>
                <w:rFonts w:ascii="Arial;Helvetica;sans-serif" w:hAnsi="Arial;Helvetica;sans-serif"/>
                <w:b/>
                <w:color w:val="4B4F54"/>
                <w:sz w:val="8"/>
              </w:rPr>
              <w:t>(3)</w:t>
            </w:r>
          </w:p>
        </w:tc>
        <w:tc>
          <w:tcPr>
            <w:tcW w:w="226" w:type="dxa"/>
            <w:tcBorders/>
            <w:vAlign w:val="center"/>
          </w:tcPr>
          <w:p>
            <w:pPr>
              <w:pStyle w:val="TableContents"/>
              <w:bidi w:val="0"/>
              <w:spacing w:lineRule="auto" w:line="285" w:before="0" w:after="1"/>
              <w:ind w:left="0" w:right="0" w:hanging="0"/>
              <w:jc w:val="both"/>
              <w:rPr>
                <w:color w:val="4B4F54"/>
              </w:rPr>
            </w:pPr>
            <w:r>
              <w:rPr>
                <w:color w:val="4B4F54"/>
              </w:rPr>
              <w:t>  ​</w:t>
            </w:r>
          </w:p>
        </w:tc>
        <w:tc>
          <w:tcPr>
            <w:tcW w:w="796" w:type="dxa"/>
            <w:tcBorders/>
            <w:vAlign w:val="center"/>
          </w:tcPr>
          <w:p>
            <w:pPr>
              <w:pStyle w:val="TableContents"/>
              <w:bidi w:val="0"/>
              <w:spacing w:lineRule="auto" w:line="240" w:before="0" w:after="1"/>
              <w:ind w:left="0" w:right="0" w:hanging="0"/>
              <w:jc w:val="center"/>
              <w:rPr>
                <w:rFonts w:ascii="Arial;Helvetica;sans-serif" w:hAnsi="Arial;Helvetica;sans-serif"/>
                <w:sz w:val="10"/>
              </w:rPr>
            </w:pPr>
            <w:r>
              <w:rPr>
                <w:rFonts w:ascii="Arial;Helvetica;sans-serif" w:hAnsi="Arial;Helvetica;sans-serif"/>
                <w:b/>
                <w:color w:val="4B4F54"/>
                <w:sz w:val="11"/>
              </w:rPr>
              <w:t>OPTIONS</w:t>
            </w:r>
            <w:r>
              <w:rPr>
                <w:rFonts w:ascii="Arial;Helvetica;sans-serif" w:hAnsi="Arial;Helvetica;sans-serif"/>
                <w:b/>
                <w:color w:val="4B4F54"/>
                <w:sz w:val="8"/>
              </w:rPr>
              <w:t>(3)</w:t>
            </w:r>
          </w:p>
        </w:tc>
        <w:tc>
          <w:tcPr>
            <w:tcW w:w="226" w:type="dxa"/>
            <w:tcBorders/>
            <w:vAlign w:val="center"/>
          </w:tcPr>
          <w:p>
            <w:pPr>
              <w:pStyle w:val="TableContents"/>
              <w:bidi w:val="0"/>
              <w:spacing w:lineRule="auto" w:line="285" w:before="0" w:after="1"/>
              <w:ind w:left="0" w:right="0" w:hanging="0"/>
              <w:jc w:val="both"/>
              <w:rPr>
                <w:color w:val="4B4F54"/>
              </w:rPr>
            </w:pPr>
            <w:r>
              <w:rPr>
                <w:color w:val="4B4F54"/>
              </w:rPr>
              <w:t>  ​</w:t>
            </w:r>
          </w:p>
        </w:tc>
        <w:tc>
          <w:tcPr>
            <w:tcW w:w="661" w:type="dxa"/>
            <w:tcBorders/>
            <w:vAlign w:val="center"/>
          </w:tcPr>
          <w:p>
            <w:pPr>
              <w:pStyle w:val="TableContents"/>
              <w:bidi w:val="0"/>
              <w:spacing w:lineRule="auto" w:line="240" w:before="0" w:after="1"/>
              <w:ind w:left="0" w:right="0" w:hanging="0"/>
              <w:jc w:val="center"/>
              <w:rPr>
                <w:rFonts w:ascii="Arial;Helvetica;sans-serif" w:hAnsi="Arial;Helvetica;sans-serif"/>
                <w:sz w:val="10"/>
              </w:rPr>
            </w:pPr>
            <w:r>
              <w:rPr>
                <w:rFonts w:ascii="Arial;Helvetica;sans-serif" w:hAnsi="Arial;Helvetica;sans-serif"/>
                <w:b/>
                <w:color w:val="4B4F54"/>
                <w:sz w:val="11"/>
              </w:rPr>
              <w:t>AWARDS</w:t>
            </w:r>
            <w:r>
              <w:rPr>
                <w:rFonts w:ascii="Arial;Helvetica;sans-serif" w:hAnsi="Arial;Helvetica;sans-serif"/>
                <w:b/>
                <w:color w:val="4B4F54"/>
                <w:sz w:val="8"/>
              </w:rPr>
              <w:t>(4)</w:t>
            </w:r>
          </w:p>
        </w:tc>
        <w:tc>
          <w:tcPr>
            <w:tcW w:w="226" w:type="dxa"/>
            <w:tcBorders/>
            <w:vAlign w:val="center"/>
          </w:tcPr>
          <w:p>
            <w:pPr>
              <w:pStyle w:val="TableContents"/>
              <w:bidi w:val="0"/>
              <w:spacing w:lineRule="auto" w:line="285" w:before="0" w:after="1"/>
              <w:ind w:left="0" w:right="0" w:hanging="0"/>
              <w:jc w:val="both"/>
              <w:rPr>
                <w:color w:val="4B4F54"/>
              </w:rPr>
            </w:pPr>
            <w:r>
              <w:rPr>
                <w:color w:val="4B4F54"/>
              </w:rPr>
              <w:t>  ​</w:t>
            </w:r>
          </w:p>
        </w:tc>
        <w:tc>
          <w:tcPr>
            <w:tcW w:w="766" w:type="dxa"/>
            <w:tcBorders/>
            <w:vAlign w:val="center"/>
          </w:tcPr>
          <w:p>
            <w:pPr>
              <w:pStyle w:val="TableContents"/>
              <w:bidi w:val="0"/>
              <w:spacing w:lineRule="auto" w:line="240" w:before="0" w:after="1"/>
              <w:ind w:left="0" w:right="0" w:hanging="0"/>
              <w:jc w:val="center"/>
              <w:rPr>
                <w:rFonts w:ascii="Arial;Helvetica;sans-serif" w:hAnsi="Arial;Helvetica;sans-serif"/>
                <w:sz w:val="10"/>
              </w:rPr>
            </w:pPr>
            <w:r>
              <w:rPr>
                <w:rFonts w:ascii="Arial;Helvetica;sans-serif" w:hAnsi="Arial;Helvetica;sans-serif"/>
                <w:b/>
                <w:color w:val="4B4F54"/>
                <w:sz w:val="11"/>
              </w:rPr>
              <w:t>AWARDS</w:t>
            </w:r>
            <w:r>
              <w:rPr>
                <w:rFonts w:ascii="Arial;Helvetica;sans-serif" w:hAnsi="Arial;Helvetica;sans-serif"/>
                <w:b/>
                <w:color w:val="4B4F54"/>
                <w:sz w:val="8"/>
              </w:rPr>
              <w:t>(5)</w:t>
            </w:r>
          </w:p>
        </w:tc>
      </w:tr>
      <w:tr>
        <w:trPr/>
        <w:tc>
          <w:tcPr>
            <w:tcW w:w="691"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511" w:type="dxa"/>
            <w:tcBorders>
              <w:bottom w:val="single" w:sz="12" w:space="0" w:color="ECA44A"/>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AWARD</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466" w:type="dxa"/>
            <w:tcBorders>
              <w:bottom w:val="single" w:sz="12" w:space="0" w:color="ECA44A"/>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DATE</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751" w:type="dxa"/>
            <w:tcBorders>
              <w:bottom w:val="single" w:sz="12" w:space="0" w:color="ECA44A"/>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(U.S. $)</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586" w:type="dxa"/>
            <w:tcBorders>
              <w:bottom w:val="single" w:sz="12" w:space="0" w:color="ECA44A"/>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(U.S. $)</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631" w:type="dxa"/>
            <w:tcBorders>
              <w:bottom w:val="single" w:sz="12" w:space="0" w:color="ECA44A"/>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(U.S. $)</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751" w:type="dxa"/>
            <w:tcBorders>
              <w:bottom w:val="single" w:sz="12" w:space="0" w:color="ECA44A"/>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526" w:type="dxa"/>
            <w:tcBorders>
              <w:bottom w:val="single" w:sz="12" w:space="0" w:color="ECA44A"/>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631" w:type="dxa"/>
            <w:tcBorders>
              <w:bottom w:val="single" w:sz="12" w:space="0" w:color="ECA44A"/>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721" w:type="dxa"/>
            <w:tcBorders>
              <w:bottom w:val="single" w:sz="12" w:space="0" w:color="ECA44A"/>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796" w:type="dxa"/>
            <w:tcBorders>
              <w:bottom w:val="single" w:sz="12" w:space="0" w:color="ECA44A"/>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661" w:type="dxa"/>
            <w:tcBorders>
              <w:bottom w:val="single" w:sz="12" w:space="0" w:color="ECA44A"/>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(U.S. $)</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766" w:type="dxa"/>
            <w:tcBorders>
              <w:bottom w:val="single" w:sz="12" w:space="0" w:color="ECA44A"/>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b/>
                <w:color w:val="4B4F54"/>
                <w:sz w:val="11"/>
              </w:rPr>
            </w:pPr>
            <w:r>
              <w:rPr>
                <w:rFonts w:ascii="Arial;Helvetica;sans-serif" w:hAnsi="Arial;Helvetica;sans-serif"/>
                <w:b/>
                <w:color w:val="4B4F54"/>
                <w:sz w:val="11"/>
              </w:rPr>
              <w:t>(U.S. $)</w:t>
            </w:r>
          </w:p>
        </w:tc>
      </w:tr>
      <w:tr>
        <w:trPr/>
        <w:tc>
          <w:tcPr>
            <w:tcW w:w="691" w:type="dxa"/>
            <w:tcBorders/>
            <w:vAlign w:val="center"/>
          </w:tcPr>
          <w:p>
            <w:pPr>
              <w:pStyle w:val="TableContents"/>
              <w:bidi w:val="0"/>
              <w:spacing w:lineRule="auto" w:line="285" w:before="0" w:after="1"/>
              <w:ind w:left="0" w:right="0" w:hanging="0"/>
              <w:jc w:val="both"/>
              <w:rPr>
                <w:rFonts w:ascii="Arial;Helvetica;sans-serif" w:hAnsi="Arial;Helvetica;sans-serif"/>
                <w:b/>
                <w:sz w:val="12"/>
              </w:rPr>
            </w:pPr>
            <w:r>
              <w:rPr>
                <w:rFonts w:ascii="Arial;Helvetica;sans-serif" w:hAnsi="Arial;Helvetica;sans-serif"/>
                <w:b/>
                <w:sz w:val="12"/>
              </w:rPr>
              <w:t>Keelan I. Adamson</w:t>
            </w:r>
          </w:p>
        </w:tc>
        <w:tc>
          <w:tcPr>
            <w:tcW w:w="226" w:type="dxa"/>
            <w:tcBorders/>
            <w:vAlign w:val="center"/>
          </w:tcPr>
          <w:p>
            <w:pPr>
              <w:pStyle w:val="TableContents"/>
              <w:bidi w:val="0"/>
              <w:spacing w:lineRule="auto" w:line="285" w:before="0" w:after="1"/>
              <w:ind w:left="0" w:right="0" w:hanging="0"/>
              <w:jc w:val="both"/>
              <w:rPr/>
            </w:pPr>
            <w:r>
              <w:rPr/>
              <w:t> </w:t>
            </w:r>
          </w:p>
        </w:tc>
        <w:tc>
          <w:tcPr>
            <w:tcW w:w="511" w:type="dxa"/>
            <w:tcBorders/>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AIP</w:t>
            </w:r>
          </w:p>
        </w:tc>
        <w:tc>
          <w:tcPr>
            <w:tcW w:w="226" w:type="dxa"/>
            <w:tcBorders/>
            <w:vAlign w:val="center"/>
          </w:tcPr>
          <w:p>
            <w:pPr>
              <w:pStyle w:val="TableContents"/>
              <w:bidi w:val="0"/>
              <w:spacing w:lineRule="auto" w:line="285" w:before="0" w:after="1"/>
              <w:ind w:left="0" w:right="0" w:hanging="0"/>
              <w:jc w:val="both"/>
              <w:rPr/>
            </w:pPr>
            <w:r>
              <w:rPr/>
              <w:t> </w:t>
            </w:r>
          </w:p>
        </w:tc>
        <w:tc>
          <w:tcPr>
            <w:tcW w:w="46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7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58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1,300,000</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2,600,000</w:t>
            </w:r>
          </w:p>
        </w:tc>
        <w:tc>
          <w:tcPr>
            <w:tcW w:w="226" w:type="dxa"/>
            <w:tcBorders/>
            <w:vAlign w:val="center"/>
          </w:tcPr>
          <w:p>
            <w:pPr>
              <w:pStyle w:val="TableContents"/>
              <w:bidi w:val="0"/>
              <w:spacing w:lineRule="auto" w:line="285" w:before="0" w:after="1"/>
              <w:ind w:left="0" w:right="0" w:hanging="0"/>
              <w:jc w:val="both"/>
              <w:rPr/>
            </w:pPr>
            <w:r>
              <w:rPr/>
              <w:t> </w:t>
            </w:r>
          </w:p>
        </w:tc>
        <w:tc>
          <w:tcPr>
            <w:tcW w:w="751" w:type="dxa"/>
            <w:tcBorders/>
            <w:vAlign w:val="center"/>
          </w:tcPr>
          <w:p>
            <w:pPr>
              <w:pStyle w:val="TableContents"/>
              <w:bidi w:val="0"/>
              <w:spacing w:lineRule="auto" w:line="285" w:before="0" w:after="1"/>
              <w:ind w:left="0" w:right="0" w:hanging="0"/>
              <w:jc w:val="both"/>
              <w:rPr/>
            </w:pPr>
            <w:r>
              <w:rPr/>
              <w:t>  ​</w:t>
            </w:r>
          </w:p>
        </w:tc>
        <w:tc>
          <w:tcPr>
            <w:tcW w:w="226" w:type="dxa"/>
            <w:tcBorders/>
            <w:vAlign w:val="center"/>
          </w:tcPr>
          <w:p>
            <w:pPr>
              <w:pStyle w:val="TableContents"/>
              <w:bidi w:val="0"/>
              <w:spacing w:lineRule="auto" w:line="285" w:before="0" w:after="1"/>
              <w:ind w:left="0" w:right="0" w:hanging="0"/>
              <w:jc w:val="both"/>
              <w:rPr/>
            </w:pPr>
            <w:r>
              <w:rPr/>
              <w:t> </w:t>
            </w:r>
          </w:p>
        </w:tc>
        <w:tc>
          <w:tcPr>
            <w:tcW w:w="52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2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9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766" w:type="dxa"/>
            <w:tcBorders/>
            <w:vAlign w:val="center"/>
          </w:tcPr>
          <w:p>
            <w:pPr>
              <w:pStyle w:val="TableContents"/>
              <w:bidi w:val="0"/>
              <w:spacing w:lineRule="auto" w:line="285" w:before="0" w:after="0"/>
              <w:ind w:left="0" w:right="0" w:hanging="0"/>
              <w:jc w:val="both"/>
              <w:rPr/>
            </w:pPr>
            <w:r>
              <w:rPr/>
              <w:t>​</w:t>
            </w:r>
          </w:p>
        </w:tc>
      </w:tr>
      <w:tr>
        <w:trPr/>
        <w:tc>
          <w:tcPr>
            <w:tcW w:w="69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511" w:type="dxa"/>
            <w:tcBorders/>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PSU</w:t>
            </w:r>
          </w:p>
        </w:tc>
        <w:tc>
          <w:tcPr>
            <w:tcW w:w="226" w:type="dxa"/>
            <w:tcBorders/>
            <w:vAlign w:val="center"/>
          </w:tcPr>
          <w:p>
            <w:pPr>
              <w:pStyle w:val="TableContents"/>
              <w:bidi w:val="0"/>
              <w:spacing w:lineRule="auto" w:line="285" w:before="0" w:after="1"/>
              <w:ind w:left="0" w:right="0" w:hanging="0"/>
              <w:jc w:val="both"/>
              <w:rPr/>
            </w:pPr>
            <w:r>
              <w:rPr/>
              <w:t> </w:t>
            </w:r>
          </w:p>
        </w:tc>
        <w:tc>
          <w:tcPr>
            <w:tcW w:w="46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2/13/2025</w:t>
            </w:r>
          </w:p>
        </w:tc>
        <w:tc>
          <w:tcPr>
            <w:tcW w:w="226" w:type="dxa"/>
            <w:tcBorders/>
            <w:vAlign w:val="center"/>
          </w:tcPr>
          <w:p>
            <w:pPr>
              <w:pStyle w:val="TableContents"/>
              <w:bidi w:val="0"/>
              <w:spacing w:lineRule="auto" w:line="285" w:before="0" w:after="0"/>
              <w:ind w:left="0" w:right="0" w:hanging="0"/>
              <w:jc w:val="both"/>
              <w:rPr/>
            </w:pPr>
            <w:r>
              <w:rPr/>
              <w:t>​</w:t>
            </w:r>
          </w:p>
        </w:tc>
        <w:tc>
          <w:tcPr>
            <w:tcW w:w="751"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58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52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443,864</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887,728</w:t>
            </w:r>
          </w:p>
        </w:tc>
        <w:tc>
          <w:tcPr>
            <w:tcW w:w="226" w:type="dxa"/>
            <w:tcBorders/>
            <w:vAlign w:val="center"/>
          </w:tcPr>
          <w:p>
            <w:pPr>
              <w:pStyle w:val="TableContents"/>
              <w:bidi w:val="0"/>
              <w:spacing w:lineRule="auto" w:line="285" w:before="0" w:after="0"/>
              <w:ind w:left="0" w:right="0" w:hanging="0"/>
              <w:jc w:val="both"/>
              <w:rPr/>
            </w:pPr>
            <w:r>
              <w:rPr/>
              <w:t>​</w:t>
            </w:r>
          </w:p>
        </w:tc>
        <w:tc>
          <w:tcPr>
            <w:tcW w:w="72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9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6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1,588,900</w:t>
            </w:r>
          </w:p>
        </w:tc>
      </w:tr>
      <w:tr>
        <w:trPr/>
        <w:tc>
          <w:tcPr>
            <w:tcW w:w="69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511" w:type="dxa"/>
            <w:tcBorders/>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PSU</w:t>
            </w:r>
          </w:p>
        </w:tc>
        <w:tc>
          <w:tcPr>
            <w:tcW w:w="226" w:type="dxa"/>
            <w:tcBorders/>
            <w:vAlign w:val="center"/>
          </w:tcPr>
          <w:p>
            <w:pPr>
              <w:pStyle w:val="TableContents"/>
              <w:bidi w:val="0"/>
              <w:spacing w:lineRule="auto" w:line="285" w:before="0" w:after="0"/>
              <w:ind w:left="0" w:right="0" w:hanging="0"/>
              <w:jc w:val="both"/>
              <w:rPr/>
            </w:pPr>
            <w:r>
              <w:rPr/>
              <w:t>​</w:t>
            </w:r>
          </w:p>
        </w:tc>
        <w:tc>
          <w:tcPr>
            <w:tcW w:w="46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5/1/2025</w:t>
            </w:r>
          </w:p>
        </w:tc>
        <w:tc>
          <w:tcPr>
            <w:tcW w:w="226" w:type="dxa"/>
            <w:tcBorders/>
            <w:vAlign w:val="center"/>
          </w:tcPr>
          <w:p>
            <w:pPr>
              <w:pStyle w:val="TableContents"/>
              <w:bidi w:val="0"/>
              <w:spacing w:lineRule="auto" w:line="285" w:before="0" w:after="0"/>
              <w:ind w:left="0" w:right="0" w:hanging="0"/>
              <w:jc w:val="both"/>
              <w:rPr/>
            </w:pPr>
            <w:r>
              <w:rPr/>
              <w:t>​</w:t>
            </w:r>
          </w:p>
        </w:tc>
        <w:tc>
          <w:tcPr>
            <w:tcW w:w="751"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58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52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596,535</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1,193,070</w:t>
            </w:r>
          </w:p>
        </w:tc>
        <w:tc>
          <w:tcPr>
            <w:tcW w:w="226" w:type="dxa"/>
            <w:tcBorders/>
            <w:vAlign w:val="center"/>
          </w:tcPr>
          <w:p>
            <w:pPr>
              <w:pStyle w:val="TableContents"/>
              <w:bidi w:val="0"/>
              <w:spacing w:lineRule="auto" w:line="285" w:before="0" w:after="0"/>
              <w:ind w:left="0" w:right="0" w:hanging="0"/>
              <w:jc w:val="both"/>
              <w:rPr/>
            </w:pPr>
            <w:r>
              <w:rPr/>
              <w:t>​</w:t>
            </w:r>
          </w:p>
        </w:tc>
        <w:tc>
          <w:tcPr>
            <w:tcW w:w="72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9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6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1,322,458</w:t>
            </w:r>
          </w:p>
        </w:tc>
      </w:tr>
      <w:tr>
        <w:trPr/>
        <w:tc>
          <w:tcPr>
            <w:tcW w:w="69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511" w:type="dxa"/>
            <w:tcBorders/>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RSU</w:t>
            </w:r>
          </w:p>
        </w:tc>
        <w:tc>
          <w:tcPr>
            <w:tcW w:w="226" w:type="dxa"/>
            <w:tcBorders/>
            <w:vAlign w:val="center"/>
          </w:tcPr>
          <w:p>
            <w:pPr>
              <w:pStyle w:val="TableContents"/>
              <w:bidi w:val="0"/>
              <w:spacing w:lineRule="auto" w:line="285" w:before="0" w:after="1"/>
              <w:ind w:left="0" w:right="0" w:hanging="0"/>
              <w:jc w:val="both"/>
              <w:rPr/>
            </w:pPr>
            <w:r>
              <w:rPr/>
              <w:t> </w:t>
            </w:r>
          </w:p>
        </w:tc>
        <w:tc>
          <w:tcPr>
            <w:tcW w:w="46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2/13/2025</w:t>
            </w:r>
          </w:p>
        </w:tc>
        <w:tc>
          <w:tcPr>
            <w:tcW w:w="226" w:type="dxa"/>
            <w:tcBorders/>
            <w:vAlign w:val="center"/>
          </w:tcPr>
          <w:p>
            <w:pPr>
              <w:pStyle w:val="TableContents"/>
              <w:bidi w:val="0"/>
              <w:spacing w:lineRule="auto" w:line="285" w:before="0" w:after="0"/>
              <w:ind w:left="0" w:right="0" w:hanging="0"/>
              <w:jc w:val="both"/>
              <w:rPr/>
            </w:pPr>
            <w:r>
              <w:rPr/>
              <w:t>​</w:t>
            </w:r>
          </w:p>
        </w:tc>
        <w:tc>
          <w:tcPr>
            <w:tcW w:w="751"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58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51"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52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21"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438,144</w:t>
            </w:r>
          </w:p>
        </w:tc>
        <w:tc>
          <w:tcPr>
            <w:tcW w:w="226" w:type="dxa"/>
            <w:tcBorders/>
            <w:vAlign w:val="center"/>
          </w:tcPr>
          <w:p>
            <w:pPr>
              <w:pStyle w:val="TableContents"/>
              <w:bidi w:val="0"/>
              <w:spacing w:lineRule="auto" w:line="285" w:before="0" w:after="0"/>
              <w:ind w:left="0" w:right="0" w:hanging="0"/>
              <w:jc w:val="both"/>
              <w:rPr/>
            </w:pPr>
            <w:r>
              <w:rPr/>
              <w:t>​</w:t>
            </w:r>
          </w:p>
        </w:tc>
        <w:tc>
          <w:tcPr>
            <w:tcW w:w="79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6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1,590,463</w:t>
            </w:r>
          </w:p>
        </w:tc>
      </w:tr>
      <w:tr>
        <w:trPr/>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1"/>
              <w:ind w:left="0" w:right="0" w:hanging="0"/>
              <w:jc w:val="both"/>
              <w:rPr/>
            </w:pPr>
            <w:r>
              <w:rPr/>
              <w:t> </w:t>
            </w:r>
          </w:p>
        </w:tc>
        <w:tc>
          <w:tcPr>
            <w:tcW w:w="51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RSU</w:t>
            </w:r>
          </w:p>
        </w:tc>
        <w:tc>
          <w:tcPr>
            <w:tcW w:w="226" w:type="dxa"/>
            <w:tcBorders>
              <w:bottom w:val="single" w:sz="2" w:space="0" w:color="000000"/>
            </w:tcBorders>
            <w:tcMar>
              <w:bottom w:w="28" w:type="dxa"/>
            </w:tcMar>
            <w:vAlign w:val="center"/>
          </w:tcPr>
          <w:p>
            <w:pPr>
              <w:pStyle w:val="TableContents"/>
              <w:bidi w:val="0"/>
              <w:spacing w:lineRule="auto" w:line="285" w:before="0" w:after="1"/>
              <w:ind w:left="0" w:right="0" w:hanging="0"/>
              <w:jc w:val="both"/>
              <w:rPr/>
            </w:pPr>
            <w:r>
              <w:rPr/>
              <w:t> </w:t>
            </w:r>
          </w:p>
        </w:tc>
        <w:tc>
          <w:tcPr>
            <w:tcW w:w="4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5/1/2025</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5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2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542,793</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66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1,270,136</w:t>
            </w:r>
          </w:p>
        </w:tc>
      </w:tr>
      <w:tr>
        <w:trPr/>
        <w:tc>
          <w:tcPr>
            <w:tcW w:w="691" w:type="dxa"/>
            <w:tcBorders/>
            <w:vAlign w:val="center"/>
          </w:tcPr>
          <w:p>
            <w:pPr>
              <w:pStyle w:val="TableContents"/>
              <w:bidi w:val="0"/>
              <w:spacing w:lineRule="auto" w:line="285" w:before="0" w:after="1"/>
              <w:ind w:left="0" w:right="0" w:hanging="0"/>
              <w:jc w:val="both"/>
              <w:rPr>
                <w:rFonts w:ascii="Arial;Helvetica;sans-serif" w:hAnsi="Arial;Helvetica;sans-serif"/>
                <w:b/>
                <w:sz w:val="12"/>
              </w:rPr>
            </w:pPr>
            <w:r>
              <w:rPr>
                <w:rFonts w:ascii="Arial;Helvetica;sans-serif" w:hAnsi="Arial;Helvetica;sans-serif"/>
                <w:b/>
                <w:sz w:val="12"/>
              </w:rPr>
              <w:t>R. Thaddeus Vayda</w:t>
            </w:r>
          </w:p>
        </w:tc>
        <w:tc>
          <w:tcPr>
            <w:tcW w:w="226" w:type="dxa"/>
            <w:tcBorders/>
            <w:vAlign w:val="center"/>
          </w:tcPr>
          <w:p>
            <w:pPr>
              <w:pStyle w:val="TableContents"/>
              <w:bidi w:val="0"/>
              <w:spacing w:lineRule="auto" w:line="285" w:before="0" w:after="0"/>
              <w:ind w:left="0" w:right="0" w:hanging="0"/>
              <w:jc w:val="both"/>
              <w:rPr/>
            </w:pPr>
            <w:r>
              <w:rPr/>
              <w:t>​</w:t>
            </w:r>
          </w:p>
        </w:tc>
        <w:tc>
          <w:tcPr>
            <w:tcW w:w="511" w:type="dxa"/>
            <w:tcBorders/>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AIP</w:t>
            </w:r>
          </w:p>
        </w:tc>
        <w:tc>
          <w:tcPr>
            <w:tcW w:w="226" w:type="dxa"/>
            <w:tcBorders/>
            <w:vAlign w:val="center"/>
          </w:tcPr>
          <w:p>
            <w:pPr>
              <w:pStyle w:val="TableContents"/>
              <w:bidi w:val="0"/>
              <w:spacing w:lineRule="auto" w:line="285" w:before="0" w:after="0"/>
              <w:ind w:left="0" w:right="0" w:hanging="0"/>
              <w:jc w:val="both"/>
              <w:rPr/>
            </w:pPr>
            <w:r>
              <w:rPr/>
              <w:t>​</w:t>
            </w:r>
          </w:p>
        </w:tc>
        <w:tc>
          <w:tcPr>
            <w:tcW w:w="46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58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625,000</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1,250,000</w:t>
            </w:r>
          </w:p>
        </w:tc>
        <w:tc>
          <w:tcPr>
            <w:tcW w:w="226" w:type="dxa"/>
            <w:tcBorders/>
            <w:vAlign w:val="center"/>
          </w:tcPr>
          <w:p>
            <w:pPr>
              <w:pStyle w:val="TableContents"/>
              <w:bidi w:val="0"/>
              <w:spacing w:lineRule="auto" w:line="285" w:before="0" w:after="0"/>
              <w:ind w:left="0" w:right="0" w:hanging="0"/>
              <w:jc w:val="both"/>
              <w:rPr/>
            </w:pPr>
            <w:r>
              <w:rPr/>
              <w:t>​</w:t>
            </w:r>
          </w:p>
        </w:tc>
        <w:tc>
          <w:tcPr>
            <w:tcW w:w="751" w:type="dxa"/>
            <w:tcBorders/>
            <w:vAlign w:val="center"/>
          </w:tcPr>
          <w:p>
            <w:pPr>
              <w:pStyle w:val="TableContents"/>
              <w:bidi w:val="0"/>
              <w:spacing w:lineRule="auto" w:line="285" w:before="0" w:after="1"/>
              <w:ind w:left="0" w:right="0" w:hanging="0"/>
              <w:jc w:val="right"/>
              <w:rPr/>
            </w:pPr>
            <w:r>
              <w:rPr/>
              <w:t>  ​</w:t>
            </w:r>
          </w:p>
        </w:tc>
        <w:tc>
          <w:tcPr>
            <w:tcW w:w="226" w:type="dxa"/>
            <w:tcBorders/>
            <w:vAlign w:val="center"/>
          </w:tcPr>
          <w:p>
            <w:pPr>
              <w:pStyle w:val="TableContents"/>
              <w:bidi w:val="0"/>
              <w:spacing w:lineRule="auto" w:line="285" w:before="0" w:after="0"/>
              <w:ind w:left="0" w:right="0" w:hanging="0"/>
              <w:jc w:val="both"/>
              <w:rPr/>
            </w:pPr>
            <w:r>
              <w:rPr/>
              <w:t>​</w:t>
            </w:r>
          </w:p>
        </w:tc>
        <w:tc>
          <w:tcPr>
            <w:tcW w:w="52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2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96" w:type="dxa"/>
            <w:tcBorders/>
            <w:vAlign w:val="center"/>
          </w:tcPr>
          <w:p>
            <w:pPr>
              <w:pStyle w:val="TableContents"/>
              <w:bidi w:val="0"/>
              <w:spacing w:lineRule="auto" w:line="285" w:before="0" w:after="1"/>
              <w:ind w:left="0" w:right="0" w:hanging="0"/>
              <w:jc w:val="both"/>
              <w:rPr/>
            </w:pPr>
            <w:r>
              <w:rPr/>
              <w:t>  ​</w:t>
            </w:r>
          </w:p>
        </w:tc>
        <w:tc>
          <w:tcPr>
            <w:tcW w:w="226" w:type="dxa"/>
            <w:tcBorders/>
            <w:vAlign w:val="center"/>
          </w:tcPr>
          <w:p>
            <w:pPr>
              <w:pStyle w:val="TableContents"/>
              <w:bidi w:val="0"/>
              <w:spacing w:lineRule="auto" w:line="285" w:before="0" w:after="0"/>
              <w:ind w:left="0" w:right="0" w:hanging="0"/>
              <w:jc w:val="both"/>
              <w:rPr/>
            </w:pPr>
            <w:r>
              <w:rPr/>
              <w:t>​</w:t>
            </w:r>
          </w:p>
        </w:tc>
        <w:tc>
          <w:tcPr>
            <w:tcW w:w="661" w:type="dxa"/>
            <w:tcBorders/>
            <w:vAlign w:val="center"/>
          </w:tcPr>
          <w:p>
            <w:pPr>
              <w:pStyle w:val="TableContents"/>
              <w:bidi w:val="0"/>
              <w:spacing w:lineRule="auto" w:line="285" w:before="0" w:after="1"/>
              <w:ind w:left="0" w:right="0" w:hanging="0"/>
              <w:jc w:val="both"/>
              <w:rPr/>
            </w:pPr>
            <w:r>
              <w:rPr/>
              <w:t>  ​</w:t>
            </w:r>
          </w:p>
        </w:tc>
        <w:tc>
          <w:tcPr>
            <w:tcW w:w="226" w:type="dxa"/>
            <w:tcBorders/>
            <w:vAlign w:val="center"/>
          </w:tcPr>
          <w:p>
            <w:pPr>
              <w:pStyle w:val="TableContents"/>
              <w:bidi w:val="0"/>
              <w:spacing w:lineRule="auto" w:line="285" w:before="0" w:after="0"/>
              <w:ind w:left="0" w:right="0" w:hanging="0"/>
              <w:jc w:val="both"/>
              <w:rPr/>
            </w:pPr>
            <w:r>
              <w:rPr/>
              <w:t>​</w:t>
            </w:r>
          </w:p>
        </w:tc>
        <w:tc>
          <w:tcPr>
            <w:tcW w:w="766" w:type="dxa"/>
            <w:tcBorders/>
            <w:vAlign w:val="center"/>
          </w:tcPr>
          <w:p>
            <w:pPr>
              <w:pStyle w:val="TableContents"/>
              <w:bidi w:val="0"/>
              <w:spacing w:lineRule="auto" w:line="285" w:before="0" w:after="0"/>
              <w:ind w:left="0" w:right="0" w:hanging="0"/>
              <w:jc w:val="both"/>
              <w:rPr/>
            </w:pPr>
            <w:r>
              <w:rPr/>
              <w:t>​</w:t>
            </w:r>
          </w:p>
        </w:tc>
      </w:tr>
      <w:tr>
        <w:trPr/>
        <w:tc>
          <w:tcPr>
            <w:tcW w:w="69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511" w:type="dxa"/>
            <w:tcBorders/>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PSU</w:t>
            </w:r>
          </w:p>
        </w:tc>
        <w:tc>
          <w:tcPr>
            <w:tcW w:w="226" w:type="dxa"/>
            <w:tcBorders/>
            <w:vAlign w:val="center"/>
          </w:tcPr>
          <w:p>
            <w:pPr>
              <w:pStyle w:val="TableContents"/>
              <w:bidi w:val="0"/>
              <w:spacing w:lineRule="auto" w:line="285" w:before="0" w:after="1"/>
              <w:ind w:left="0" w:right="0" w:hanging="0"/>
              <w:jc w:val="both"/>
              <w:rPr/>
            </w:pPr>
            <w:r>
              <w:rPr/>
              <w:t> </w:t>
            </w:r>
          </w:p>
        </w:tc>
        <w:tc>
          <w:tcPr>
            <w:tcW w:w="46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2/13/2025</w:t>
            </w:r>
          </w:p>
        </w:tc>
        <w:tc>
          <w:tcPr>
            <w:tcW w:w="226" w:type="dxa"/>
            <w:tcBorders/>
            <w:vAlign w:val="center"/>
          </w:tcPr>
          <w:p>
            <w:pPr>
              <w:pStyle w:val="TableContents"/>
              <w:bidi w:val="0"/>
              <w:spacing w:lineRule="auto" w:line="285" w:before="0" w:after="1"/>
              <w:ind w:left="0" w:right="0" w:hanging="0"/>
              <w:jc w:val="both"/>
              <w:rPr/>
            </w:pPr>
            <w:r>
              <w:rPr/>
              <w:t> </w:t>
            </w:r>
          </w:p>
        </w:tc>
        <w:tc>
          <w:tcPr>
            <w:tcW w:w="751"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58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7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52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285,574</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571,148</w:t>
            </w:r>
          </w:p>
        </w:tc>
        <w:tc>
          <w:tcPr>
            <w:tcW w:w="226" w:type="dxa"/>
            <w:tcBorders/>
            <w:vAlign w:val="center"/>
          </w:tcPr>
          <w:p>
            <w:pPr>
              <w:pStyle w:val="TableContents"/>
              <w:bidi w:val="0"/>
              <w:spacing w:lineRule="auto" w:line="285" w:before="0" w:after="0"/>
              <w:ind w:left="0" w:right="0" w:hanging="0"/>
              <w:jc w:val="both"/>
              <w:rPr/>
            </w:pPr>
            <w:r>
              <w:rPr/>
              <w:t>​</w:t>
            </w:r>
          </w:p>
        </w:tc>
        <w:tc>
          <w:tcPr>
            <w:tcW w:w="72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96" w:type="dxa"/>
            <w:tcBorders/>
            <w:vAlign w:val="center"/>
          </w:tcPr>
          <w:p>
            <w:pPr>
              <w:pStyle w:val="TableContents"/>
              <w:bidi w:val="0"/>
              <w:spacing w:lineRule="auto" w:line="285" w:before="0" w:after="1"/>
              <w:ind w:left="0" w:right="0" w:hanging="0"/>
              <w:jc w:val="both"/>
              <w:rPr/>
            </w:pPr>
            <w:r>
              <w:rPr/>
              <w:t>  ​</w:t>
            </w:r>
          </w:p>
        </w:tc>
        <w:tc>
          <w:tcPr>
            <w:tcW w:w="226" w:type="dxa"/>
            <w:tcBorders/>
            <w:vAlign w:val="center"/>
          </w:tcPr>
          <w:p>
            <w:pPr>
              <w:pStyle w:val="TableContents"/>
              <w:bidi w:val="0"/>
              <w:spacing w:lineRule="auto" w:line="285" w:before="0" w:after="1"/>
              <w:ind w:left="0" w:right="0" w:hanging="0"/>
              <w:jc w:val="both"/>
              <w:rPr/>
            </w:pPr>
            <w:r>
              <w:rPr/>
              <w:t> </w:t>
            </w:r>
          </w:p>
        </w:tc>
        <w:tc>
          <w:tcPr>
            <w:tcW w:w="661" w:type="dxa"/>
            <w:tcBorders/>
            <w:vAlign w:val="center"/>
          </w:tcPr>
          <w:p>
            <w:pPr>
              <w:pStyle w:val="TableContents"/>
              <w:bidi w:val="0"/>
              <w:spacing w:lineRule="auto" w:line="285" w:before="0" w:after="1"/>
              <w:ind w:left="0" w:right="0" w:hanging="0"/>
              <w:jc w:val="both"/>
              <w:rPr/>
            </w:pPr>
            <w:r>
              <w:rPr/>
              <w:t>  ​</w:t>
            </w:r>
          </w:p>
        </w:tc>
        <w:tc>
          <w:tcPr>
            <w:tcW w:w="226" w:type="dxa"/>
            <w:tcBorders/>
            <w:vAlign w:val="center"/>
          </w:tcPr>
          <w:p>
            <w:pPr>
              <w:pStyle w:val="TableContents"/>
              <w:bidi w:val="0"/>
              <w:spacing w:lineRule="auto" w:line="285" w:before="0" w:after="1"/>
              <w:ind w:left="0" w:right="0" w:hanging="0"/>
              <w:jc w:val="both"/>
              <w:rPr/>
            </w:pPr>
            <w:r>
              <w:rPr/>
              <w:t> </w:t>
            </w:r>
          </w:p>
        </w:tc>
        <w:tc>
          <w:tcPr>
            <w:tcW w:w="76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1,022,269</w:t>
            </w:r>
          </w:p>
        </w:tc>
      </w:tr>
      <w:tr>
        <w:trPr/>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51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RSU</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4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2/13/2025</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5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2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281,894</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66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1,023,275</w:t>
            </w:r>
          </w:p>
        </w:tc>
      </w:tr>
      <w:tr>
        <w:trPr/>
        <w:tc>
          <w:tcPr>
            <w:tcW w:w="691" w:type="dxa"/>
            <w:tcBorders/>
            <w:vAlign w:val="center"/>
          </w:tcPr>
          <w:p>
            <w:pPr>
              <w:pStyle w:val="TableContents"/>
              <w:bidi w:val="0"/>
              <w:spacing w:lineRule="auto" w:line="285" w:before="0" w:after="1"/>
              <w:ind w:left="0" w:right="0" w:hanging="0"/>
              <w:jc w:val="both"/>
              <w:rPr>
                <w:rFonts w:ascii="Arial;Helvetica;sans-serif" w:hAnsi="Arial;Helvetica;sans-serif"/>
                <w:b/>
                <w:sz w:val="12"/>
              </w:rPr>
            </w:pPr>
            <w:r>
              <w:rPr>
                <w:rFonts w:ascii="Arial;Helvetica;sans-serif" w:hAnsi="Arial;Helvetica;sans-serif"/>
                <w:b/>
                <w:sz w:val="12"/>
              </w:rPr>
              <w:t>Jeremy D. Thigpen</w:t>
            </w:r>
          </w:p>
        </w:tc>
        <w:tc>
          <w:tcPr>
            <w:tcW w:w="226" w:type="dxa"/>
            <w:tcBorders/>
            <w:vAlign w:val="center"/>
          </w:tcPr>
          <w:p>
            <w:pPr>
              <w:pStyle w:val="TableContents"/>
              <w:bidi w:val="0"/>
              <w:spacing w:lineRule="auto" w:line="285" w:before="0" w:after="0"/>
              <w:ind w:left="0" w:right="0" w:hanging="0"/>
              <w:jc w:val="both"/>
              <w:rPr/>
            </w:pPr>
            <w:r>
              <w:rPr/>
              <w:t>​</w:t>
            </w:r>
          </w:p>
        </w:tc>
        <w:tc>
          <w:tcPr>
            <w:tcW w:w="511" w:type="dxa"/>
            <w:tcBorders/>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AIP</w:t>
            </w:r>
          </w:p>
        </w:tc>
        <w:tc>
          <w:tcPr>
            <w:tcW w:w="226" w:type="dxa"/>
            <w:tcBorders/>
            <w:vAlign w:val="center"/>
          </w:tcPr>
          <w:p>
            <w:pPr>
              <w:pStyle w:val="TableContents"/>
              <w:bidi w:val="0"/>
              <w:spacing w:lineRule="auto" w:line="285" w:before="0" w:after="0"/>
              <w:ind w:left="0" w:right="0" w:hanging="0"/>
              <w:jc w:val="both"/>
              <w:rPr/>
            </w:pPr>
            <w:r>
              <w:rPr/>
              <w:t>​</w:t>
            </w:r>
          </w:p>
        </w:tc>
        <w:tc>
          <w:tcPr>
            <w:tcW w:w="46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58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517,500</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1,035,000</w:t>
            </w:r>
          </w:p>
        </w:tc>
        <w:tc>
          <w:tcPr>
            <w:tcW w:w="226" w:type="dxa"/>
            <w:tcBorders/>
            <w:vAlign w:val="center"/>
          </w:tcPr>
          <w:p>
            <w:pPr>
              <w:pStyle w:val="TableContents"/>
              <w:bidi w:val="0"/>
              <w:spacing w:lineRule="auto" w:line="285" w:before="0" w:after="0"/>
              <w:ind w:left="0" w:right="0" w:hanging="0"/>
              <w:jc w:val="both"/>
              <w:rPr/>
            </w:pPr>
            <w:r>
              <w:rPr/>
              <w:t>​</w:t>
            </w:r>
          </w:p>
        </w:tc>
        <w:tc>
          <w:tcPr>
            <w:tcW w:w="751" w:type="dxa"/>
            <w:tcBorders/>
            <w:vAlign w:val="center"/>
          </w:tcPr>
          <w:p>
            <w:pPr>
              <w:pStyle w:val="TableContents"/>
              <w:bidi w:val="0"/>
              <w:spacing w:lineRule="auto" w:line="285" w:before="0" w:after="1"/>
              <w:ind w:left="0" w:right="0" w:hanging="0"/>
              <w:jc w:val="right"/>
              <w:rPr/>
            </w:pPr>
            <w:r>
              <w:rPr/>
              <w:t>  ​</w:t>
            </w:r>
          </w:p>
        </w:tc>
        <w:tc>
          <w:tcPr>
            <w:tcW w:w="226" w:type="dxa"/>
            <w:tcBorders/>
            <w:vAlign w:val="center"/>
          </w:tcPr>
          <w:p>
            <w:pPr>
              <w:pStyle w:val="TableContents"/>
              <w:bidi w:val="0"/>
              <w:spacing w:lineRule="auto" w:line="285" w:before="0" w:after="0"/>
              <w:ind w:left="0" w:right="0" w:hanging="0"/>
              <w:jc w:val="both"/>
              <w:rPr/>
            </w:pPr>
            <w:r>
              <w:rPr/>
              <w:t>​</w:t>
            </w:r>
          </w:p>
        </w:tc>
        <w:tc>
          <w:tcPr>
            <w:tcW w:w="52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2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96" w:type="dxa"/>
            <w:tcBorders/>
            <w:vAlign w:val="center"/>
          </w:tcPr>
          <w:p>
            <w:pPr>
              <w:pStyle w:val="TableContents"/>
              <w:bidi w:val="0"/>
              <w:spacing w:lineRule="auto" w:line="285" w:before="0" w:after="1"/>
              <w:ind w:left="0" w:right="0" w:hanging="0"/>
              <w:jc w:val="both"/>
              <w:rPr/>
            </w:pPr>
            <w:r>
              <w:rPr/>
              <w:t>  ​</w:t>
            </w:r>
          </w:p>
        </w:tc>
        <w:tc>
          <w:tcPr>
            <w:tcW w:w="226" w:type="dxa"/>
            <w:tcBorders/>
            <w:vAlign w:val="center"/>
          </w:tcPr>
          <w:p>
            <w:pPr>
              <w:pStyle w:val="TableContents"/>
              <w:bidi w:val="0"/>
              <w:spacing w:lineRule="auto" w:line="285" w:before="0" w:after="0"/>
              <w:ind w:left="0" w:right="0" w:hanging="0"/>
              <w:jc w:val="both"/>
              <w:rPr/>
            </w:pPr>
            <w:r>
              <w:rPr/>
              <w:t>​</w:t>
            </w:r>
          </w:p>
        </w:tc>
        <w:tc>
          <w:tcPr>
            <w:tcW w:w="661" w:type="dxa"/>
            <w:tcBorders/>
            <w:vAlign w:val="center"/>
          </w:tcPr>
          <w:p>
            <w:pPr>
              <w:pStyle w:val="TableContents"/>
              <w:bidi w:val="0"/>
              <w:spacing w:lineRule="auto" w:line="285" w:before="0" w:after="1"/>
              <w:ind w:left="0" w:right="0" w:hanging="0"/>
              <w:jc w:val="both"/>
              <w:rPr/>
            </w:pPr>
            <w:r>
              <w:rPr/>
              <w:t>  ​</w:t>
            </w:r>
          </w:p>
        </w:tc>
        <w:tc>
          <w:tcPr>
            <w:tcW w:w="226" w:type="dxa"/>
            <w:tcBorders/>
            <w:vAlign w:val="center"/>
          </w:tcPr>
          <w:p>
            <w:pPr>
              <w:pStyle w:val="TableContents"/>
              <w:bidi w:val="0"/>
              <w:spacing w:lineRule="auto" w:line="285" w:before="0" w:after="0"/>
              <w:ind w:left="0" w:right="0" w:hanging="0"/>
              <w:jc w:val="both"/>
              <w:rPr/>
            </w:pPr>
            <w:r>
              <w:rPr/>
              <w:t>​</w:t>
            </w:r>
          </w:p>
        </w:tc>
        <w:tc>
          <w:tcPr>
            <w:tcW w:w="766" w:type="dxa"/>
            <w:tcBorders/>
            <w:vAlign w:val="center"/>
          </w:tcPr>
          <w:p>
            <w:pPr>
              <w:pStyle w:val="TableContents"/>
              <w:bidi w:val="0"/>
              <w:spacing w:lineRule="auto" w:line="285" w:before="0" w:after="0"/>
              <w:ind w:left="0" w:right="0" w:hanging="0"/>
              <w:jc w:val="both"/>
              <w:rPr/>
            </w:pPr>
            <w:r>
              <w:rPr/>
              <w:t>​</w:t>
            </w:r>
          </w:p>
        </w:tc>
      </w:tr>
      <w:tr>
        <w:trPr/>
        <w:tc>
          <w:tcPr>
            <w:tcW w:w="69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511" w:type="dxa"/>
            <w:tcBorders/>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PSU</w:t>
            </w:r>
          </w:p>
        </w:tc>
        <w:tc>
          <w:tcPr>
            <w:tcW w:w="226" w:type="dxa"/>
            <w:tcBorders/>
            <w:vAlign w:val="center"/>
          </w:tcPr>
          <w:p>
            <w:pPr>
              <w:pStyle w:val="TableContents"/>
              <w:bidi w:val="0"/>
              <w:spacing w:lineRule="auto" w:line="285" w:before="0" w:after="1"/>
              <w:ind w:left="0" w:right="0" w:hanging="0"/>
              <w:jc w:val="both"/>
              <w:rPr/>
            </w:pPr>
            <w:r>
              <w:rPr/>
              <w:t> </w:t>
            </w:r>
          </w:p>
        </w:tc>
        <w:tc>
          <w:tcPr>
            <w:tcW w:w="46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2/13/2025</w:t>
            </w:r>
          </w:p>
        </w:tc>
        <w:tc>
          <w:tcPr>
            <w:tcW w:w="226" w:type="dxa"/>
            <w:tcBorders/>
            <w:vAlign w:val="center"/>
          </w:tcPr>
          <w:p>
            <w:pPr>
              <w:pStyle w:val="TableContents"/>
              <w:bidi w:val="0"/>
              <w:spacing w:lineRule="auto" w:line="285" w:before="0" w:after="1"/>
              <w:ind w:left="0" w:right="0" w:hanging="0"/>
              <w:jc w:val="both"/>
              <w:rPr/>
            </w:pPr>
            <w:r>
              <w:rPr/>
              <w:t> </w:t>
            </w:r>
          </w:p>
        </w:tc>
        <w:tc>
          <w:tcPr>
            <w:tcW w:w="751"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58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7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52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522,193</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1,044,386</w:t>
            </w:r>
          </w:p>
        </w:tc>
        <w:tc>
          <w:tcPr>
            <w:tcW w:w="226" w:type="dxa"/>
            <w:tcBorders/>
            <w:vAlign w:val="center"/>
          </w:tcPr>
          <w:p>
            <w:pPr>
              <w:pStyle w:val="TableContents"/>
              <w:bidi w:val="0"/>
              <w:spacing w:lineRule="auto" w:line="285" w:before="0" w:after="0"/>
              <w:ind w:left="0" w:right="0" w:hanging="0"/>
              <w:jc w:val="both"/>
              <w:rPr/>
            </w:pPr>
            <w:r>
              <w:rPr/>
              <w:t>​</w:t>
            </w:r>
          </w:p>
        </w:tc>
        <w:tc>
          <w:tcPr>
            <w:tcW w:w="72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96" w:type="dxa"/>
            <w:tcBorders/>
            <w:vAlign w:val="center"/>
          </w:tcPr>
          <w:p>
            <w:pPr>
              <w:pStyle w:val="TableContents"/>
              <w:bidi w:val="0"/>
              <w:spacing w:lineRule="auto" w:line="285" w:before="0" w:after="1"/>
              <w:ind w:left="0" w:right="0" w:hanging="0"/>
              <w:jc w:val="both"/>
              <w:rPr/>
            </w:pPr>
            <w:r>
              <w:rPr/>
              <w:t>  ​</w:t>
            </w:r>
          </w:p>
        </w:tc>
        <w:tc>
          <w:tcPr>
            <w:tcW w:w="226" w:type="dxa"/>
            <w:tcBorders/>
            <w:vAlign w:val="center"/>
          </w:tcPr>
          <w:p>
            <w:pPr>
              <w:pStyle w:val="TableContents"/>
              <w:bidi w:val="0"/>
              <w:spacing w:lineRule="auto" w:line="285" w:before="0" w:after="1"/>
              <w:ind w:left="0" w:right="0" w:hanging="0"/>
              <w:jc w:val="both"/>
              <w:rPr/>
            </w:pPr>
            <w:r>
              <w:rPr/>
              <w:t> </w:t>
            </w:r>
          </w:p>
        </w:tc>
        <w:tc>
          <w:tcPr>
            <w:tcW w:w="661" w:type="dxa"/>
            <w:tcBorders/>
            <w:vAlign w:val="center"/>
          </w:tcPr>
          <w:p>
            <w:pPr>
              <w:pStyle w:val="TableContents"/>
              <w:bidi w:val="0"/>
              <w:spacing w:lineRule="auto" w:line="285" w:before="0" w:after="1"/>
              <w:ind w:left="0" w:right="0" w:hanging="0"/>
              <w:jc w:val="both"/>
              <w:rPr/>
            </w:pPr>
            <w:r>
              <w:rPr/>
              <w:t>  ​</w:t>
            </w:r>
          </w:p>
        </w:tc>
        <w:tc>
          <w:tcPr>
            <w:tcW w:w="226" w:type="dxa"/>
            <w:tcBorders/>
            <w:vAlign w:val="center"/>
          </w:tcPr>
          <w:p>
            <w:pPr>
              <w:pStyle w:val="TableContents"/>
              <w:bidi w:val="0"/>
              <w:spacing w:lineRule="auto" w:line="285" w:before="0" w:after="1"/>
              <w:ind w:left="0" w:right="0" w:hanging="0"/>
              <w:jc w:val="both"/>
              <w:rPr/>
            </w:pPr>
            <w:r>
              <w:rPr/>
              <w:t> </w:t>
            </w:r>
          </w:p>
        </w:tc>
        <w:tc>
          <w:tcPr>
            <w:tcW w:w="76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1,869,294</w:t>
            </w:r>
          </w:p>
        </w:tc>
      </w:tr>
      <w:tr>
        <w:trPr/>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1"/>
              <w:ind w:left="0" w:right="0" w:hanging="0"/>
              <w:jc w:val="both"/>
              <w:rPr/>
            </w:pPr>
            <w:r>
              <w:rPr/>
              <w:t> </w:t>
            </w:r>
          </w:p>
        </w:tc>
        <w:tc>
          <w:tcPr>
            <w:tcW w:w="51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RSU</w:t>
            </w:r>
          </w:p>
        </w:tc>
        <w:tc>
          <w:tcPr>
            <w:tcW w:w="226" w:type="dxa"/>
            <w:tcBorders>
              <w:bottom w:val="single" w:sz="2" w:space="0" w:color="000000"/>
            </w:tcBorders>
            <w:tcMar>
              <w:bottom w:w="28" w:type="dxa"/>
            </w:tcMar>
            <w:vAlign w:val="center"/>
          </w:tcPr>
          <w:p>
            <w:pPr>
              <w:pStyle w:val="TableContents"/>
              <w:bidi w:val="0"/>
              <w:spacing w:lineRule="auto" w:line="285" w:before="0" w:after="1"/>
              <w:ind w:left="0" w:right="0" w:hanging="0"/>
              <w:jc w:val="both"/>
              <w:rPr/>
            </w:pPr>
            <w:r>
              <w:rPr/>
              <w:t> </w:t>
            </w:r>
          </w:p>
        </w:tc>
        <w:tc>
          <w:tcPr>
            <w:tcW w:w="4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2/13/2025</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5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2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515,464</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66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1,871,134</w:t>
            </w:r>
          </w:p>
        </w:tc>
      </w:tr>
      <w:tr>
        <w:trPr/>
        <w:tc>
          <w:tcPr>
            <w:tcW w:w="691" w:type="dxa"/>
            <w:tcBorders/>
            <w:vAlign w:val="center"/>
          </w:tcPr>
          <w:p>
            <w:pPr>
              <w:pStyle w:val="TableContents"/>
              <w:bidi w:val="0"/>
              <w:spacing w:lineRule="auto" w:line="285" w:before="0" w:after="1"/>
              <w:ind w:left="0" w:right="0" w:hanging="0"/>
              <w:jc w:val="both"/>
              <w:rPr>
                <w:rFonts w:ascii="Arial;Helvetica;sans-serif" w:hAnsi="Arial;Helvetica;sans-serif"/>
                <w:b/>
                <w:sz w:val="12"/>
              </w:rPr>
            </w:pPr>
            <w:r>
              <w:rPr>
                <w:rFonts w:ascii="Arial;Helvetica;sans-serif" w:hAnsi="Arial;Helvetica;sans-serif"/>
                <w:b/>
                <w:sz w:val="12"/>
              </w:rPr>
              <w:t>Brady K. Long</w:t>
            </w:r>
          </w:p>
        </w:tc>
        <w:tc>
          <w:tcPr>
            <w:tcW w:w="226" w:type="dxa"/>
            <w:tcBorders/>
            <w:vAlign w:val="center"/>
          </w:tcPr>
          <w:p>
            <w:pPr>
              <w:pStyle w:val="TableContents"/>
              <w:bidi w:val="0"/>
              <w:spacing w:lineRule="auto" w:line="285" w:before="0" w:after="1"/>
              <w:ind w:left="0" w:right="0" w:hanging="0"/>
              <w:jc w:val="both"/>
              <w:rPr/>
            </w:pPr>
            <w:r>
              <w:rPr/>
              <w:t> </w:t>
            </w:r>
          </w:p>
        </w:tc>
        <w:tc>
          <w:tcPr>
            <w:tcW w:w="511" w:type="dxa"/>
            <w:tcBorders/>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AIP</w:t>
            </w:r>
          </w:p>
        </w:tc>
        <w:tc>
          <w:tcPr>
            <w:tcW w:w="226" w:type="dxa"/>
            <w:tcBorders/>
            <w:vAlign w:val="center"/>
          </w:tcPr>
          <w:p>
            <w:pPr>
              <w:pStyle w:val="TableContents"/>
              <w:bidi w:val="0"/>
              <w:spacing w:lineRule="auto" w:line="285" w:before="0" w:after="1"/>
              <w:ind w:left="0" w:right="0" w:hanging="0"/>
              <w:jc w:val="both"/>
              <w:rPr/>
            </w:pPr>
            <w:r>
              <w:rPr/>
              <w:t> </w:t>
            </w:r>
          </w:p>
        </w:tc>
        <w:tc>
          <w:tcPr>
            <w:tcW w:w="46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7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58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630,000</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1,260,000</w:t>
            </w:r>
          </w:p>
        </w:tc>
        <w:tc>
          <w:tcPr>
            <w:tcW w:w="226" w:type="dxa"/>
            <w:tcBorders/>
            <w:vAlign w:val="center"/>
          </w:tcPr>
          <w:p>
            <w:pPr>
              <w:pStyle w:val="TableContents"/>
              <w:bidi w:val="0"/>
              <w:spacing w:lineRule="auto" w:line="285" w:before="0" w:after="1"/>
              <w:ind w:left="0" w:right="0" w:hanging="0"/>
              <w:jc w:val="both"/>
              <w:rPr/>
            </w:pPr>
            <w:r>
              <w:rPr/>
              <w:t> </w:t>
            </w:r>
          </w:p>
        </w:tc>
        <w:tc>
          <w:tcPr>
            <w:tcW w:w="751" w:type="dxa"/>
            <w:tcBorders/>
            <w:vAlign w:val="center"/>
          </w:tcPr>
          <w:p>
            <w:pPr>
              <w:pStyle w:val="TableContents"/>
              <w:bidi w:val="0"/>
              <w:spacing w:lineRule="auto" w:line="285" w:before="0" w:after="1"/>
              <w:ind w:left="0" w:right="0" w:hanging="0"/>
              <w:jc w:val="right"/>
              <w:rPr/>
            </w:pPr>
            <w:r>
              <w:rPr/>
              <w:t>  ​</w:t>
            </w:r>
          </w:p>
        </w:tc>
        <w:tc>
          <w:tcPr>
            <w:tcW w:w="226" w:type="dxa"/>
            <w:tcBorders/>
            <w:vAlign w:val="center"/>
          </w:tcPr>
          <w:p>
            <w:pPr>
              <w:pStyle w:val="TableContents"/>
              <w:bidi w:val="0"/>
              <w:spacing w:lineRule="auto" w:line="285" w:before="0" w:after="1"/>
              <w:ind w:left="0" w:right="0" w:hanging="0"/>
              <w:jc w:val="both"/>
              <w:rPr/>
            </w:pPr>
            <w:r>
              <w:rPr/>
              <w:t> </w:t>
            </w:r>
          </w:p>
        </w:tc>
        <w:tc>
          <w:tcPr>
            <w:tcW w:w="52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2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9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766" w:type="dxa"/>
            <w:tcBorders/>
            <w:vAlign w:val="center"/>
          </w:tcPr>
          <w:p>
            <w:pPr>
              <w:pStyle w:val="TableContents"/>
              <w:bidi w:val="0"/>
              <w:spacing w:lineRule="auto" w:line="285" w:before="0" w:after="0"/>
              <w:ind w:left="0" w:right="0" w:hanging="0"/>
              <w:jc w:val="both"/>
              <w:rPr/>
            </w:pPr>
            <w:r>
              <w:rPr/>
              <w:t>​</w:t>
            </w:r>
          </w:p>
        </w:tc>
      </w:tr>
      <w:tr>
        <w:trPr/>
        <w:tc>
          <w:tcPr>
            <w:tcW w:w="69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511" w:type="dxa"/>
            <w:tcBorders/>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PSU</w:t>
            </w:r>
          </w:p>
        </w:tc>
        <w:tc>
          <w:tcPr>
            <w:tcW w:w="226" w:type="dxa"/>
            <w:tcBorders/>
            <w:vAlign w:val="center"/>
          </w:tcPr>
          <w:p>
            <w:pPr>
              <w:pStyle w:val="TableContents"/>
              <w:bidi w:val="0"/>
              <w:spacing w:lineRule="auto" w:line="285" w:before="0" w:after="1"/>
              <w:ind w:left="0" w:right="0" w:hanging="0"/>
              <w:jc w:val="both"/>
              <w:rPr/>
            </w:pPr>
            <w:r>
              <w:rPr/>
              <w:t> </w:t>
            </w:r>
          </w:p>
        </w:tc>
        <w:tc>
          <w:tcPr>
            <w:tcW w:w="46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2/13/2025</w:t>
            </w:r>
          </w:p>
        </w:tc>
        <w:tc>
          <w:tcPr>
            <w:tcW w:w="226" w:type="dxa"/>
            <w:tcBorders/>
            <w:vAlign w:val="center"/>
          </w:tcPr>
          <w:p>
            <w:pPr>
              <w:pStyle w:val="TableContents"/>
              <w:bidi w:val="0"/>
              <w:spacing w:lineRule="auto" w:line="285" w:before="0" w:after="1"/>
              <w:ind w:left="0" w:right="0" w:hanging="0"/>
              <w:jc w:val="both"/>
              <w:rPr/>
            </w:pPr>
            <w:r>
              <w:rPr/>
              <w:t> </w:t>
            </w:r>
          </w:p>
        </w:tc>
        <w:tc>
          <w:tcPr>
            <w:tcW w:w="751"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58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7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52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299,074</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598,148</w:t>
            </w:r>
          </w:p>
        </w:tc>
        <w:tc>
          <w:tcPr>
            <w:tcW w:w="226" w:type="dxa"/>
            <w:tcBorders/>
            <w:vAlign w:val="center"/>
          </w:tcPr>
          <w:p>
            <w:pPr>
              <w:pStyle w:val="TableContents"/>
              <w:bidi w:val="0"/>
              <w:spacing w:lineRule="auto" w:line="285" w:before="0" w:after="0"/>
              <w:ind w:left="0" w:right="0" w:hanging="0"/>
              <w:jc w:val="both"/>
              <w:rPr/>
            </w:pPr>
            <w:r>
              <w:rPr/>
              <w:t>​</w:t>
            </w:r>
          </w:p>
        </w:tc>
        <w:tc>
          <w:tcPr>
            <w:tcW w:w="72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9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76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1,070,595</w:t>
            </w:r>
          </w:p>
        </w:tc>
      </w:tr>
      <w:tr>
        <w:trPr/>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1"/>
              <w:ind w:left="0" w:right="0" w:hanging="0"/>
              <w:jc w:val="both"/>
              <w:rPr/>
            </w:pPr>
            <w:r>
              <w:rPr/>
              <w:t> </w:t>
            </w:r>
          </w:p>
        </w:tc>
        <w:tc>
          <w:tcPr>
            <w:tcW w:w="51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RSU</w:t>
            </w:r>
          </w:p>
        </w:tc>
        <w:tc>
          <w:tcPr>
            <w:tcW w:w="226" w:type="dxa"/>
            <w:tcBorders>
              <w:bottom w:val="single" w:sz="2" w:space="0" w:color="000000"/>
            </w:tcBorders>
            <w:tcMar>
              <w:bottom w:w="28" w:type="dxa"/>
            </w:tcMar>
            <w:vAlign w:val="center"/>
          </w:tcPr>
          <w:p>
            <w:pPr>
              <w:pStyle w:val="TableContents"/>
              <w:bidi w:val="0"/>
              <w:spacing w:lineRule="auto" w:line="285" w:before="0" w:after="1"/>
              <w:ind w:left="0" w:right="0" w:hanging="0"/>
              <w:jc w:val="both"/>
              <w:rPr/>
            </w:pPr>
            <w:r>
              <w:rPr/>
              <w:t> </w:t>
            </w:r>
          </w:p>
        </w:tc>
        <w:tc>
          <w:tcPr>
            <w:tcW w:w="4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2/13/2025</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5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2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295,220</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66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1,071,649</w:t>
            </w:r>
          </w:p>
        </w:tc>
      </w:tr>
      <w:tr>
        <w:trPr/>
        <w:tc>
          <w:tcPr>
            <w:tcW w:w="691" w:type="dxa"/>
            <w:tcBorders/>
            <w:vAlign w:val="center"/>
          </w:tcPr>
          <w:p>
            <w:pPr>
              <w:pStyle w:val="TableContents"/>
              <w:bidi w:val="0"/>
              <w:spacing w:lineRule="auto" w:line="285" w:before="0" w:after="1"/>
              <w:ind w:left="0" w:right="0" w:hanging="0"/>
              <w:jc w:val="both"/>
              <w:rPr>
                <w:rFonts w:ascii="Arial;Helvetica;sans-serif" w:hAnsi="Arial;Helvetica;sans-serif"/>
                <w:b/>
                <w:sz w:val="12"/>
              </w:rPr>
            </w:pPr>
            <w:r>
              <w:rPr>
                <w:rFonts w:ascii="Arial;Helvetica;sans-serif" w:hAnsi="Arial;Helvetica;sans-serif"/>
                <w:b/>
                <w:sz w:val="12"/>
              </w:rPr>
              <w:t>Roderick J. Mackenzie</w:t>
            </w:r>
          </w:p>
        </w:tc>
        <w:tc>
          <w:tcPr>
            <w:tcW w:w="226" w:type="dxa"/>
            <w:tcBorders/>
            <w:vAlign w:val="center"/>
          </w:tcPr>
          <w:p>
            <w:pPr>
              <w:pStyle w:val="TableContents"/>
              <w:bidi w:val="0"/>
              <w:spacing w:lineRule="auto" w:line="285" w:before="0" w:after="1"/>
              <w:ind w:left="0" w:right="0" w:hanging="0"/>
              <w:jc w:val="both"/>
              <w:rPr/>
            </w:pPr>
            <w:r>
              <w:rPr/>
              <w:t> </w:t>
            </w:r>
          </w:p>
        </w:tc>
        <w:tc>
          <w:tcPr>
            <w:tcW w:w="511" w:type="dxa"/>
            <w:tcBorders/>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AIP</w:t>
            </w:r>
          </w:p>
        </w:tc>
        <w:tc>
          <w:tcPr>
            <w:tcW w:w="226" w:type="dxa"/>
            <w:tcBorders/>
            <w:vAlign w:val="center"/>
          </w:tcPr>
          <w:p>
            <w:pPr>
              <w:pStyle w:val="TableContents"/>
              <w:bidi w:val="0"/>
              <w:spacing w:lineRule="auto" w:line="285" w:before="0" w:after="1"/>
              <w:ind w:left="0" w:right="0" w:hanging="0"/>
              <w:jc w:val="both"/>
              <w:rPr/>
            </w:pPr>
            <w:r>
              <w:rPr/>
              <w:t> </w:t>
            </w:r>
          </w:p>
        </w:tc>
        <w:tc>
          <w:tcPr>
            <w:tcW w:w="46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7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58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550,000</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1,100,000</w:t>
            </w:r>
          </w:p>
        </w:tc>
        <w:tc>
          <w:tcPr>
            <w:tcW w:w="226" w:type="dxa"/>
            <w:tcBorders/>
            <w:vAlign w:val="center"/>
          </w:tcPr>
          <w:p>
            <w:pPr>
              <w:pStyle w:val="TableContents"/>
              <w:bidi w:val="0"/>
              <w:spacing w:lineRule="auto" w:line="285" w:before="0" w:after="1"/>
              <w:ind w:left="0" w:right="0" w:hanging="0"/>
              <w:jc w:val="both"/>
              <w:rPr/>
            </w:pPr>
            <w:r>
              <w:rPr/>
              <w:t> </w:t>
            </w:r>
          </w:p>
        </w:tc>
        <w:tc>
          <w:tcPr>
            <w:tcW w:w="751" w:type="dxa"/>
            <w:tcBorders/>
            <w:vAlign w:val="center"/>
          </w:tcPr>
          <w:p>
            <w:pPr>
              <w:pStyle w:val="TableContents"/>
              <w:bidi w:val="0"/>
              <w:spacing w:lineRule="auto" w:line="285" w:before="0" w:after="1"/>
              <w:ind w:left="0" w:right="0" w:hanging="0"/>
              <w:jc w:val="right"/>
              <w:rPr/>
            </w:pPr>
            <w:r>
              <w:rPr/>
              <w:t>  ​</w:t>
            </w:r>
          </w:p>
        </w:tc>
        <w:tc>
          <w:tcPr>
            <w:tcW w:w="226" w:type="dxa"/>
            <w:tcBorders/>
            <w:vAlign w:val="center"/>
          </w:tcPr>
          <w:p>
            <w:pPr>
              <w:pStyle w:val="TableContents"/>
              <w:bidi w:val="0"/>
              <w:spacing w:lineRule="auto" w:line="285" w:before="0" w:after="1"/>
              <w:ind w:left="0" w:right="0" w:hanging="0"/>
              <w:jc w:val="both"/>
              <w:rPr/>
            </w:pPr>
            <w:r>
              <w:rPr/>
              <w:t> </w:t>
            </w:r>
          </w:p>
        </w:tc>
        <w:tc>
          <w:tcPr>
            <w:tcW w:w="52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2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9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766" w:type="dxa"/>
            <w:tcBorders/>
            <w:vAlign w:val="center"/>
          </w:tcPr>
          <w:p>
            <w:pPr>
              <w:pStyle w:val="TableContents"/>
              <w:bidi w:val="0"/>
              <w:spacing w:lineRule="auto" w:line="285" w:before="0" w:after="0"/>
              <w:ind w:left="0" w:right="0" w:hanging="0"/>
              <w:jc w:val="both"/>
              <w:rPr/>
            </w:pPr>
            <w:r>
              <w:rPr/>
              <w:t>​</w:t>
            </w:r>
          </w:p>
        </w:tc>
      </w:tr>
      <w:tr>
        <w:trPr/>
        <w:tc>
          <w:tcPr>
            <w:tcW w:w="69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511" w:type="dxa"/>
            <w:tcBorders/>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PSU</w:t>
            </w:r>
          </w:p>
        </w:tc>
        <w:tc>
          <w:tcPr>
            <w:tcW w:w="226" w:type="dxa"/>
            <w:tcBorders/>
            <w:vAlign w:val="center"/>
          </w:tcPr>
          <w:p>
            <w:pPr>
              <w:pStyle w:val="TableContents"/>
              <w:bidi w:val="0"/>
              <w:spacing w:lineRule="auto" w:line="285" w:before="0" w:after="1"/>
              <w:ind w:left="0" w:right="0" w:hanging="0"/>
              <w:jc w:val="both"/>
              <w:rPr/>
            </w:pPr>
            <w:r>
              <w:rPr/>
              <w:t> </w:t>
            </w:r>
          </w:p>
        </w:tc>
        <w:tc>
          <w:tcPr>
            <w:tcW w:w="46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2/13/2025</w:t>
            </w:r>
          </w:p>
        </w:tc>
        <w:tc>
          <w:tcPr>
            <w:tcW w:w="226" w:type="dxa"/>
            <w:tcBorders/>
            <w:vAlign w:val="center"/>
          </w:tcPr>
          <w:p>
            <w:pPr>
              <w:pStyle w:val="TableContents"/>
              <w:bidi w:val="0"/>
              <w:spacing w:lineRule="auto" w:line="285" w:before="0" w:after="0"/>
              <w:ind w:left="0" w:right="0" w:hanging="0"/>
              <w:jc w:val="both"/>
              <w:rPr/>
            </w:pPr>
            <w:r>
              <w:rPr/>
              <w:t>​</w:t>
            </w:r>
          </w:p>
        </w:tc>
        <w:tc>
          <w:tcPr>
            <w:tcW w:w="751"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58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51"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52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215,405</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430,810</w:t>
            </w:r>
          </w:p>
        </w:tc>
        <w:tc>
          <w:tcPr>
            <w:tcW w:w="226" w:type="dxa"/>
            <w:tcBorders/>
            <w:vAlign w:val="center"/>
          </w:tcPr>
          <w:p>
            <w:pPr>
              <w:pStyle w:val="TableContents"/>
              <w:bidi w:val="0"/>
              <w:spacing w:lineRule="auto" w:line="285" w:before="0" w:after="0"/>
              <w:ind w:left="0" w:right="0" w:hanging="0"/>
              <w:jc w:val="both"/>
              <w:rPr/>
            </w:pPr>
            <w:r>
              <w:rPr/>
              <w:t>​</w:t>
            </w:r>
          </w:p>
        </w:tc>
        <w:tc>
          <w:tcPr>
            <w:tcW w:w="72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9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6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771,085</w:t>
            </w:r>
          </w:p>
        </w:tc>
      </w:tr>
      <w:tr>
        <w:trPr/>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1"/>
              <w:ind w:left="0" w:right="0" w:hanging="0"/>
              <w:jc w:val="both"/>
              <w:rPr/>
            </w:pPr>
            <w:r>
              <w:rPr/>
              <w:t> </w:t>
            </w:r>
          </w:p>
        </w:tc>
        <w:tc>
          <w:tcPr>
            <w:tcW w:w="51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RSU</w:t>
            </w:r>
          </w:p>
        </w:tc>
        <w:tc>
          <w:tcPr>
            <w:tcW w:w="226" w:type="dxa"/>
            <w:tcBorders>
              <w:bottom w:val="single" w:sz="2" w:space="0" w:color="000000"/>
            </w:tcBorders>
            <w:tcMar>
              <w:bottom w:w="28" w:type="dxa"/>
            </w:tcMar>
            <w:vAlign w:val="center"/>
          </w:tcPr>
          <w:p>
            <w:pPr>
              <w:pStyle w:val="TableContents"/>
              <w:bidi w:val="0"/>
              <w:spacing w:lineRule="auto" w:line="285" w:before="0" w:after="1"/>
              <w:ind w:left="0" w:right="0" w:hanging="0"/>
              <w:jc w:val="both"/>
              <w:rPr/>
            </w:pPr>
            <w:r>
              <w:rPr/>
              <w:t> </w:t>
            </w:r>
          </w:p>
        </w:tc>
        <w:tc>
          <w:tcPr>
            <w:tcW w:w="4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2/13/2025</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5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2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212,629</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66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771,843</w:t>
            </w:r>
          </w:p>
        </w:tc>
      </w:tr>
      <w:tr>
        <w:trPr/>
        <w:tc>
          <w:tcPr>
            <w:tcW w:w="691" w:type="dxa"/>
            <w:tcBorders/>
            <w:vAlign w:val="center"/>
          </w:tcPr>
          <w:p>
            <w:pPr>
              <w:pStyle w:val="TableContents"/>
              <w:bidi w:val="0"/>
              <w:spacing w:lineRule="auto" w:line="285" w:before="0" w:after="1"/>
              <w:ind w:left="0" w:right="0" w:hanging="0"/>
              <w:jc w:val="both"/>
              <w:rPr>
                <w:rFonts w:ascii="Arial;Helvetica;sans-serif" w:hAnsi="Arial;Helvetica;sans-serif"/>
                <w:b/>
                <w:sz w:val="12"/>
              </w:rPr>
            </w:pPr>
            <w:r>
              <w:rPr>
                <w:rFonts w:ascii="Arial;Helvetica;sans-serif" w:hAnsi="Arial;Helvetica;sans-serif"/>
                <w:b/>
                <w:sz w:val="12"/>
              </w:rPr>
              <w:t>Jason B. Pack</w:t>
            </w:r>
          </w:p>
        </w:tc>
        <w:tc>
          <w:tcPr>
            <w:tcW w:w="226" w:type="dxa"/>
            <w:tcBorders/>
            <w:vAlign w:val="center"/>
          </w:tcPr>
          <w:p>
            <w:pPr>
              <w:pStyle w:val="TableContents"/>
              <w:bidi w:val="0"/>
              <w:spacing w:lineRule="auto" w:line="285" w:before="0" w:after="0"/>
              <w:ind w:left="0" w:right="0" w:hanging="0"/>
              <w:jc w:val="both"/>
              <w:rPr/>
            </w:pPr>
            <w:r>
              <w:rPr/>
              <w:t>​</w:t>
            </w:r>
          </w:p>
        </w:tc>
        <w:tc>
          <w:tcPr>
            <w:tcW w:w="511" w:type="dxa"/>
            <w:tcBorders/>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AIP</w:t>
            </w:r>
          </w:p>
        </w:tc>
        <w:tc>
          <w:tcPr>
            <w:tcW w:w="226" w:type="dxa"/>
            <w:tcBorders/>
            <w:vAlign w:val="center"/>
          </w:tcPr>
          <w:p>
            <w:pPr>
              <w:pStyle w:val="TableContents"/>
              <w:bidi w:val="0"/>
              <w:spacing w:lineRule="auto" w:line="285" w:before="0" w:after="0"/>
              <w:ind w:left="0" w:right="0" w:hanging="0"/>
              <w:jc w:val="both"/>
              <w:rPr/>
            </w:pPr>
            <w:r>
              <w:rPr/>
              <w:t>​</w:t>
            </w:r>
          </w:p>
        </w:tc>
        <w:tc>
          <w:tcPr>
            <w:tcW w:w="46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58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322,500</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645,000</w:t>
            </w:r>
          </w:p>
        </w:tc>
        <w:tc>
          <w:tcPr>
            <w:tcW w:w="226" w:type="dxa"/>
            <w:tcBorders/>
            <w:vAlign w:val="center"/>
          </w:tcPr>
          <w:p>
            <w:pPr>
              <w:pStyle w:val="TableContents"/>
              <w:bidi w:val="0"/>
              <w:spacing w:lineRule="auto" w:line="285" w:before="0" w:after="0"/>
              <w:ind w:left="0" w:right="0" w:hanging="0"/>
              <w:jc w:val="both"/>
              <w:rPr/>
            </w:pPr>
            <w:r>
              <w:rPr/>
              <w:t>​</w:t>
            </w:r>
          </w:p>
        </w:tc>
        <w:tc>
          <w:tcPr>
            <w:tcW w:w="751" w:type="dxa"/>
            <w:tcBorders/>
            <w:vAlign w:val="center"/>
          </w:tcPr>
          <w:p>
            <w:pPr>
              <w:pStyle w:val="TableContents"/>
              <w:bidi w:val="0"/>
              <w:spacing w:lineRule="auto" w:line="285" w:before="0" w:after="1"/>
              <w:ind w:left="0" w:right="0" w:hanging="0"/>
              <w:jc w:val="right"/>
              <w:rPr/>
            </w:pPr>
            <w:r>
              <w:rPr/>
              <w:t>  ​</w:t>
            </w:r>
          </w:p>
        </w:tc>
        <w:tc>
          <w:tcPr>
            <w:tcW w:w="226" w:type="dxa"/>
            <w:tcBorders/>
            <w:vAlign w:val="center"/>
          </w:tcPr>
          <w:p>
            <w:pPr>
              <w:pStyle w:val="TableContents"/>
              <w:bidi w:val="0"/>
              <w:spacing w:lineRule="auto" w:line="285" w:before="0" w:after="0"/>
              <w:ind w:left="0" w:right="0" w:hanging="0"/>
              <w:jc w:val="both"/>
              <w:rPr/>
            </w:pPr>
            <w:r>
              <w:rPr/>
              <w:t>​</w:t>
            </w:r>
          </w:p>
        </w:tc>
        <w:tc>
          <w:tcPr>
            <w:tcW w:w="52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2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96" w:type="dxa"/>
            <w:tcBorders/>
            <w:vAlign w:val="center"/>
          </w:tcPr>
          <w:p>
            <w:pPr>
              <w:pStyle w:val="TableContents"/>
              <w:bidi w:val="0"/>
              <w:spacing w:lineRule="auto" w:line="285" w:before="0" w:after="1"/>
              <w:ind w:left="0" w:right="0" w:hanging="0"/>
              <w:jc w:val="both"/>
              <w:rPr/>
            </w:pPr>
            <w:r>
              <w:rPr/>
              <w:t>  ​</w:t>
            </w:r>
          </w:p>
        </w:tc>
        <w:tc>
          <w:tcPr>
            <w:tcW w:w="226" w:type="dxa"/>
            <w:tcBorders/>
            <w:vAlign w:val="center"/>
          </w:tcPr>
          <w:p>
            <w:pPr>
              <w:pStyle w:val="TableContents"/>
              <w:bidi w:val="0"/>
              <w:spacing w:lineRule="auto" w:line="285" w:before="0" w:after="0"/>
              <w:ind w:left="0" w:right="0" w:hanging="0"/>
              <w:jc w:val="both"/>
              <w:rPr/>
            </w:pPr>
            <w:r>
              <w:rPr/>
              <w:t>​</w:t>
            </w:r>
          </w:p>
        </w:tc>
        <w:tc>
          <w:tcPr>
            <w:tcW w:w="661" w:type="dxa"/>
            <w:tcBorders/>
            <w:vAlign w:val="center"/>
          </w:tcPr>
          <w:p>
            <w:pPr>
              <w:pStyle w:val="TableContents"/>
              <w:bidi w:val="0"/>
              <w:spacing w:lineRule="auto" w:line="285" w:before="0" w:after="1"/>
              <w:ind w:left="0" w:right="0" w:hanging="0"/>
              <w:jc w:val="both"/>
              <w:rPr/>
            </w:pPr>
            <w:r>
              <w:rPr/>
              <w:t>  ​</w:t>
            </w:r>
          </w:p>
        </w:tc>
        <w:tc>
          <w:tcPr>
            <w:tcW w:w="226" w:type="dxa"/>
            <w:tcBorders/>
            <w:vAlign w:val="center"/>
          </w:tcPr>
          <w:p>
            <w:pPr>
              <w:pStyle w:val="TableContents"/>
              <w:bidi w:val="0"/>
              <w:spacing w:lineRule="auto" w:line="285" w:before="0" w:after="0"/>
              <w:ind w:left="0" w:right="0" w:hanging="0"/>
              <w:jc w:val="both"/>
              <w:rPr/>
            </w:pPr>
            <w:r>
              <w:rPr/>
              <w:t>​</w:t>
            </w:r>
          </w:p>
        </w:tc>
        <w:tc>
          <w:tcPr>
            <w:tcW w:w="766" w:type="dxa"/>
            <w:tcBorders/>
            <w:vAlign w:val="center"/>
          </w:tcPr>
          <w:p>
            <w:pPr>
              <w:pStyle w:val="TableContents"/>
              <w:bidi w:val="0"/>
              <w:spacing w:lineRule="auto" w:line="285" w:before="0" w:after="0"/>
              <w:ind w:left="0" w:right="0" w:hanging="0"/>
              <w:jc w:val="both"/>
              <w:rPr/>
            </w:pPr>
            <w:r>
              <w:rPr/>
              <w:t>​</w:t>
            </w:r>
          </w:p>
        </w:tc>
      </w:tr>
      <w:tr>
        <w:trPr/>
        <w:tc>
          <w:tcPr>
            <w:tcW w:w="69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511" w:type="dxa"/>
            <w:tcBorders/>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PSU</w:t>
            </w:r>
          </w:p>
        </w:tc>
        <w:tc>
          <w:tcPr>
            <w:tcW w:w="226" w:type="dxa"/>
            <w:tcBorders/>
            <w:vAlign w:val="center"/>
          </w:tcPr>
          <w:p>
            <w:pPr>
              <w:pStyle w:val="TableContents"/>
              <w:bidi w:val="0"/>
              <w:spacing w:lineRule="auto" w:line="285" w:before="0" w:after="1"/>
              <w:ind w:left="0" w:right="0" w:hanging="0"/>
              <w:jc w:val="both"/>
              <w:rPr/>
            </w:pPr>
            <w:r>
              <w:rPr/>
              <w:t> </w:t>
            </w:r>
          </w:p>
        </w:tc>
        <w:tc>
          <w:tcPr>
            <w:tcW w:w="46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2/13/2025</w:t>
            </w:r>
          </w:p>
        </w:tc>
        <w:tc>
          <w:tcPr>
            <w:tcW w:w="226" w:type="dxa"/>
            <w:tcBorders/>
            <w:vAlign w:val="center"/>
          </w:tcPr>
          <w:p>
            <w:pPr>
              <w:pStyle w:val="TableContents"/>
              <w:bidi w:val="0"/>
              <w:spacing w:lineRule="auto" w:line="285" w:before="0" w:after="1"/>
              <w:ind w:left="0" w:right="0" w:hanging="0"/>
              <w:jc w:val="both"/>
              <w:rPr/>
            </w:pPr>
            <w:r>
              <w:rPr/>
              <w:t> </w:t>
            </w:r>
          </w:p>
        </w:tc>
        <w:tc>
          <w:tcPr>
            <w:tcW w:w="751"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586"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7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1"/>
              <w:ind w:left="0" w:right="0" w:hanging="0"/>
              <w:jc w:val="both"/>
              <w:rPr/>
            </w:pPr>
            <w:r>
              <w:rPr/>
              <w:t> </w:t>
            </w:r>
          </w:p>
        </w:tc>
        <w:tc>
          <w:tcPr>
            <w:tcW w:w="52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98238</w:t>
            </w:r>
          </w:p>
        </w:tc>
        <w:tc>
          <w:tcPr>
            <w:tcW w:w="226" w:type="dxa"/>
            <w:tcBorders/>
            <w:vAlign w:val="center"/>
          </w:tcPr>
          <w:p>
            <w:pPr>
              <w:pStyle w:val="TableContents"/>
              <w:bidi w:val="0"/>
              <w:spacing w:lineRule="auto" w:line="285" w:before="0" w:after="0"/>
              <w:ind w:left="0" w:right="0" w:hanging="0"/>
              <w:jc w:val="both"/>
              <w:rPr/>
            </w:pPr>
            <w:r>
              <w:rPr/>
              <w:t>​</w:t>
            </w:r>
          </w:p>
        </w:tc>
        <w:tc>
          <w:tcPr>
            <w:tcW w:w="631"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196476</w:t>
            </w:r>
          </w:p>
        </w:tc>
        <w:tc>
          <w:tcPr>
            <w:tcW w:w="226" w:type="dxa"/>
            <w:tcBorders/>
            <w:vAlign w:val="center"/>
          </w:tcPr>
          <w:p>
            <w:pPr>
              <w:pStyle w:val="TableContents"/>
              <w:bidi w:val="0"/>
              <w:spacing w:lineRule="auto" w:line="285" w:before="0" w:after="0"/>
              <w:ind w:left="0" w:right="0" w:hanging="0"/>
              <w:jc w:val="both"/>
              <w:rPr/>
            </w:pPr>
            <w:r>
              <w:rPr/>
              <w:t>​</w:t>
            </w:r>
          </w:p>
        </w:tc>
        <w:tc>
          <w:tcPr>
            <w:tcW w:w="72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796" w:type="dxa"/>
            <w:tcBorders/>
            <w:vAlign w:val="center"/>
          </w:tcPr>
          <w:p>
            <w:pPr>
              <w:pStyle w:val="TableContents"/>
              <w:bidi w:val="0"/>
              <w:spacing w:lineRule="auto" w:line="285" w:before="0" w:after="1"/>
              <w:ind w:left="0" w:right="0" w:hanging="0"/>
              <w:jc w:val="both"/>
              <w:rPr/>
            </w:pPr>
            <w:r>
              <w:rPr/>
              <w:t>  ​</w:t>
            </w:r>
          </w:p>
        </w:tc>
        <w:tc>
          <w:tcPr>
            <w:tcW w:w="226" w:type="dxa"/>
            <w:tcBorders/>
            <w:vAlign w:val="center"/>
          </w:tcPr>
          <w:p>
            <w:pPr>
              <w:pStyle w:val="TableContents"/>
              <w:bidi w:val="0"/>
              <w:spacing w:lineRule="auto" w:line="285" w:before="0" w:after="1"/>
              <w:ind w:left="0" w:right="0" w:hanging="0"/>
              <w:jc w:val="both"/>
              <w:rPr/>
            </w:pPr>
            <w:r>
              <w:rPr/>
              <w:t> </w:t>
            </w:r>
          </w:p>
        </w:tc>
        <w:tc>
          <w:tcPr>
            <w:tcW w:w="661" w:type="dxa"/>
            <w:tcBorders/>
            <w:vAlign w:val="center"/>
          </w:tcPr>
          <w:p>
            <w:pPr>
              <w:pStyle w:val="TableContents"/>
              <w:bidi w:val="0"/>
              <w:spacing w:lineRule="auto" w:line="285" w:before="0" w:after="1"/>
              <w:ind w:left="0" w:right="0" w:hanging="0"/>
              <w:jc w:val="both"/>
              <w:rPr/>
            </w:pPr>
            <w:r>
              <w:rPr/>
              <w:t>  ​</w:t>
            </w:r>
          </w:p>
        </w:tc>
        <w:tc>
          <w:tcPr>
            <w:tcW w:w="226" w:type="dxa"/>
            <w:tcBorders/>
            <w:vAlign w:val="center"/>
          </w:tcPr>
          <w:p>
            <w:pPr>
              <w:pStyle w:val="TableContents"/>
              <w:bidi w:val="0"/>
              <w:spacing w:lineRule="auto" w:line="285" w:before="0" w:after="1"/>
              <w:ind w:left="0" w:right="0" w:hanging="0"/>
              <w:jc w:val="both"/>
              <w:rPr/>
            </w:pPr>
            <w:r>
              <w:rPr/>
              <w:t> </w:t>
            </w:r>
          </w:p>
        </w:tc>
        <w:tc>
          <w:tcPr>
            <w:tcW w:w="766" w:type="dxa"/>
            <w:tcBorders/>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351,663</w:t>
            </w:r>
          </w:p>
        </w:tc>
      </w:tr>
      <w:tr>
        <w:trPr/>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1"/>
              <w:ind w:left="0" w:right="0" w:hanging="0"/>
              <w:jc w:val="both"/>
              <w:rPr/>
            </w:pPr>
            <w:r>
              <w:rPr/>
              <w:t> </w:t>
            </w:r>
          </w:p>
        </w:tc>
        <w:tc>
          <w:tcPr>
            <w:tcW w:w="51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sz w:val="12"/>
              </w:rPr>
            </w:pPr>
            <w:r>
              <w:rPr>
                <w:rFonts w:ascii="Arial;Helvetica;sans-serif" w:hAnsi="Arial;Helvetica;sans-serif"/>
                <w:sz w:val="12"/>
              </w:rPr>
              <w:t>RSU</w:t>
            </w:r>
          </w:p>
        </w:tc>
        <w:tc>
          <w:tcPr>
            <w:tcW w:w="226" w:type="dxa"/>
            <w:tcBorders>
              <w:bottom w:val="single" w:sz="2" w:space="0" w:color="000000"/>
            </w:tcBorders>
            <w:tcMar>
              <w:bottom w:w="28" w:type="dxa"/>
            </w:tcMar>
            <w:vAlign w:val="center"/>
          </w:tcPr>
          <w:p>
            <w:pPr>
              <w:pStyle w:val="TableContents"/>
              <w:bidi w:val="0"/>
              <w:spacing w:lineRule="auto" w:line="285" w:before="0" w:after="1"/>
              <w:ind w:left="0" w:right="0" w:hanging="0"/>
              <w:jc w:val="both"/>
              <w:rPr/>
            </w:pPr>
            <w:r>
              <w:rPr/>
              <w:t> </w:t>
            </w:r>
          </w:p>
        </w:tc>
        <w:tc>
          <w:tcPr>
            <w:tcW w:w="4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2/13/2025</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5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2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2"/>
              </w:rPr>
            </w:pPr>
            <w:r>
              <w:rPr>
                <w:rFonts w:ascii="Arial;Helvetica;sans-serif" w:hAnsi="Arial;Helvetica;sans-serif"/>
                <w:sz w:val="12"/>
              </w:rPr>
              <w:t>96972</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66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1"/>
              <w:ind w:left="0" w:right="45" w:hanging="0"/>
              <w:jc w:val="right"/>
              <w:rPr>
                <w:rFonts w:ascii="Arial;Helvetica;sans-serif" w:hAnsi="Arial;Helvetica;sans-serif"/>
                <w:sz w:val="12"/>
              </w:rPr>
            </w:pPr>
            <w:r>
              <w:rPr>
                <w:rFonts w:ascii="Arial;Helvetica;sans-serif" w:hAnsi="Arial;Helvetica;sans-serif"/>
                <w:sz w:val="12"/>
              </w:rPr>
              <w:t>352,008</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These amounts represent the potential payout opportunities to the Named Executive Officers for the 2025 performance period under the Performance Award and Cash Bonus Plan. There is no payout at or below threshold under this plan for 2025. Actual amounts earned by the Named Executive Officers under the plan are reported in the Non-Equity Incentive Plan Compensation column of the “Summary Compensation Table.” For more information regarding the Performance Award and Cash Bonus Plan, including the performance targets used for 2025, see Compensation Discussion Analysis—Annual Performance Bonus. For Mr. Thigpen the values represent a prorated value based on his time as CEO while he was a participant of the plan.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The performance units granted on February 13, 2025, are subject to a 36-month performance period beginning January 1, 2025, and ending December 31, 2027. The actual number of performance units received will be determined in the first 60 days of 2028 and is contingent on the Company’s absolute free cash flow and performance in total shareholder return relative to the Performance Peer Group over a three-year performance measurement period. Any earned shares will vest on December 31, 2027. The amounts shown under the Maximum column represent the payout level of 200%. Mr. Adamson received an additional grant, in connection with his promotion to CEO, on May 1, 2025. The award is subject to the same performance period and conditions as the awards granted on February 13, 2025.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992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These amounts represent the number of time-vested restricted share units granted to the Named Executive Officers under the long-term incentive plans. The units vest in one-third increments over an approximate 36-month period commencing on February 13, 2025. The first installment vested on March 1, 2026, and the other installments will vest on March 1, 2027, and March 1, 2028. Mr. Adamson received an additional grant, in connection with his promotion to CEO, on May 1, 2025. The units will vest in one-third increments over a 31-month period. The first installment vests on May 1, 2026, and the other installments will vest on March 1, 2027, and March 1, 2028.</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w:t>
            </w:r>
          </w:p>
        </w:tc>
        <w:tc>
          <w:tcPr>
            <w:tcW w:w="990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These amounts represent the grant date fair value of these awards computed in accordance with FASB ASC Topic 718. The 2024 performance unit fair value is calculated using a Monte Carlo simulation to value total shareholder return at the share price on the date of grant.</w:t>
            </w:r>
          </w:p>
        </w:tc>
      </w:tr>
    </w:tbl>
    <w:p>
      <w:pPr>
        <w:pStyle w:val="TextBody"/>
        <w:pBdr/>
        <w:bidi w:val="0"/>
        <w:spacing w:lineRule="auto" w:line="285" w:before="0" w:after="0"/>
        <w:ind w:left="0" w:right="0" w:hanging="216"/>
        <w:jc w:val="both"/>
        <w:rPr/>
      </w:pPr>
      <w:r>
        <w:rPr/>
        <w:t>​</w:t>
      </w:r>
    </w:p>
    <w:p>
      <w:pPr>
        <w:pStyle w:val="TextBody"/>
        <w:pBdr/>
        <w:bidi w:val="0"/>
        <w:spacing w:lineRule="auto" w:line="285" w:before="0" w:after="0"/>
        <w:ind w:left="0" w:right="0" w:hanging="216"/>
        <w:jc w:val="both"/>
        <w:rPr>
          <w:rFonts w:ascii="Arial;Helvetica;sans-serif" w:hAnsi="Arial;Helvetica;sans-serif"/>
          <w:sz w:val="32"/>
        </w:rPr>
      </w:pPr>
      <w:r>
        <w:rPr>
          <w:rFonts w:ascii="Arial;Helvetica;sans-serif" w:hAnsi="Arial;Helvetica;sans-serif"/>
          <w:sz w:val="32"/>
        </w:rPr>
        <w:t>Outstanding Equity Awards at Year-End 2025</w:t>
      </w:r>
    </w:p>
    <w:p>
      <w:pPr>
        <w:pStyle w:val="TextBody"/>
        <w:bidi w:val="0"/>
        <w:spacing w:lineRule="auto" w:line="285" w:before="0" w:after="0"/>
        <w:ind w:left="0" w:right="0" w:hanging="0"/>
        <w:jc w:val="both"/>
        <w:rPr/>
      </w:pPr>
      <w:r>
        <w:rPr/>
        <w:t>​</w:t>
      </w:r>
    </w:p>
    <w:p>
      <w:pPr>
        <w:pStyle w:val="TextBody"/>
        <w:bidi w:val="0"/>
        <w:spacing w:lineRule="auto" w:line="285" w:before="0" w:after="100"/>
        <w:ind w:left="0" w:right="0" w:hanging="0"/>
        <w:jc w:val="both"/>
        <w:rPr>
          <w:rFonts w:ascii="Arial;Helvetica;sans-serif" w:hAnsi="Arial;Helvetica;sans-serif"/>
          <w:sz w:val="20"/>
        </w:rPr>
      </w:pPr>
      <w:r>
        <w:rPr>
          <w:rFonts w:ascii="Arial;Helvetica;sans-serif" w:hAnsi="Arial;Helvetica;sans-serif"/>
          <w:sz w:val="20"/>
        </w:rPr>
        <w:t>The following table sets forth certain information with respect to outstanding equity awards at December 31, 2025, for the Named Executive Officers.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P-101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57" w:name="_d018e959_ce62_4545_8002_868bb7f4c564"/>
      <w:bookmarkStart w:id="158" w:name="_d018e959_ce62_4545_8002_868bb7f4c564"/>
      <w:bookmarkEnd w:id="158"/>
    </w:p>
    <w:tbl>
      <w:tblPr>
        <w:tblW w:w="3050" w:type="dxa"/>
        <w:jc w:val="left"/>
        <w:tblInd w:w="0" w:type="dxa"/>
        <w:tblLayout w:type="fixed"/>
        <w:tblCellMar>
          <w:top w:w="0" w:type="dxa"/>
          <w:left w:w="0" w:type="dxa"/>
          <w:bottom w:w="0" w:type="dxa"/>
          <w:right w:w="0" w:type="dxa"/>
        </w:tblCellMar>
      </w:tblPr>
      <w:tblGrid>
        <w:gridCol w:w="2896"/>
        <w:gridCol w:w="154"/>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289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EXECUTIVE COMPENSATION</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tbl>
      <w:tblPr>
        <w:tblW w:w="10939" w:type="dxa"/>
        <w:jc w:val="left"/>
        <w:tblInd w:w="0" w:type="dxa"/>
        <w:tblLayout w:type="fixed"/>
        <w:tblCellMar>
          <w:top w:w="0" w:type="dxa"/>
          <w:left w:w="0" w:type="dxa"/>
          <w:bottom w:w="0" w:type="dxa"/>
          <w:right w:w="0" w:type="dxa"/>
        </w:tblCellMar>
      </w:tblPr>
      <w:tblGrid>
        <w:gridCol w:w="661"/>
        <w:gridCol w:w="226"/>
        <w:gridCol w:w="421"/>
        <w:gridCol w:w="226"/>
        <w:gridCol w:w="976"/>
        <w:gridCol w:w="226"/>
        <w:gridCol w:w="1156"/>
        <w:gridCol w:w="226"/>
        <w:gridCol w:w="691"/>
        <w:gridCol w:w="226"/>
        <w:gridCol w:w="826"/>
        <w:gridCol w:w="226"/>
        <w:gridCol w:w="886"/>
        <w:gridCol w:w="226"/>
        <w:gridCol w:w="1066"/>
        <w:gridCol w:w="226"/>
        <w:gridCol w:w="1081"/>
        <w:gridCol w:w="226"/>
        <w:gridCol w:w="1141"/>
      </w:tblGrid>
      <w:tr>
        <w:trPr/>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19735" cy="175260"/>
                      <wp:effectExtent l="0" t="0" r="0" b="0"/>
                      <wp:wrapNone/>
                      <wp:docPr id="300" name="Frame17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43510" cy="175260"/>
                      <wp:effectExtent l="0" t="0" r="0" b="0"/>
                      <wp:wrapNone/>
                      <wp:docPr id="301" name="Frame17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67335" cy="175260"/>
                      <wp:effectExtent l="0" t="0" r="0" b="0"/>
                      <wp:wrapNone/>
                      <wp:docPr id="302" name="Frame17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43510" cy="175260"/>
                      <wp:effectExtent l="0" t="0" r="0" b="0"/>
                      <wp:wrapNone/>
                      <wp:docPr id="303" name="Frame17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19760" cy="175260"/>
                      <wp:effectExtent l="0" t="0" r="0" b="0"/>
                      <wp:wrapNone/>
                      <wp:docPr id="304" name="Frame17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43510" cy="175260"/>
                      <wp:effectExtent l="0" t="0" r="0" b="0"/>
                      <wp:wrapNone/>
                      <wp:docPr id="305" name="Frame17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734060" cy="175260"/>
                      <wp:effectExtent l="0" t="0" r="0" b="0"/>
                      <wp:wrapNone/>
                      <wp:docPr id="306" name="Frame18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43510" cy="175260"/>
                      <wp:effectExtent l="0" t="0" r="0" b="0"/>
                      <wp:wrapNone/>
                      <wp:docPr id="307" name="Frame18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38785" cy="175260"/>
                      <wp:effectExtent l="0" t="0" r="0" b="0"/>
                      <wp:wrapNone/>
                      <wp:docPr id="308" name="Frame18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43510" cy="175260"/>
                      <wp:effectExtent l="0" t="0" r="0" b="0"/>
                      <wp:wrapNone/>
                      <wp:docPr id="309" name="Frame18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24510" cy="175260"/>
                      <wp:effectExtent l="0" t="0" r="0" b="0"/>
                      <wp:wrapNone/>
                      <wp:docPr id="310" name="Frame18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43510" cy="175260"/>
                      <wp:effectExtent l="0" t="0" r="0" b="0"/>
                      <wp:wrapNone/>
                      <wp:docPr id="311" name="Frame18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62610" cy="175260"/>
                      <wp:effectExtent l="0" t="0" r="0" b="0"/>
                      <wp:wrapNone/>
                      <wp:docPr id="312" name="Frame18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43510" cy="175260"/>
                      <wp:effectExtent l="0" t="0" r="0" b="0"/>
                      <wp:wrapNone/>
                      <wp:docPr id="313" name="Frame18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76910" cy="175260"/>
                      <wp:effectExtent l="0" t="0" r="0" b="0"/>
                      <wp:wrapNone/>
                      <wp:docPr id="314" name="Frame188"/>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43510" cy="175260"/>
                      <wp:effectExtent l="0" t="0" r="0" b="0"/>
                      <wp:wrapNone/>
                      <wp:docPr id="315" name="Frame18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86435" cy="175260"/>
                      <wp:effectExtent l="0" t="0" r="0" b="0"/>
                      <wp:wrapNone/>
                      <wp:docPr id="316" name="Frame19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43510" cy="175260"/>
                      <wp:effectExtent l="0" t="0" r="0" b="0"/>
                      <wp:wrapNone/>
                      <wp:docPr id="317" name="Frame19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724535" cy="175260"/>
                      <wp:effectExtent l="0" t="0" r="0" b="0"/>
                      <wp:wrapNone/>
                      <wp:docPr id="318" name="Frame19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66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  ​</w:t>
            </w:r>
          </w:p>
        </w:tc>
        <w:tc>
          <w:tcPr>
            <w:tcW w:w="42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97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115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69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8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8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106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108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114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EQUITY</w:t>
            </w:r>
          </w:p>
        </w:tc>
      </w:tr>
      <w:tr>
        <w:trPr/>
        <w:tc>
          <w:tcPr>
            <w:tcW w:w="66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42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7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5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69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6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8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EQUITY</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4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INCENTIVE PLAN</w:t>
            </w:r>
          </w:p>
        </w:tc>
      </w:tr>
      <w:tr>
        <w:trPr/>
        <w:tc>
          <w:tcPr>
            <w:tcW w:w="66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42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7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5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69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6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8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INCENTIVE</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4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AWARDS:</w:t>
            </w:r>
          </w:p>
        </w:tc>
      </w:tr>
      <w:tr>
        <w:trPr/>
        <w:tc>
          <w:tcPr>
            <w:tcW w:w="66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42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7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5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69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8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6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8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PLAN AWARDS:</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4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MARKET OR</w:t>
            </w:r>
          </w:p>
        </w:tc>
      </w:tr>
      <w:tr>
        <w:trPr/>
        <w:tc>
          <w:tcPr>
            <w:tcW w:w="66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42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7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NUMBER OF</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5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NUMBER OF</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9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8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NUMBER OF</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MARKET VALUE</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08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NUMBER OF</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14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PAYOUT VALUE</w:t>
            </w:r>
          </w:p>
        </w:tc>
      </w:tr>
      <w:tr>
        <w:trPr/>
        <w:tc>
          <w:tcPr>
            <w:tcW w:w="66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42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7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SECURITIES</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15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SECURITIES</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9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8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SHARES OR</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OF SHARES</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08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UNEARNED</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14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OF UNEARNED</w:t>
            </w:r>
          </w:p>
        </w:tc>
      </w:tr>
      <w:tr>
        <w:trPr/>
        <w:tc>
          <w:tcPr>
            <w:tcW w:w="66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42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7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UNDERLYING</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15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UNDERLYING</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9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8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UNITS OF</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OR UNITS OF</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08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SHARES, UNITS,</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14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SHARES, UNITS,</w:t>
            </w:r>
          </w:p>
        </w:tc>
      </w:tr>
      <w:tr>
        <w:trPr/>
        <w:tc>
          <w:tcPr>
            <w:tcW w:w="66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42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7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UNEXERCISED</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15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UNEXERCISED</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9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OPTION</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8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8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STOCK THAT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STOCK THAT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08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OTHER RIGHTS</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14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OTHER RIGHTS</w:t>
            </w:r>
          </w:p>
        </w:tc>
      </w:tr>
      <w:tr>
        <w:trPr/>
        <w:tc>
          <w:tcPr>
            <w:tcW w:w="66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42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7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OPTIONS</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15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OPTIONS</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9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EXERCISE</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82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OPTION</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88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HAVE NOT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HAVE NOT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08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THAT HAVE NOT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14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THAT HAVE NOT</w:t>
            </w:r>
          </w:p>
        </w:tc>
      </w:tr>
      <w:tr>
        <w:trPr/>
        <w:tc>
          <w:tcPr>
            <w:tcW w:w="66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42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Grant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7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15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69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PRICE</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82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EXPIRATION</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886" w:type="dxa"/>
            <w:tcBorders/>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color w:val="4B4F54"/>
                <w:sz w:val="12"/>
              </w:rPr>
              <w:t>VESTED</w:t>
            </w:r>
            <w:r>
              <w:rPr>
                <w:rFonts w:ascii="Arial;Helvetica;sans-serif" w:hAnsi="Arial;Helvetica;sans-serif"/>
                <w:b/>
                <w:color w:val="4B4F54"/>
                <w:sz w:val="9"/>
              </w:rPr>
              <w:t>(2)</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066" w:type="dxa"/>
            <w:tcBorders/>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color w:val="4B4F54"/>
                <w:sz w:val="12"/>
              </w:rPr>
              <w:t>VESTED</w:t>
            </w:r>
            <w:r>
              <w:rPr>
                <w:rFonts w:ascii="Arial;Helvetica;sans-serif" w:hAnsi="Arial;Helvetica;sans-serif"/>
                <w:b/>
                <w:color w:val="4B4F54"/>
                <w:sz w:val="9"/>
              </w:rPr>
              <w:t>(3)</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081" w:type="dxa"/>
            <w:tcBorders/>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color w:val="4B4F54"/>
                <w:sz w:val="12"/>
              </w:rPr>
              <w:t>VESTED</w:t>
            </w:r>
            <w:r>
              <w:rPr>
                <w:rFonts w:ascii="Arial;Helvetica;sans-serif" w:hAnsi="Arial;Helvetica;sans-serif"/>
                <w:b/>
                <w:color w:val="4B4F54"/>
                <w:sz w:val="9"/>
              </w:rPr>
              <w:t>(4)(5)</w:t>
            </w:r>
          </w:p>
        </w:tc>
        <w:tc>
          <w:tcPr>
            <w:tcW w:w="2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141" w:type="dxa"/>
            <w:tcBorders/>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color w:val="4B4F54"/>
                <w:sz w:val="12"/>
              </w:rPr>
              <w:t>VESTED</w:t>
            </w:r>
            <w:r>
              <w:rPr>
                <w:rFonts w:ascii="Arial;Helvetica;sans-serif" w:hAnsi="Arial;Helvetica;sans-serif"/>
                <w:b/>
                <w:color w:val="4B4F54"/>
                <w:sz w:val="9"/>
              </w:rPr>
              <w:t>(3)</w:t>
            </w:r>
          </w:p>
        </w:tc>
      </w:tr>
      <w:tr>
        <w:trPr/>
        <w:tc>
          <w:tcPr>
            <w:tcW w:w="661"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2"/>
              </w:rPr>
            </w:pPr>
            <w:r>
              <w:rPr>
                <w:rFonts w:ascii="Arial;Helvetica;sans-serif" w:hAnsi="Arial;Helvetica;sans-serif"/>
                <w:b/>
                <w:color w:val="4B4F54"/>
                <w:sz w:val="12"/>
              </w:rPr>
              <w:t>NAME</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42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Date/Year</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976" w:type="dxa"/>
            <w:tcBorders>
              <w:bottom w:val="single" w:sz="12" w:space="0" w:color="ECA44A"/>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color w:val="4B4F54"/>
                <w:sz w:val="12"/>
              </w:rPr>
              <w:t>EXERCISABLE</w:t>
            </w:r>
            <w:r>
              <w:rPr>
                <w:rFonts w:ascii="Arial;Helvetica;sans-serif" w:hAnsi="Arial;Helvetica;sans-serif"/>
                <w:b/>
                <w:color w:val="4B4F54"/>
                <w:sz w:val="9"/>
              </w:rPr>
              <w:t>(1)</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1156" w:type="dxa"/>
            <w:tcBorders>
              <w:bottom w:val="single" w:sz="12" w:space="0" w:color="ECA44A"/>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color w:val="4B4F54"/>
                <w:sz w:val="12"/>
              </w:rPr>
              <w:t>UNEXERCISABLE</w:t>
            </w:r>
            <w:r>
              <w:rPr>
                <w:rFonts w:ascii="Arial;Helvetica;sans-serif" w:hAnsi="Arial;Helvetica;sans-serif"/>
                <w:b/>
                <w:color w:val="4B4F54"/>
                <w:sz w:val="9"/>
              </w:rPr>
              <w:t>(1)</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69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(U.S. $/SHARE)</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82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DATE</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88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106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(U.S. $)</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108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114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(U.S. $)</w:t>
            </w:r>
          </w:p>
        </w:tc>
      </w:tr>
      <w:tr>
        <w:trPr/>
        <w:tc>
          <w:tcPr>
            <w:tcW w:w="661" w:type="dxa"/>
            <w:tcBorders/>
            <w:vAlign w:val="center"/>
          </w:tcPr>
          <w:p>
            <w:pPr>
              <w:pStyle w:val="TableContents"/>
              <w:bidi w:val="0"/>
              <w:spacing w:lineRule="auto" w:line="285" w:before="0" w:after="0"/>
              <w:ind w:left="0" w:right="0" w:hanging="0"/>
              <w:jc w:val="both"/>
              <w:rPr>
                <w:rFonts w:ascii="Arial;Helvetica;sans-serif" w:hAnsi="Arial;Helvetica;sans-serif"/>
                <w:b/>
                <w:sz w:val="10"/>
              </w:rPr>
            </w:pPr>
            <w:r>
              <w:rPr>
                <w:rFonts w:ascii="Arial;Helvetica;sans-serif" w:hAnsi="Arial;Helvetica;sans-serif"/>
                <w:b/>
                <w:sz w:val="10"/>
              </w:rPr>
              <w:t>Keelan I. Adamson</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2/11/2016</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44,118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8.61</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2/10/2026</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2/10/2017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46,657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13.35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2/9/2027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2/8/2018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62,970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9.18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2/7/2028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2/7/2019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111,111</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8.35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2/6/2029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2/9/2023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67,731</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279,729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208,794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862,319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2/13/2025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438,144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1,809,535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5/1/2025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542,793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2,241,735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2/9/2023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209,268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864,277</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339,348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1,401,507</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2/13/2025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443,864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1,833,158</w:t>
            </w:r>
          </w:p>
        </w:tc>
      </w:tr>
      <w:tr>
        <w:trPr/>
        <w:tc>
          <w:tcPr>
            <w:tcW w:w="66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4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5/1/2025</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596,535</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2,463,690</w:t>
            </w:r>
          </w:p>
        </w:tc>
      </w:tr>
      <w:tr>
        <w:trPr/>
        <w:tc>
          <w:tcPr>
            <w:tcW w:w="661" w:type="dxa"/>
            <w:tcBorders/>
            <w:vAlign w:val="center"/>
          </w:tcPr>
          <w:p>
            <w:pPr>
              <w:pStyle w:val="TableContents"/>
              <w:bidi w:val="0"/>
              <w:spacing w:lineRule="auto" w:line="285" w:before="0" w:after="0"/>
              <w:ind w:left="0" w:right="0" w:hanging="0"/>
              <w:jc w:val="both"/>
              <w:rPr>
                <w:rFonts w:ascii="Arial;Helvetica;sans-serif" w:hAnsi="Arial;Helvetica;sans-serif"/>
                <w:b/>
                <w:sz w:val="10"/>
              </w:rPr>
            </w:pPr>
            <w:r>
              <w:rPr>
                <w:rFonts w:ascii="Arial;Helvetica;sans-serif" w:hAnsi="Arial;Helvetica;sans-serif"/>
                <w:b/>
                <w:sz w:val="10"/>
              </w:rPr>
              <w:t>R. Thaddeus Vayda</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2/11/2016</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21,390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8.61</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2/10/2026</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2/10/2017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16,713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13.35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2/9/2027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2/8/2018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22,556</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9.18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2/7/2028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2/7/2019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29,630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8.35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2/6/2029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2/9/2023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17,991</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74,303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45,674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188,634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5/16/2024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43,760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180,729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2/13/2025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281,894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1,164,222</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2/9/2023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55,587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229,574</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74,232</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306,578</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5/16/2024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70,147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289,707</w:t>
            </w:r>
          </w:p>
        </w:tc>
      </w:tr>
      <w:tr>
        <w:trPr/>
        <w:tc>
          <w:tcPr>
            <w:tcW w:w="66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4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2/13/2025</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285,574</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1,179,421</w:t>
            </w:r>
          </w:p>
        </w:tc>
      </w:tr>
      <w:tr>
        <w:trPr/>
        <w:tc>
          <w:tcPr>
            <w:tcW w:w="661" w:type="dxa"/>
            <w:tcBorders/>
            <w:vAlign w:val="center"/>
          </w:tcPr>
          <w:p>
            <w:pPr>
              <w:pStyle w:val="TableContents"/>
              <w:bidi w:val="0"/>
              <w:spacing w:lineRule="auto" w:line="285" w:before="0" w:after="0"/>
              <w:ind w:left="0" w:right="0" w:hanging="0"/>
              <w:jc w:val="both"/>
              <w:rPr>
                <w:rFonts w:ascii="Arial;Helvetica;sans-serif" w:hAnsi="Arial;Helvetica;sans-serif"/>
                <w:b/>
                <w:sz w:val="10"/>
              </w:rPr>
            </w:pPr>
            <w:r>
              <w:rPr>
                <w:rFonts w:ascii="Arial;Helvetica;sans-serif" w:hAnsi="Arial;Helvetica;sans-serif"/>
                <w:b/>
                <w:sz w:val="10"/>
              </w:rPr>
              <w:t xml:space="preserve">Jeremy D. Thigpen </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2/11/2016</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233,957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8.61</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2/10/2026</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2/10/2017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217,618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13.35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2/9/2027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2/8/2018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328,947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9.18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2/7/2028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2/7/2019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432,099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8.35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2/6/2029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2/9/2023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193,518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799,229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491,280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2,028,986</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2/13/2025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515,464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2,128,866</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2/9/2023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597,907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2,469,356</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798,467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3,297,669</w:t>
            </w:r>
          </w:p>
        </w:tc>
      </w:tr>
      <w:tr>
        <w:trPr/>
        <w:tc>
          <w:tcPr>
            <w:tcW w:w="66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4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2/13/2025</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522,193</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2,156,657</w:t>
            </w:r>
          </w:p>
        </w:tc>
      </w:tr>
      <w:tr>
        <w:trPr/>
        <w:tc>
          <w:tcPr>
            <w:tcW w:w="661" w:type="dxa"/>
            <w:tcBorders/>
            <w:vAlign w:val="center"/>
          </w:tcPr>
          <w:p>
            <w:pPr>
              <w:pStyle w:val="TableContents"/>
              <w:bidi w:val="0"/>
              <w:spacing w:lineRule="auto" w:line="285" w:before="0" w:after="0"/>
              <w:ind w:left="0" w:right="0" w:hanging="0"/>
              <w:jc w:val="both"/>
              <w:rPr>
                <w:rFonts w:ascii="Arial;Helvetica;sans-serif" w:hAnsi="Arial;Helvetica;sans-serif"/>
                <w:b/>
                <w:sz w:val="10"/>
              </w:rPr>
            </w:pPr>
            <w:r>
              <w:rPr>
                <w:rFonts w:ascii="Arial;Helvetica;sans-serif" w:hAnsi="Arial;Helvetica;sans-serif"/>
                <w:b/>
                <w:sz w:val="10"/>
              </w:rPr>
              <w:t>Brady K. Long</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2/11/2016</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58,489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8.61</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2/10/2026</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2/10/2017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69,638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13.35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2/9/2027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2/8/2018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93,985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9.18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2/7/2028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2/7/2019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123,457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8.35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2/6/2029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2/9/2023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52,778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217,973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133,986</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553,362</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2/13/2025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295,220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1,219,259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2/9/2023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163,066</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673,463</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217,764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899,365</w:t>
            </w:r>
          </w:p>
        </w:tc>
      </w:tr>
      <w:tr>
        <w:trPr/>
        <w:tc>
          <w:tcPr>
            <w:tcW w:w="66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4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2/13/2025</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299,074</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1,235,176</w:t>
            </w:r>
          </w:p>
        </w:tc>
      </w:tr>
      <w:tr>
        <w:trPr/>
        <w:tc>
          <w:tcPr>
            <w:tcW w:w="661" w:type="dxa"/>
            <w:tcBorders/>
            <w:vAlign w:val="center"/>
          </w:tcPr>
          <w:p>
            <w:pPr>
              <w:pStyle w:val="TableContents"/>
              <w:bidi w:val="0"/>
              <w:spacing w:lineRule="auto" w:line="285" w:before="0" w:after="0"/>
              <w:ind w:left="0" w:right="0" w:hanging="0"/>
              <w:jc w:val="both"/>
              <w:rPr>
                <w:rFonts w:ascii="Arial;Helvetica;sans-serif" w:hAnsi="Arial;Helvetica;sans-serif"/>
                <w:b/>
                <w:sz w:val="10"/>
              </w:rPr>
            </w:pPr>
            <w:r>
              <w:rPr>
                <w:rFonts w:ascii="Arial;Helvetica;sans-serif" w:hAnsi="Arial;Helvetica;sans-serif"/>
                <w:b/>
                <w:sz w:val="10"/>
              </w:rPr>
              <w:t xml:space="preserve">Roderick J. Mackenzie </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2/11/2016</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12,478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8.61</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2/10/2026</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2/10/2017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19,586</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13.35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2/9/2027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2/8/2018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26,433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9.18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2/7/2028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2/7/2019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53,086</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8.35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2/6/2029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2/9/2023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34,924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144,236</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101,327</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418,481</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2/13/2025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212,629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878,158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2/9/2023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107,904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445,644</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164,684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680,145</w:t>
            </w:r>
          </w:p>
        </w:tc>
      </w:tr>
      <w:tr>
        <w:trPr/>
        <w:tc>
          <w:tcPr>
            <w:tcW w:w="66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4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2/13/2025</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215,405</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889,623</w:t>
            </w:r>
          </w:p>
        </w:tc>
      </w:tr>
      <w:tr>
        <w:trPr/>
        <w:tc>
          <w:tcPr>
            <w:tcW w:w="661" w:type="dxa"/>
            <w:tcBorders/>
            <w:vAlign w:val="center"/>
          </w:tcPr>
          <w:p>
            <w:pPr>
              <w:pStyle w:val="TableContents"/>
              <w:bidi w:val="0"/>
              <w:spacing w:lineRule="auto" w:line="285" w:before="0" w:after="0"/>
              <w:ind w:left="0" w:right="0" w:hanging="0"/>
              <w:jc w:val="both"/>
              <w:rPr>
                <w:rFonts w:ascii="Arial;Helvetica;sans-serif" w:hAnsi="Arial;Helvetica;sans-serif"/>
                <w:b/>
                <w:sz w:val="10"/>
              </w:rPr>
            </w:pPr>
            <w:r>
              <w:rPr>
                <w:rFonts w:ascii="Arial;Helvetica;sans-serif" w:hAnsi="Arial;Helvetica;sans-serif"/>
                <w:b/>
                <w:sz w:val="10"/>
              </w:rPr>
              <w:t>Jason B. Pack</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2/7/2019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27,778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8.35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2/6/2029</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2/9/2023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15,134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62,503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38,420</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158,675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5/16/2024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5,802</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23,962</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2/13/2025</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96,972</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400,494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2/9/2023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46,758</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193,111</w:t>
            </w:r>
          </w:p>
        </w:tc>
      </w:tr>
      <w:tr>
        <w:trPr/>
        <w:tc>
          <w:tcPr>
            <w:tcW w:w="6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42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2/8/2024</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62,443</w:t>
            </w:r>
          </w:p>
        </w:tc>
        <w:tc>
          <w:tcPr>
            <w:tcW w:w="2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257,890</w:t>
            </w:r>
          </w:p>
        </w:tc>
      </w:tr>
      <w:tr>
        <w:trPr/>
        <w:tc>
          <w:tcPr>
            <w:tcW w:w="66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4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2/13/2025</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9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98,238</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405,723</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P-102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lineRule="auto" w:line="285" w:before="0" w:after="0"/>
              <w:ind w:left="0" w:right="0" w:hanging="0"/>
              <w:jc w:val="both"/>
              <w:rPr/>
            </w:pPr>
            <w:r>
              <w:rPr/>
              <w:t>​</w:t>
            </w:r>
          </w:p>
        </w:tc>
        <w:tc>
          <w:tcPr>
            <w:tcW w:w="292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292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EXECUTIVE COMPENSATION</w:t>
            </w:r>
          </w:p>
        </w:tc>
      </w:tr>
    </w:tbl>
    <w:p>
      <w:pPr>
        <w:pStyle w:val="TextBody"/>
        <w:bidi w:val="0"/>
        <w:spacing w:lineRule="auto" w:line="285" w:before="0" w:after="0"/>
        <w:ind w:left="0" w:right="0" w:hanging="0"/>
        <w:jc w:val="both"/>
        <w:rPr/>
      </w:pPr>
      <w:r>
        <w:rPr/>
        <w:t>​</w:t>
      </w:r>
    </w:p>
    <w:tbl>
      <w:tblPr>
        <w:tblW w:w="4967" w:type="dxa"/>
        <w:jc w:val="left"/>
        <w:tblInd w:w="0" w:type="dxa"/>
        <w:tblLayout w:type="fixed"/>
        <w:tblCellMar>
          <w:top w:w="0" w:type="dxa"/>
          <w:left w:w="0" w:type="dxa"/>
          <w:bottom w:w="0" w:type="dxa"/>
          <w:right w:w="0" w:type="dxa"/>
        </w:tblCellMar>
      </w:tblPr>
      <w:tblGrid>
        <w:gridCol w:w="331"/>
        <w:gridCol w:w="4636"/>
      </w:tblGrid>
      <w:tr>
        <w:trPr/>
        <w:tc>
          <w:tcPr>
            <w:tcW w:w="33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463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Each option awarded has a 10-year term from the grant date.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22"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RSUs vest over a three-year period (ratably one-third each year), contingent upon continued service. RSUs granted on February 9, 2023, vested on March 1 of 2024, 2025, and 2026. RSUs granted on February 8, 2024, vested on March 1, 2025, and March 1, 2026, and will vest on March 1, 2027. RSUs granted on May 16, 2024, vested on May 29, 2025, and March 1, 2026, and will vest on March 1, 2027. RSUs granted on February 13, 2025, vested on March 1, 2026, and will vest on March 1, 2027 and March 1, 2028. RSUs granted on May 1, 2025, will vest on May 1, 2026, March 1, 2027, and March 1, 2028.</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98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For purposes of calculating the amounts in these columns, the closing price of our shares on the NYSE on December 31, 2025, of $4.13 was used.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w:t>
            </w:r>
          </w:p>
        </w:tc>
        <w:tc>
          <w:tcPr>
            <w:tcW w:w="992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Performance units granted in 2023, 2024, and 2025 are subject to a three-year performance period ending on December 31, 2025, December 31, 2026, and December 31, 2027, respectively. The actual number of performance units received will be determined in the first 60 days following the end of the performance period and are contingent on performance goals set by the Board of Directors at the time the awards are granted. Any shares earned will vest on the last day of the performance period. For more information regarding long-term incentive plans, please see Compensation Discussion and Analysis—Long-Term Incentives. </w:t>
            </w:r>
          </w:p>
        </w:tc>
      </w:tr>
    </w:tbl>
    <w:tbl>
      <w:tblPr>
        <w:tblW w:w="4142" w:type="dxa"/>
        <w:jc w:val="left"/>
        <w:tblInd w:w="0" w:type="dxa"/>
        <w:tblLayout w:type="fixed"/>
        <w:tblCellMar>
          <w:top w:w="0" w:type="dxa"/>
          <w:left w:w="0" w:type="dxa"/>
          <w:bottom w:w="0" w:type="dxa"/>
          <w:right w:w="0" w:type="dxa"/>
        </w:tblCellMar>
      </w:tblPr>
      <w:tblGrid>
        <w:gridCol w:w="331"/>
        <w:gridCol w:w="3811"/>
      </w:tblGrid>
      <w:tr>
        <w:trPr/>
        <w:tc>
          <w:tcPr>
            <w:tcW w:w="33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w:t>
            </w:r>
          </w:p>
        </w:tc>
        <w:tc>
          <w:tcPr>
            <w:tcW w:w="381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Performance units are shown as granted at target.</w:t>
            </w:r>
          </w:p>
        </w:tc>
      </w:tr>
    </w:tbl>
    <w:p>
      <w:pPr>
        <w:pStyle w:val="TextBody"/>
        <w:pBdr/>
        <w:bidi w:val="0"/>
        <w:spacing w:lineRule="auto" w:line="285" w:before="0" w:after="0"/>
        <w:ind w:left="0" w:right="0" w:hanging="389"/>
        <w:jc w:val="left"/>
        <w:rPr/>
      </w:pPr>
      <w:r>
        <w:rPr/>
        <w:t>​</w:t>
      </w:r>
    </w:p>
    <w:p>
      <w:pPr>
        <w:pStyle w:val="TextBody"/>
        <w:bidi w:val="0"/>
        <w:spacing w:lineRule="auto" w:line="285" w:before="80" w:after="60"/>
        <w:ind w:left="0" w:right="0" w:hanging="0"/>
        <w:jc w:val="both"/>
        <w:rPr>
          <w:rFonts w:ascii="Arial;Helvetica;sans-serif" w:hAnsi="Arial;Helvetica;sans-serif"/>
          <w:sz w:val="32"/>
        </w:rPr>
      </w:pPr>
      <w:r>
        <w:rPr>
          <w:rFonts w:ascii="Arial;Helvetica;sans-serif" w:hAnsi="Arial;Helvetica;sans-serif"/>
          <w:sz w:val="32"/>
        </w:rPr>
        <w:t>Option Exercises and Shares Vested for 2025</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following table sets forth certain information with respect to the exercise of options and the vesting of RSUs and PSUs, as applicable, during 2025 for the Named Executive Officers.</w:t>
      </w:r>
    </w:p>
    <w:p>
      <w:pPr>
        <w:pStyle w:val="TextBody"/>
        <w:bidi w:val="0"/>
        <w:spacing w:lineRule="auto" w:line="285" w:before="0" w:after="0"/>
        <w:ind w:left="0" w:right="0" w:firstLine="720"/>
        <w:jc w:val="both"/>
        <w:rPr/>
      </w:pPr>
      <w:r>
        <w:rPr/>
        <w:t>​</w:t>
      </w:r>
    </w:p>
    <w:tbl>
      <w:tblPr>
        <w:tblW w:w="8094" w:type="dxa"/>
        <w:jc w:val="left"/>
        <w:tblInd w:w="0" w:type="dxa"/>
        <w:tblLayout w:type="fixed"/>
        <w:tblCellMar>
          <w:top w:w="0" w:type="dxa"/>
          <w:left w:w="0" w:type="dxa"/>
          <w:bottom w:w="0" w:type="dxa"/>
          <w:right w:w="0" w:type="dxa"/>
        </w:tblCellMar>
      </w:tblPr>
      <w:tblGrid>
        <w:gridCol w:w="1786"/>
        <w:gridCol w:w="346"/>
        <w:gridCol w:w="1471"/>
        <w:gridCol w:w="346"/>
        <w:gridCol w:w="991"/>
        <w:gridCol w:w="346"/>
        <w:gridCol w:w="1426"/>
        <w:gridCol w:w="346"/>
        <w:gridCol w:w="1036"/>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134110" cy="175260"/>
                      <wp:effectExtent l="0" t="0" r="0" b="0"/>
                      <wp:wrapNone/>
                      <wp:docPr id="319" name="Frame193"/>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0"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934085" cy="175260"/>
                      <wp:effectExtent l="0" t="0" r="0" b="0"/>
                      <wp:wrapNone/>
                      <wp:docPr id="321" name="Frame195"/>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22"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29285" cy="175260"/>
                      <wp:effectExtent l="0" t="0" r="0" b="0"/>
                      <wp:wrapNone/>
                      <wp:docPr id="323" name="Frame19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24"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905510" cy="175260"/>
                      <wp:effectExtent l="0" t="0" r="0" b="0"/>
                      <wp:wrapNone/>
                      <wp:docPr id="325" name="Frame199"/>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26"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57860" cy="175260"/>
                      <wp:effectExtent l="0" t="0" r="0" b="0"/>
                      <wp:wrapNone/>
                      <wp:docPr id="327" name="Frame20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178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147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NUMBER OF SHARES</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99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VALUE</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142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NUMBER OF</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103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VALUE</w:t>
            </w:r>
          </w:p>
        </w:tc>
      </w:tr>
      <w:tr>
        <w:trPr/>
        <w:tc>
          <w:tcPr>
            <w:tcW w:w="178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47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ACQUIRED ON</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9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REALIZED ON</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42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SHARES ACQUIRED </w:t>
            </w:r>
          </w:p>
        </w:tc>
        <w:tc>
          <w:tcPr>
            <w:tcW w:w="34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03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REALIZED ON</w:t>
            </w:r>
          </w:p>
        </w:tc>
      </w:tr>
      <w:tr>
        <w:trPr/>
        <w:tc>
          <w:tcPr>
            <w:tcW w:w="178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47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EXERCISE</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9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EXERCISE</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42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ON VESTING </w:t>
            </w:r>
          </w:p>
        </w:tc>
        <w:tc>
          <w:tcPr>
            <w:tcW w:w="34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1036" w:type="dxa"/>
            <w:tcBorders/>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Helvetica;sans-serif" w:hAnsi="Arial;Helvetica;sans-serif"/>
                <w:b/>
                <w:color w:val="4B4F54"/>
                <w:sz w:val="14"/>
              </w:rPr>
              <w:t>VESTING</w:t>
            </w:r>
            <w:r>
              <w:rPr>
                <w:rFonts w:ascii="Arial;Helvetica;sans-serif" w:hAnsi="Arial;Helvetica;sans-serif"/>
                <w:b/>
                <w:color w:val="4B4F54"/>
                <w:sz w:val="11"/>
              </w:rPr>
              <w:t>(1)</w:t>
            </w:r>
          </w:p>
        </w:tc>
      </w:tr>
      <w:tr>
        <w:trPr/>
        <w:tc>
          <w:tcPr>
            <w:tcW w:w="178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4"/>
              </w:rPr>
            </w:pPr>
            <w:r>
              <w:rPr>
                <w:rFonts w:ascii="Arial;Helvetica;sans-serif" w:hAnsi="Arial;Helvetica;sans-serif"/>
                <w:b/>
                <w:color w:val="4B4F54"/>
                <w:sz w:val="14"/>
              </w:rPr>
              <w:t>NAME</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147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99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(U.S. $)</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142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103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4"/>
              </w:rPr>
            </w:pPr>
            <w:r>
              <w:rPr>
                <w:rFonts w:ascii="Arial;Helvetica;sans-serif" w:hAnsi="Arial;Helvetica;sans-serif"/>
                <w:b/>
                <w:color w:val="4B4F54"/>
                <w:sz w:val="14"/>
              </w:rPr>
              <w:t>(U.S. $)</w:t>
            </w:r>
          </w:p>
        </w:tc>
      </w:tr>
      <w:tr>
        <w:trPr/>
        <w:tc>
          <w:tcPr>
            <w:tcW w:w="17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sz w:val="15"/>
              </w:rPr>
            </w:pPr>
            <w:r>
              <w:rPr>
                <w:rFonts w:ascii="Arial;Helvetica;sans-serif" w:hAnsi="Arial;Helvetica;sans-serif"/>
                <w:b/>
                <w:sz w:val="15"/>
              </w:rPr>
              <w:t>Keelan I. Adamson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7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9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4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649,775</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3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2,191,054</w:t>
            </w:r>
          </w:p>
        </w:tc>
      </w:tr>
      <w:tr>
        <w:trPr/>
        <w:tc>
          <w:tcPr>
            <w:tcW w:w="17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sz w:val="15"/>
              </w:rPr>
            </w:pPr>
            <w:r>
              <w:rPr>
                <w:rFonts w:ascii="Arial;Helvetica;sans-serif" w:hAnsi="Arial;Helvetica;sans-serif"/>
                <w:b/>
                <w:sz w:val="15"/>
              </w:rPr>
              <w:t>R. Thaddeus Vayda</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7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9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4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161,221</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3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524,501</w:t>
            </w:r>
          </w:p>
        </w:tc>
      </w:tr>
      <w:tr>
        <w:trPr/>
        <w:tc>
          <w:tcPr>
            <w:tcW w:w="17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sz w:val="15"/>
              </w:rPr>
            </w:pPr>
            <w:r>
              <w:rPr>
                <w:rFonts w:ascii="Arial;Helvetica;sans-serif" w:hAnsi="Arial;Helvetica;sans-serif"/>
                <w:b/>
                <w:sz w:val="15"/>
              </w:rPr>
              <w:t>Jeremy D. Thigpen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7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9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4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1,803,868</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3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6,104,894</w:t>
            </w:r>
          </w:p>
        </w:tc>
      </w:tr>
      <w:tr>
        <w:trPr/>
        <w:tc>
          <w:tcPr>
            <w:tcW w:w="17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sz w:val="15"/>
              </w:rPr>
            </w:pPr>
            <w:r>
              <w:rPr>
                <w:rFonts w:ascii="Arial;Helvetica;sans-serif" w:hAnsi="Arial;Helvetica;sans-serif"/>
                <w:b/>
                <w:sz w:val="15"/>
              </w:rPr>
              <w:t>Brady K. Long</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7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9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4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491,963</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3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1,664,968</w:t>
            </w:r>
          </w:p>
        </w:tc>
      </w:tr>
      <w:tr>
        <w:trPr/>
        <w:tc>
          <w:tcPr>
            <w:tcW w:w="17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sz w:val="15"/>
              </w:rPr>
            </w:pPr>
            <w:r>
              <w:rPr>
                <w:rFonts w:ascii="Arial;Helvetica;sans-serif" w:hAnsi="Arial;Helvetica;sans-serif"/>
                <w:b/>
                <w:sz w:val="15"/>
              </w:rPr>
              <w:t>Roderick J. Mackenzie</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7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9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4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331,872</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3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1,120,414</w:t>
            </w:r>
          </w:p>
        </w:tc>
      </w:tr>
      <w:tr>
        <w:trPr/>
        <w:tc>
          <w:tcPr>
            <w:tcW w:w="17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sz w:val="15"/>
              </w:rPr>
            </w:pPr>
            <w:r>
              <w:rPr>
                <w:rFonts w:ascii="Arial;Helvetica;sans-serif" w:hAnsi="Arial;Helvetica;sans-serif"/>
                <w:b/>
                <w:sz w:val="15"/>
              </w:rPr>
              <w:t>Jason B. Pack</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47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9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42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143,966</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103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484,953</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79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Value realized on vesting is calculated by multiplying the closing price of our shares on the NYSE on the date of release by the number of gross shares that were released on such date, including any shares subsequently withheld in satisfaction of requisite tax withholding. </w:t>
            </w:r>
          </w:p>
        </w:tc>
      </w:tr>
    </w:tbl>
    <w:p>
      <w:pPr>
        <w:pStyle w:val="TextBody"/>
        <w:bidi w:val="0"/>
        <w:spacing w:lineRule="auto" w:line="285" w:before="0" w:after="100"/>
        <w:ind w:left="0" w:right="0" w:hanging="0"/>
        <w:jc w:val="both"/>
        <w:rPr>
          <w:rFonts w:ascii="Arial;Helvetica;sans-serif" w:hAnsi="Arial;Helvetica;sans-serif"/>
          <w:sz w:val="20"/>
        </w:rPr>
      </w:pPr>
      <w:r>
        <w:rPr>
          <w:rFonts w:ascii="Arial;Helvetica;sans-serif" w:hAnsi="Arial;Helvetica;sans-serif"/>
          <w:sz w:val="20"/>
        </w:rPr>
        <w:t>We do not (i) grant, and have not granted, stock options in anticipation of the release of material nonpublic information, (ii) time, and have not timed, the release of material nonpublic information based on stock option grant dates or for the purpose of affecting the value of executive compensation, and (iii) take, and have not taken, material nonpublic information into account when determining the timing and terms of stock options.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P-103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2896"/>
        <w:gridCol w:w="154"/>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289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EXECUTIVE COMPENSATION</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p>
      <w:pPr>
        <w:pStyle w:val="TextBody"/>
        <w:pBdr/>
        <w:bidi w:val="0"/>
        <w:spacing w:lineRule="auto" w:line="285" w:before="0" w:after="0"/>
        <w:ind w:left="0" w:right="0" w:hanging="216"/>
        <w:jc w:val="both"/>
        <w:rPr>
          <w:rFonts w:ascii="Arial;Helvetica;sans-serif" w:hAnsi="Arial;Helvetica;sans-serif"/>
          <w:sz w:val="32"/>
        </w:rPr>
      </w:pPr>
      <w:r>
        <w:rPr>
          <w:rFonts w:ascii="Arial;Helvetica;sans-serif" w:hAnsi="Arial;Helvetica;sans-serif"/>
          <w:sz w:val="32"/>
        </w:rPr>
        <w:t>Pension Benefits for 2025</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We maintain the following pension plans for executive officers and other employees that provide for post-retirement income based on age and years of service:</w:t>
      </w:r>
    </w:p>
    <w:p>
      <w:pPr>
        <w:pStyle w:val="TextBody"/>
        <w:bidi w:val="0"/>
        <w:spacing w:lineRule="auto" w:line="285" w:before="0" w:after="0"/>
        <w:ind w:left="0" w:right="0" w:hanging="0"/>
        <w:jc w:val="both"/>
        <w:rPr/>
      </w:pPr>
      <w:r>
        <w:rPr/>
        <w:t>​</w:t>
      </w:r>
    </w:p>
    <w:tbl>
      <w:tblPr>
        <w:tblW w:w="3902" w:type="dxa"/>
        <w:jc w:val="left"/>
        <w:tblInd w:w="0" w:type="dxa"/>
        <w:tblLayout w:type="fixed"/>
        <w:tblCellMar>
          <w:top w:w="0" w:type="dxa"/>
          <w:left w:w="0" w:type="dxa"/>
          <w:bottom w:w="0" w:type="dxa"/>
          <w:right w:w="0" w:type="dxa"/>
        </w:tblCellMar>
      </w:tblPr>
      <w:tblGrid>
        <w:gridCol w:w="391"/>
        <w:gridCol w:w="3511"/>
      </w:tblGrid>
      <w:tr>
        <w:trPr/>
        <w:tc>
          <w:tcPr>
            <w:tcW w:w="391" w:type="dxa"/>
            <w:tcBorders/>
            <w:vAlign w:val="center"/>
          </w:tcPr>
          <w:p>
            <w:pPr>
              <w:pStyle w:val="TableContents"/>
              <w:bidi w:val="0"/>
              <w:spacing w:lineRule="auto" w:line="285" w:before="0" w:after="0"/>
              <w:ind w:left="0" w:right="0" w:hanging="0"/>
              <w:jc w:val="both"/>
              <w:rPr/>
            </w:pPr>
            <w:r>
              <w:rPr/>
              <w:t>​</w:t>
            </w:r>
          </w:p>
        </w:tc>
        <w:tc>
          <w:tcPr>
            <w:tcW w:w="3511" w:type="dxa"/>
            <w:tcBorders/>
            <w:vAlign w:val="center"/>
          </w:tcPr>
          <w:p>
            <w:pPr>
              <w:pStyle w:val="TableContents"/>
              <w:bidi w:val="0"/>
              <w:spacing w:lineRule="auto" w:line="285" w:before="0" w:after="0"/>
              <w:ind w:left="0" w:right="0" w:hanging="0"/>
              <w:jc w:val="both"/>
              <w:rPr/>
            </w:pPr>
            <w:r>
              <w:rPr/>
              <w:t>​</w:t>
            </w:r>
          </w:p>
        </w:tc>
      </w:tr>
      <w:tr>
        <w:trPr/>
        <w:tc>
          <w:tcPr>
            <w:tcW w:w="391" w:type="dxa"/>
            <w:tcBorders/>
            <w:vAlign w:val="center"/>
          </w:tcPr>
          <w:p>
            <w:pPr>
              <w:pStyle w:val="TableContents"/>
              <w:bidi w:val="0"/>
              <w:spacing w:lineRule="auto" w:line="285" w:before="0" w:after="100"/>
              <w:ind w:left="0" w:right="0" w:hanging="0"/>
              <w:jc w:val="right"/>
              <w:rPr>
                <w:color w:val="005670"/>
              </w:rPr>
            </w:pPr>
            <w:r>
              <w:rPr>
                <w:color w:val="005670"/>
              </w:rPr>
              <w:t>■  ​</w:t>
            </w:r>
          </w:p>
        </w:tc>
        <w:tc>
          <w:tcPr>
            <w:tcW w:w="3511"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Transocean Savings Restoration Plan</w:t>
            </w:r>
          </w:p>
        </w:tc>
      </w:tr>
      <w:tr>
        <w:trPr/>
        <w:tc>
          <w:tcPr>
            <w:tcW w:w="391" w:type="dxa"/>
            <w:tcBorders/>
            <w:vAlign w:val="center"/>
          </w:tcPr>
          <w:p>
            <w:pPr>
              <w:pStyle w:val="TableContents"/>
              <w:bidi w:val="0"/>
              <w:spacing w:lineRule="auto" w:line="285" w:before="0" w:after="100"/>
              <w:ind w:left="0" w:right="0" w:hanging="0"/>
              <w:jc w:val="right"/>
              <w:rPr>
                <w:color w:val="005670"/>
              </w:rPr>
            </w:pPr>
            <w:r>
              <w:rPr>
                <w:color w:val="005670"/>
              </w:rPr>
              <w:t>■  ​</w:t>
            </w:r>
          </w:p>
        </w:tc>
        <w:tc>
          <w:tcPr>
            <w:tcW w:w="3511"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Transocean U.S. Retirement Plan</w:t>
            </w:r>
          </w:p>
        </w:tc>
      </w:tr>
      <w:tr>
        <w:trPr/>
        <w:tc>
          <w:tcPr>
            <w:tcW w:w="391" w:type="dxa"/>
            <w:tcBorders/>
            <w:vAlign w:val="center"/>
          </w:tcPr>
          <w:p>
            <w:pPr>
              <w:pStyle w:val="TableContents"/>
              <w:bidi w:val="0"/>
              <w:spacing w:lineRule="auto" w:line="285" w:before="0" w:after="0"/>
              <w:ind w:left="0" w:right="0" w:hanging="0"/>
              <w:jc w:val="right"/>
              <w:rPr>
                <w:color w:val="005670"/>
              </w:rPr>
            </w:pPr>
            <w:r>
              <w:rPr>
                <w:color w:val="005670"/>
              </w:rPr>
              <w:t>■  ​</w:t>
            </w:r>
          </w:p>
        </w:tc>
        <w:tc>
          <w:tcPr>
            <w:tcW w:w="3511" w:type="dxa"/>
            <w:tcBorders/>
            <w:vAlign w:val="center"/>
          </w:tcPr>
          <w:p>
            <w:pPr>
              <w:pStyle w:val="TableContents"/>
              <w:bidi w:val="0"/>
              <w:spacing w:lineRule="auto" w:line="285" w:before="0" w:after="100"/>
              <w:ind w:left="0" w:right="0" w:hanging="0"/>
              <w:jc w:val="left"/>
              <w:rPr>
                <w:rFonts w:ascii="Arial;Helvetica;sans-serif" w:hAnsi="Arial;Helvetica;sans-serif"/>
                <w:sz w:val="20"/>
              </w:rPr>
            </w:pPr>
            <w:r>
              <w:rPr>
                <w:rFonts w:ascii="Arial;Helvetica;sans-serif" w:hAnsi="Arial;Helvetica;sans-serif"/>
                <w:sz w:val="20"/>
              </w:rPr>
              <w:t>Transocean Pension Equalization Plan</w:t>
            </w:r>
          </w:p>
        </w:tc>
      </w:tr>
    </w:tbl>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following table and narrative disclosure set forth certain information with respect to pension benefits payable to the Named Executive Officers pursuant to these plans:</w:t>
      </w:r>
    </w:p>
    <w:tbl>
      <w:tblPr>
        <w:tblW w:w="9219" w:type="dxa"/>
        <w:jc w:val="left"/>
        <w:tblInd w:w="0" w:type="dxa"/>
        <w:tblLayout w:type="fixed"/>
        <w:tblCellMar>
          <w:top w:w="0" w:type="dxa"/>
          <w:left w:w="0" w:type="dxa"/>
          <w:bottom w:w="0" w:type="dxa"/>
          <w:right w:w="0" w:type="dxa"/>
        </w:tblCellMar>
      </w:tblPr>
      <w:tblGrid>
        <w:gridCol w:w="1786"/>
        <w:gridCol w:w="346"/>
        <w:gridCol w:w="2806"/>
        <w:gridCol w:w="346"/>
        <w:gridCol w:w="1006"/>
        <w:gridCol w:w="346"/>
        <w:gridCol w:w="1100"/>
        <w:gridCol w:w="146"/>
        <w:gridCol w:w="346"/>
        <w:gridCol w:w="99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134110" cy="175260"/>
                      <wp:effectExtent l="0" t="0" r="0" b="0"/>
                      <wp:wrapNone/>
                      <wp:docPr id="328" name="Frame202"/>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29"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781810" cy="175260"/>
                      <wp:effectExtent l="0" t="0" r="0" b="0"/>
                      <wp:wrapNone/>
                      <wp:docPr id="330" name="Frame204"/>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1"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38810" cy="175260"/>
                      <wp:effectExtent l="0" t="0" r="0" b="0"/>
                      <wp:wrapNone/>
                      <wp:docPr id="332" name="Frame20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33"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98500" cy="175260"/>
                      <wp:effectExtent l="0" t="0" r="0" b="0"/>
                      <wp:wrapNone/>
                      <wp:docPr id="334" name="Frame208"/>
                      <a:graphic xmlns:a="http://schemas.openxmlformats.org/drawingml/2006/main">
                        <a:graphicData uri="http://schemas.microsoft.com/office/word/2010/wordprocessingShape">
                          <wps:wsp>
                            <wps:cNvSpPr txBox="1"/>
                            <wps:spPr>
                              <a:xfrm>
                                <a:off x="0" y="0"/>
                                <a:ext cx="69850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92710" cy="175260"/>
                      <wp:effectExtent l="0" t="0" r="0" b="0"/>
                      <wp:wrapNone/>
                      <wp:docPr id="335" name="Frame20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36"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29285" cy="175260"/>
                      <wp:effectExtent l="0" t="0" r="0" b="0"/>
                      <wp:wrapNone/>
                      <wp:docPr id="337" name="Frame21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178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280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100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NUMBER OF</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124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PRESENT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991" w:type="dxa"/>
            <w:tcBorders/>
            <w:vAlign w:val="center"/>
          </w:tcPr>
          <w:p>
            <w:pPr>
              <w:pStyle w:val="TableContents"/>
              <w:bidi w:val="0"/>
              <w:spacing w:lineRule="auto" w:line="285" w:before="0" w:after="0"/>
              <w:ind w:left="0" w:right="0" w:hanging="0"/>
              <w:jc w:val="center"/>
              <w:rPr>
                <w:color w:val="4B4F54"/>
              </w:rPr>
            </w:pPr>
            <w:r>
              <w:rPr>
                <w:color w:val="4B4F54"/>
              </w:rPr>
              <w:t> </w:t>
            </w:r>
          </w:p>
        </w:tc>
      </w:tr>
      <w:tr>
        <w:trPr/>
        <w:tc>
          <w:tcPr>
            <w:tcW w:w="178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80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0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YEARS</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24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VALUE OF</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9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PAYMENTS</w:t>
            </w:r>
          </w:p>
        </w:tc>
      </w:tr>
      <w:tr>
        <w:trPr/>
        <w:tc>
          <w:tcPr>
            <w:tcW w:w="178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80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0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CREDITED</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24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ACCUMULATED</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9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DURING</w:t>
            </w:r>
          </w:p>
        </w:tc>
      </w:tr>
      <w:tr>
        <w:trPr/>
        <w:tc>
          <w:tcPr>
            <w:tcW w:w="178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80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0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SERVICE</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24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BENEFIT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9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2025</w:t>
            </w:r>
          </w:p>
        </w:tc>
      </w:tr>
      <w:tr>
        <w:trPr/>
        <w:tc>
          <w:tcPr>
            <w:tcW w:w="178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5"/>
              </w:rPr>
            </w:pPr>
            <w:r>
              <w:rPr>
                <w:rFonts w:ascii="Arial;Helvetica;sans-serif" w:hAnsi="Arial;Helvetica;sans-serif"/>
                <w:b/>
                <w:color w:val="4B4F54"/>
                <w:sz w:val="15"/>
              </w:rPr>
              <w:t>NAME</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3152" w:type="dxa"/>
            <w:gridSpan w:val="2"/>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PLAN NAME</w:t>
            </w:r>
          </w:p>
        </w:tc>
        <w:tc>
          <w:tcPr>
            <w:tcW w:w="100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1246" w:type="dxa"/>
            <w:gridSpan w:val="2"/>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(U.S. $)</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99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5"/>
              </w:rPr>
            </w:pPr>
            <w:r>
              <w:rPr>
                <w:rFonts w:ascii="Arial;Helvetica;sans-serif" w:hAnsi="Arial;Helvetica;sans-serif"/>
                <w:b/>
                <w:color w:val="4B4F54"/>
                <w:sz w:val="15"/>
              </w:rPr>
              <w:t>(U.S. $)</w:t>
            </w:r>
          </w:p>
        </w:tc>
      </w:tr>
      <w:tr>
        <w:trPr/>
        <w:tc>
          <w:tcPr>
            <w:tcW w:w="1786" w:type="dxa"/>
            <w:tcBorders/>
            <w:vAlign w:val="center"/>
          </w:tcPr>
          <w:p>
            <w:pPr>
              <w:pStyle w:val="TableContents"/>
              <w:bidi w:val="0"/>
              <w:spacing w:lineRule="auto" w:line="285" w:before="0" w:after="0"/>
              <w:ind w:left="0" w:right="0" w:hanging="0"/>
              <w:jc w:val="both"/>
              <w:rPr>
                <w:rFonts w:ascii="Arial;Helvetica;sans-serif" w:hAnsi="Arial;Helvetica;sans-serif"/>
                <w:b/>
                <w:sz w:val="15"/>
              </w:rPr>
            </w:pPr>
            <w:r>
              <w:rPr>
                <w:rFonts w:ascii="Arial;Helvetica;sans-serif" w:hAnsi="Arial;Helvetica;sans-serif"/>
                <w:b/>
                <w:sz w:val="15"/>
              </w:rPr>
              <w:t>Keelan I. Adamson</w:t>
            </w:r>
          </w:p>
        </w:tc>
        <w:tc>
          <w:tcPr>
            <w:tcW w:w="346" w:type="dxa"/>
            <w:tcBorders/>
            <w:vAlign w:val="center"/>
          </w:tcPr>
          <w:p>
            <w:pPr>
              <w:pStyle w:val="TableContents"/>
              <w:bidi w:val="0"/>
              <w:spacing w:lineRule="auto" w:line="285" w:before="0" w:after="0"/>
              <w:ind w:left="0" w:right="0" w:hanging="0"/>
              <w:jc w:val="both"/>
              <w:rPr/>
            </w:pPr>
            <w:r>
              <w:rPr/>
              <w:t> </w:t>
            </w:r>
          </w:p>
        </w:tc>
        <w:tc>
          <w:tcPr>
            <w:tcW w:w="280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5"/>
              </w:rPr>
            </w:pPr>
            <w:r>
              <w:rPr>
                <w:rFonts w:ascii="Arial;Helvetica;sans-serif" w:hAnsi="Arial;Helvetica;sans-serif"/>
                <w:sz w:val="15"/>
              </w:rPr>
              <w:t>Transocean Savings Restoration Plan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0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11</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00"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1,048,490</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9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178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280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5"/>
              </w:rPr>
            </w:pPr>
            <w:r>
              <w:rPr>
                <w:rFonts w:ascii="Arial;Helvetica;sans-serif" w:hAnsi="Arial;Helvetica;sans-serif"/>
                <w:sz w:val="15"/>
              </w:rPr>
              <w:t>Transocean U.S. Retirement Plan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0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00"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421,490</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9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178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280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5"/>
              </w:rPr>
            </w:pPr>
            <w:r>
              <w:rPr>
                <w:rFonts w:ascii="Arial;Helvetica;sans-serif" w:hAnsi="Arial;Helvetica;sans-serif"/>
                <w:sz w:val="15"/>
              </w:rPr>
              <w:t>Transocean Pension Equalization Plan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0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00"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416,010</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9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178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280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100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100"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pPr>
            <w:r>
              <w:rPr/>
              <w:t>​</w:t>
            </w:r>
          </w:p>
        </w:tc>
        <w:tc>
          <w:tcPr>
            <w:tcW w:w="1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99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r>
      <w:tr>
        <w:trPr/>
        <w:tc>
          <w:tcPr>
            <w:tcW w:w="1786" w:type="dxa"/>
            <w:tcBorders/>
            <w:vAlign w:val="center"/>
          </w:tcPr>
          <w:p>
            <w:pPr>
              <w:pStyle w:val="TableContents"/>
              <w:bidi w:val="0"/>
              <w:spacing w:lineRule="auto" w:line="285" w:before="0" w:after="0"/>
              <w:ind w:left="0" w:right="0" w:hanging="0"/>
              <w:jc w:val="both"/>
              <w:rPr>
                <w:rFonts w:ascii="Arial;Helvetica;sans-serif" w:hAnsi="Arial;Helvetica;sans-serif"/>
                <w:b/>
                <w:sz w:val="15"/>
              </w:rPr>
            </w:pPr>
            <w:r>
              <w:rPr>
                <w:rFonts w:ascii="Arial;Helvetica;sans-serif" w:hAnsi="Arial;Helvetica;sans-serif"/>
                <w:b/>
                <w:sz w:val="15"/>
              </w:rPr>
              <w:t>R. Thaddeus Vayda</w:t>
            </w:r>
          </w:p>
        </w:tc>
        <w:tc>
          <w:tcPr>
            <w:tcW w:w="346" w:type="dxa"/>
            <w:tcBorders/>
            <w:vAlign w:val="center"/>
          </w:tcPr>
          <w:p>
            <w:pPr>
              <w:pStyle w:val="TableContents"/>
              <w:bidi w:val="0"/>
              <w:spacing w:lineRule="auto" w:line="285" w:before="0" w:after="0"/>
              <w:ind w:left="0" w:right="0" w:hanging="0"/>
              <w:jc w:val="both"/>
              <w:rPr/>
            </w:pPr>
            <w:r>
              <w:rPr/>
              <w:t> </w:t>
            </w:r>
          </w:p>
        </w:tc>
        <w:tc>
          <w:tcPr>
            <w:tcW w:w="280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5"/>
              </w:rPr>
            </w:pPr>
            <w:r>
              <w:rPr>
                <w:rFonts w:ascii="Arial;Helvetica;sans-serif" w:hAnsi="Arial;Helvetica;sans-serif"/>
                <w:sz w:val="15"/>
              </w:rPr>
              <w:t>Transocean Savings Restoration Plan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0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11</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00"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372,931</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9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178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280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5"/>
              </w:rPr>
            </w:pPr>
            <w:r>
              <w:rPr>
                <w:rFonts w:ascii="Arial;Helvetica;sans-serif" w:hAnsi="Arial;Helvetica;sans-serif"/>
                <w:sz w:val="15"/>
              </w:rPr>
              <w:t>Transocean U.S. Retirement Plan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0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5</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00"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109,118</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9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178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280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5"/>
              </w:rPr>
            </w:pPr>
            <w:r>
              <w:rPr>
                <w:rFonts w:ascii="Arial;Helvetica;sans-serif" w:hAnsi="Arial;Helvetica;sans-serif"/>
                <w:sz w:val="15"/>
              </w:rPr>
              <w:t>Transocean Pension Equalization Plan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0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5</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00"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65,986</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9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178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280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100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100"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pPr>
            <w:r>
              <w:rPr/>
              <w:t>​</w:t>
            </w:r>
          </w:p>
        </w:tc>
        <w:tc>
          <w:tcPr>
            <w:tcW w:w="1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9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r>
      <w:tr>
        <w:trPr/>
        <w:tc>
          <w:tcPr>
            <w:tcW w:w="1786" w:type="dxa"/>
            <w:tcBorders/>
            <w:vAlign w:val="center"/>
          </w:tcPr>
          <w:p>
            <w:pPr>
              <w:pStyle w:val="TableContents"/>
              <w:bidi w:val="0"/>
              <w:spacing w:lineRule="auto" w:line="285" w:before="0" w:after="0"/>
              <w:ind w:left="0" w:right="0" w:hanging="0"/>
              <w:jc w:val="both"/>
              <w:rPr>
                <w:rFonts w:ascii="Arial;Helvetica;sans-serif" w:hAnsi="Arial;Helvetica;sans-serif"/>
                <w:b/>
                <w:sz w:val="15"/>
              </w:rPr>
            </w:pPr>
            <w:r>
              <w:rPr>
                <w:rFonts w:ascii="Arial;Helvetica;sans-serif" w:hAnsi="Arial;Helvetica;sans-serif"/>
                <w:b/>
                <w:sz w:val="15"/>
              </w:rPr>
              <w:t>Jeremy D. Thigpen</w:t>
            </w:r>
          </w:p>
        </w:tc>
        <w:tc>
          <w:tcPr>
            <w:tcW w:w="346" w:type="dxa"/>
            <w:tcBorders/>
            <w:vAlign w:val="center"/>
          </w:tcPr>
          <w:p>
            <w:pPr>
              <w:pStyle w:val="TableContents"/>
              <w:bidi w:val="0"/>
              <w:spacing w:lineRule="auto" w:line="285" w:before="0" w:after="0"/>
              <w:ind w:left="0" w:right="0" w:hanging="0"/>
              <w:jc w:val="both"/>
              <w:rPr/>
            </w:pPr>
            <w:r>
              <w:rPr/>
              <w:t> </w:t>
            </w:r>
          </w:p>
        </w:tc>
        <w:tc>
          <w:tcPr>
            <w:tcW w:w="280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5"/>
              </w:rPr>
            </w:pPr>
            <w:r>
              <w:rPr>
                <w:rFonts w:ascii="Arial;Helvetica;sans-serif" w:hAnsi="Arial;Helvetica;sans-serif"/>
                <w:sz w:val="15"/>
              </w:rPr>
              <w:t>Transocean Savings Restoration Plan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0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11</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00"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2,720,120</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9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178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280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100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100"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pPr>
            <w:r>
              <w:rPr/>
              <w:t>​</w:t>
            </w:r>
          </w:p>
        </w:tc>
        <w:tc>
          <w:tcPr>
            <w:tcW w:w="1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9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r>
      <w:tr>
        <w:trPr/>
        <w:tc>
          <w:tcPr>
            <w:tcW w:w="1786" w:type="dxa"/>
            <w:tcBorders/>
            <w:vAlign w:val="center"/>
          </w:tcPr>
          <w:p>
            <w:pPr>
              <w:pStyle w:val="TableContents"/>
              <w:bidi w:val="0"/>
              <w:spacing w:lineRule="auto" w:line="285" w:before="0" w:after="0"/>
              <w:ind w:left="0" w:right="0" w:hanging="0"/>
              <w:jc w:val="both"/>
              <w:rPr>
                <w:rFonts w:ascii="Arial;Helvetica;sans-serif" w:hAnsi="Arial;Helvetica;sans-serif"/>
                <w:b/>
                <w:sz w:val="15"/>
              </w:rPr>
            </w:pPr>
            <w:r>
              <w:rPr>
                <w:rFonts w:ascii="Arial;Helvetica;sans-serif" w:hAnsi="Arial;Helvetica;sans-serif"/>
                <w:b/>
                <w:sz w:val="15"/>
              </w:rPr>
              <w:t>Brady K. Long</w:t>
            </w:r>
          </w:p>
        </w:tc>
        <w:tc>
          <w:tcPr>
            <w:tcW w:w="346" w:type="dxa"/>
            <w:tcBorders/>
            <w:vAlign w:val="center"/>
          </w:tcPr>
          <w:p>
            <w:pPr>
              <w:pStyle w:val="TableContents"/>
              <w:bidi w:val="0"/>
              <w:spacing w:lineRule="auto" w:line="285" w:before="0" w:after="0"/>
              <w:ind w:left="0" w:right="0" w:hanging="0"/>
              <w:jc w:val="both"/>
              <w:rPr/>
            </w:pPr>
            <w:r>
              <w:rPr/>
              <w:t> </w:t>
            </w:r>
          </w:p>
        </w:tc>
        <w:tc>
          <w:tcPr>
            <w:tcW w:w="280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5"/>
              </w:rPr>
            </w:pPr>
            <w:r>
              <w:rPr>
                <w:rFonts w:ascii="Arial;Helvetica;sans-serif" w:hAnsi="Arial;Helvetica;sans-serif"/>
                <w:sz w:val="15"/>
              </w:rPr>
              <w:t>Transocean Savings Restoration Plan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0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00"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96,602</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9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178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280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100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100"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pPr>
            <w:r>
              <w:rPr/>
              <w:t>​</w:t>
            </w:r>
          </w:p>
        </w:tc>
        <w:tc>
          <w:tcPr>
            <w:tcW w:w="1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9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r>
      <w:tr>
        <w:trPr/>
        <w:tc>
          <w:tcPr>
            <w:tcW w:w="1786" w:type="dxa"/>
            <w:tcBorders/>
            <w:vAlign w:val="center"/>
          </w:tcPr>
          <w:p>
            <w:pPr>
              <w:pStyle w:val="TableContents"/>
              <w:bidi w:val="0"/>
              <w:spacing w:lineRule="auto" w:line="285" w:before="0" w:after="0"/>
              <w:ind w:left="0" w:right="0" w:hanging="0"/>
              <w:jc w:val="both"/>
              <w:rPr>
                <w:rFonts w:ascii="Arial;Helvetica;sans-serif" w:hAnsi="Arial;Helvetica;sans-serif"/>
                <w:b/>
                <w:sz w:val="15"/>
              </w:rPr>
            </w:pPr>
            <w:r>
              <w:rPr>
                <w:rFonts w:ascii="Arial;Helvetica;sans-serif" w:hAnsi="Arial;Helvetica;sans-serif"/>
                <w:b/>
                <w:sz w:val="15"/>
              </w:rPr>
              <w:t>Roderick J. Mackenzie</w:t>
            </w:r>
          </w:p>
        </w:tc>
        <w:tc>
          <w:tcPr>
            <w:tcW w:w="346" w:type="dxa"/>
            <w:tcBorders/>
            <w:vAlign w:val="center"/>
          </w:tcPr>
          <w:p>
            <w:pPr>
              <w:pStyle w:val="TableContents"/>
              <w:bidi w:val="0"/>
              <w:spacing w:lineRule="auto" w:line="285" w:before="0" w:after="0"/>
              <w:ind w:left="0" w:right="0" w:hanging="0"/>
              <w:jc w:val="both"/>
              <w:rPr/>
            </w:pPr>
            <w:r>
              <w:rPr/>
              <w:t> </w:t>
            </w:r>
          </w:p>
        </w:tc>
        <w:tc>
          <w:tcPr>
            <w:tcW w:w="280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5"/>
              </w:rPr>
            </w:pPr>
            <w:r>
              <w:rPr>
                <w:rFonts w:ascii="Arial;Helvetica;sans-serif" w:hAnsi="Arial;Helvetica;sans-serif"/>
                <w:sz w:val="15"/>
              </w:rPr>
              <w:t>Transocean Savings Restoration Plan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0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11</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00"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525,369</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9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178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280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5"/>
              </w:rPr>
            </w:pPr>
            <w:r>
              <w:rPr>
                <w:rFonts w:ascii="Arial;Helvetica;sans-serif" w:hAnsi="Arial;Helvetica;sans-serif"/>
                <w:sz w:val="15"/>
              </w:rPr>
              <w:t>Transocean U.S. Retirement Plan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0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7</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00"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178,589</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9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178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280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5"/>
              </w:rPr>
            </w:pPr>
            <w:r>
              <w:rPr>
                <w:rFonts w:ascii="Arial;Helvetica;sans-serif" w:hAnsi="Arial;Helvetica;sans-serif"/>
                <w:sz w:val="15"/>
              </w:rPr>
              <w:t>Transocean Pension Equalization Plan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0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7</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00"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15,345</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c>
          <w:tcPr>
            <w:tcW w:w="9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178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280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100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100"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pPr>
            <w:r>
              <w:rPr/>
              <w:t>​</w:t>
            </w:r>
          </w:p>
        </w:tc>
        <w:tc>
          <w:tcPr>
            <w:tcW w:w="1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9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r>
      <w:tr>
        <w:trPr/>
        <w:tc>
          <w:tcPr>
            <w:tcW w:w="1786" w:type="dxa"/>
            <w:tcBorders/>
            <w:vAlign w:val="center"/>
          </w:tcPr>
          <w:p>
            <w:pPr>
              <w:pStyle w:val="TableContents"/>
              <w:bidi w:val="0"/>
              <w:spacing w:lineRule="auto" w:line="285" w:before="0" w:after="0"/>
              <w:ind w:left="0" w:right="0" w:hanging="0"/>
              <w:jc w:val="both"/>
              <w:rPr>
                <w:rFonts w:ascii="Arial;Helvetica;sans-serif" w:hAnsi="Arial;Helvetica;sans-serif"/>
                <w:b/>
                <w:sz w:val="15"/>
              </w:rPr>
            </w:pPr>
            <w:r>
              <w:rPr>
                <w:rFonts w:ascii="Arial;Helvetica;sans-serif" w:hAnsi="Arial;Helvetica;sans-serif"/>
                <w:b/>
                <w:sz w:val="15"/>
              </w:rPr>
              <w:t>Jason B. Pack</w:t>
            </w:r>
          </w:p>
        </w:tc>
        <w:tc>
          <w:tcPr>
            <w:tcW w:w="346" w:type="dxa"/>
            <w:tcBorders/>
            <w:vAlign w:val="center"/>
          </w:tcPr>
          <w:p>
            <w:pPr>
              <w:pStyle w:val="TableContents"/>
              <w:bidi w:val="0"/>
              <w:spacing w:lineRule="auto" w:line="285" w:before="0" w:after="0"/>
              <w:ind w:left="0" w:right="0" w:hanging="0"/>
              <w:jc w:val="both"/>
              <w:rPr/>
            </w:pPr>
            <w:r>
              <w:rPr/>
              <w:t> </w:t>
            </w:r>
          </w:p>
        </w:tc>
        <w:tc>
          <w:tcPr>
            <w:tcW w:w="280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5"/>
              </w:rPr>
            </w:pPr>
            <w:r>
              <w:rPr>
                <w:rFonts w:ascii="Arial;Helvetica;sans-serif" w:hAnsi="Arial;Helvetica;sans-serif"/>
                <w:sz w:val="15"/>
              </w:rPr>
              <w:t>Transocean Savings Restoration Plan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00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5"/>
              </w:rPr>
            </w:pPr>
            <w:r>
              <w:rPr>
                <w:rFonts w:ascii="Arial;Helvetica;sans-serif" w:hAnsi="Arial;Helvetica;sans-serif"/>
                <w:sz w:val="15"/>
              </w:rPr>
              <w:t>7</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00"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5"/>
              </w:rPr>
            </w:pPr>
            <w:r>
              <w:rPr>
                <w:rFonts w:ascii="Arial;Helvetica;sans-serif" w:hAnsi="Arial;Helvetica;sans-serif"/>
                <w:sz w:val="15"/>
              </w:rPr>
              <w:t>181,770</w:t>
            </w:r>
          </w:p>
        </w:tc>
        <w:tc>
          <w:tcPr>
            <w:tcW w:w="1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991"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w:t>
            </w:r>
          </w:p>
        </w:tc>
      </w:tr>
      <w:tr>
        <w:trPr/>
        <w:tc>
          <w:tcPr>
            <w:tcW w:w="178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280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100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1100"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1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9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r>
    </w:tbl>
    <w:p>
      <w:pPr>
        <w:pStyle w:val="TextBody"/>
        <w:bidi w:val="0"/>
        <w:spacing w:lineRule="auto" w:line="285" w:before="0" w:after="0"/>
        <w:ind w:left="0" w:right="0" w:hanging="0"/>
        <w:jc w:val="both"/>
        <w:rPr/>
      </w:pPr>
      <w:r>
        <w:rPr/>
        <w:t>​</w:t>
      </w:r>
    </w:p>
    <w:p>
      <w:pPr>
        <w:pStyle w:val="TextBody"/>
        <w:pBdr/>
        <w:bidi w:val="0"/>
        <w:spacing w:lineRule="auto" w:line="285" w:before="0" w:after="0"/>
        <w:ind w:left="0" w:right="0" w:hanging="220"/>
        <w:jc w:val="both"/>
        <w:rPr>
          <w:rFonts w:ascii="Arial;Helvetica;sans-serif" w:hAnsi="Arial;Helvetica;sans-serif"/>
          <w:sz w:val="32"/>
        </w:rPr>
      </w:pPr>
      <w:r>
        <w:rPr>
          <w:rFonts w:ascii="Arial;Helvetica;sans-serif" w:hAnsi="Arial;Helvetica;sans-serif"/>
          <w:sz w:val="32"/>
        </w:rPr>
        <w:t>Transocean Savings Restoration Plan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Company maintains the Transocean Savings Restoration Plan, a nonqualified, unfunded, defined contribution plan for key management employees who earn compensation in excess of certain limits in the Internal Revenue Code. All Named Executive Officers participate in this plan. Effective January 1, 2017, all participants in this plan are fully vested. The plan provides that eligible participants receive an annual contribution equal to 10% (or such other percentage as determined by the administrative committee) of the compensation earned in a particular calendar year that is in excess of the Internal Revenue Code limits. Compensation considered under this plan includes basic salary and annual performance bonus. A participant must be employed on the last day of the calendar year in order to receive a contribution for a particular year. Benefits are payable upon a participant’s termination of employment, or six months after termination in the case of certain officers.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P-104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lineRule="auto" w:line="285" w:before="0" w:after="0"/>
              <w:ind w:left="0" w:right="0" w:hanging="0"/>
              <w:jc w:val="both"/>
              <w:rPr/>
            </w:pPr>
            <w:r>
              <w:rPr/>
              <w:t>​</w:t>
            </w:r>
          </w:p>
        </w:tc>
        <w:tc>
          <w:tcPr>
            <w:tcW w:w="292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292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EXECUTIVE COMPENSATION</w:t>
            </w:r>
          </w:p>
        </w:tc>
      </w:tr>
    </w:tbl>
    <w:p>
      <w:pPr>
        <w:pStyle w:val="TextBody"/>
        <w:bidi w:val="0"/>
        <w:spacing w:lineRule="auto" w:line="285" w:before="0" w:after="0"/>
        <w:ind w:left="0" w:right="0" w:hanging="0"/>
        <w:jc w:val="both"/>
        <w:rPr/>
      </w:pPr>
      <w:r>
        <w:rPr/>
        <w:t>​</w:t>
      </w:r>
    </w:p>
    <w:p>
      <w:pPr>
        <w:pStyle w:val="TextBody"/>
        <w:pBdr/>
        <w:bidi w:val="0"/>
        <w:spacing w:lineRule="auto" w:line="285" w:before="0" w:after="0"/>
        <w:ind w:left="0" w:right="0" w:hanging="220"/>
        <w:jc w:val="both"/>
        <w:rPr>
          <w:rFonts w:ascii="Arial;Helvetica;sans-serif" w:hAnsi="Arial;Helvetica;sans-serif"/>
          <w:sz w:val="32"/>
        </w:rPr>
      </w:pPr>
      <w:r>
        <w:rPr>
          <w:rFonts w:ascii="Arial;Helvetica;sans-serif" w:hAnsi="Arial;Helvetica;sans-serif"/>
          <w:sz w:val="32"/>
        </w:rPr>
        <w:t>Transocean U.S. Retirement Plan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Transocean U.S. Retirement Plan is a tax-qualified pension plan. Benefit accruals under this plan were frozen effective as of December 31, 2014. Messrs. Adamson, Vayda and Mackenzie are the only Named Executive Officers who participate in this plan.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plan was established to provide post-retirement income benefits to employees in recognition of their long-term service to the Company. Benefits available to executives were no greater than those offered to non-executive participants. The plan is funded through cash contributions made by the Company based on actuarial valuations and regulatory requirements. Employees working for the Company in the U.S. were fully vested after completing five years of eligible employment. Employees earned the right to receive a benefit upon retirement at the normal retirement age of 65 or upon early retirement (age 55 or older with five years of service). Furthermore, employees earned the right to receive a benefit if they are active employees and age 65 or older (with five years of service).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elements of compensation included in computing the retirement benefit are base salary and annual performance bonuses earned prior to January 1, 2015. For Mr. Vayda, the retirement benefit is calculated as the sum of 1% of the employee’s compensation for each calendar year (or partial year) of employment, divided by twelve. For Messrs. Adamson and Mackenzie, retirement benefits are calculated based on a final average pay formula with different percentages applied for service pre-2009 and post-2008. For service pre-2009, the percentage is 2.0% of final average earnings times credited service, less 0.65% of earnings below the integration level times credited service. For service post-2008, the percentage is 1.525% of final average earnings times credited service plus 0.475% of final average earnings in excess of certain Social Security thresholds.</w:t>
      </w:r>
    </w:p>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Certain assumptions and calculation methods were used to determine the values of the pension benefits disclosed in the “Pension Benefits for 2025” table above. In particular, monthly accrued pension benefits, payable at age 65, were determined as of December 31, 2025. The present value of these benefits was calculated based on assumptions disclosed in the Company’s financial statements for 2025. See Notes to Consolidated Financial Statements—Note 2—Significant Accounting Policies and Note 9—Benefit Plans included in Item 8 of our annual report on Form 10-K for the fiscal year ended December 31, 2025.</w:t>
      </w:r>
    </w:p>
    <w:p>
      <w:pPr>
        <w:pStyle w:val="TextBody"/>
        <w:pBdr/>
        <w:bidi w:val="0"/>
        <w:spacing w:lineRule="auto" w:line="285" w:before="0" w:after="200"/>
        <w:ind w:left="0" w:right="0" w:hanging="220"/>
        <w:jc w:val="both"/>
        <w:rPr>
          <w:rFonts w:ascii="Arial;Helvetica;sans-serif" w:hAnsi="Arial;Helvetica;sans-serif"/>
          <w:sz w:val="32"/>
        </w:rPr>
      </w:pPr>
      <w:r>
        <w:rPr>
          <w:rFonts w:ascii="Arial;Helvetica;sans-serif" w:hAnsi="Arial;Helvetica;sans-serif"/>
          <w:sz w:val="32"/>
        </w:rPr>
        <w:t>Transocean Pension Equalization Plan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Pension Equalization Plan (“PEP”) is a nonqualified, unfunded, noncontributory pension plan that was frozen effective December 31, 2014. Messrs. Adamson, Vayda and Mackenzie are the only Named Executive Officers with a frozen benefit in the PEP.</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PEP was established to provide supplemental post-retirement income in recognition of service to the Company. Benefits are payable upon a participant’s termination of employment, or six months after termination in the case of certain officers. Certain employees were eligible to receive a benefit under the PEP if the level of their compensation prior to January 1, 2015, would otherwise cause them to exceed the Internal Revenue Code compensation limitations imposed on the Transocean U.S. Retirement Plan.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plan recognizes the same forms of compensation and the same formula used to calculate the plan benefit as the Transocean U.S. Retirement Plan; however, earnings are not limited to the pay cap under the Internal Revenue Code Section 401(a)(17) ($260,000 in 2014 when the PEP was frozen). Benefits are not earned until the individual has five years of credited service with the Company.</w:t>
      </w:r>
    </w:p>
    <w:p>
      <w:pPr>
        <w:pStyle w:val="TextBody"/>
        <w:bidi w:val="0"/>
        <w:spacing w:lineRule="auto" w:line="285" w:before="200" w:after="200"/>
        <w:ind w:left="0" w:right="0" w:hanging="0"/>
        <w:jc w:val="both"/>
        <w:rPr>
          <w:rFonts w:ascii="Arial;Helvetica;sans-serif" w:hAnsi="Arial;Helvetica;sans-serif"/>
          <w:sz w:val="20"/>
        </w:rPr>
      </w:pPr>
      <w:r>
        <w:rPr>
          <w:rFonts w:ascii="Arial;Helvetica;sans-serif" w:hAnsi="Arial;Helvetica;sans-serif"/>
          <w:sz w:val="20"/>
        </w:rPr>
        <w:t>Certain assumptions and calculation methods were used to determine the values of the pension benefits disclosed in the “Pension Benefits for 2024” table above. In particular, monthly accrued pension benefits, payable at age 65, were determined as of December 31, 2025. The present value of these benefits was calculated based on assumptions disclosed in the Company’s financial statements for 2025. See Notes to Consolidated Financial Statements—Note 2—Significant Accounting Policies and Note 9—Benefit Plans included in Item 8 of our annual report on Form 10-K for the fiscal year ended December 31, 2025.</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P-105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2896"/>
        <w:gridCol w:w="154"/>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289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EXECUTIVE COMPENSATION</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p>
      <w:pPr>
        <w:pStyle w:val="TextBody"/>
        <w:pBdr/>
        <w:bidi w:val="0"/>
        <w:spacing w:lineRule="auto" w:line="285" w:before="0" w:after="200"/>
        <w:ind w:left="0" w:right="0" w:hanging="216"/>
        <w:jc w:val="both"/>
        <w:rPr>
          <w:rFonts w:ascii="Arial;Helvetica;sans-serif" w:hAnsi="Arial;Helvetica;sans-serif"/>
          <w:sz w:val="32"/>
        </w:rPr>
      </w:pPr>
      <w:r>
        <w:rPr>
          <w:rFonts w:ascii="Arial;Helvetica;sans-serif" w:hAnsi="Arial;Helvetica;sans-serif"/>
          <w:sz w:val="32"/>
        </w:rPr>
        <w:t>Potential Payments Upon Termination or Change of Control</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following table summarizes the treatment of outstanding awards for our Named Executive Officers, including those who are members of our Executive Management Team (“EMT”) as provided in the terms and conditions of each award.</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187"/>
        <w:gridCol w:w="346"/>
        <w:gridCol w:w="346"/>
        <w:gridCol w:w="7326"/>
      </w:tblGrid>
      <w:tr>
        <w:trPr/>
        <w:tc>
          <w:tcPr>
            <w:tcW w:w="218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326" w:type="dxa"/>
            <w:tcBorders/>
            <w:vAlign w:val="center"/>
          </w:tcPr>
          <w:p>
            <w:pPr>
              <w:pStyle w:val="TableContents"/>
              <w:bidi w:val="0"/>
              <w:spacing w:before="0" w:after="283"/>
              <w:ind w:left="0" w:right="0" w:hanging="0"/>
              <w:jc w:val="left"/>
              <w:rPr>
                <w:sz w:val="4"/>
                <w:szCs w:val="4"/>
              </w:rPr>
            </w:pPr>
            <w:r>
              <w:rPr>
                <w:sz w:val="4"/>
                <w:szCs w:val="4"/>
              </w:rPr>
            </w:r>
          </w:p>
        </w:tc>
      </w:tr>
      <w:tr>
        <w:trPr/>
        <w:tc>
          <w:tcPr>
            <w:tcW w:w="2187" w:type="dxa"/>
            <w:tcBorders>
              <w:bottom w:val="single" w:sz="12" w:space="0" w:color="ECA44A"/>
            </w:tcBorders>
            <w:tcMar>
              <w:bottom w:w="28" w:type="dxa"/>
            </w:tcMar>
            <w:vAlign w:val="center"/>
          </w:tcPr>
          <w:p>
            <w:pPr>
              <w:pStyle w:val="TableContents"/>
              <w:pBdr/>
              <w:bidi w:val="0"/>
              <w:spacing w:lineRule="auto" w:line="302" w:before="120" w:after="0"/>
              <w:ind w:left="0" w:right="0" w:hanging="0"/>
              <w:jc w:val="left"/>
              <w:rPr>
                <w:rFonts w:ascii="Arial;Helvetica;sans-serif" w:hAnsi="Arial;Helvetica;sans-serif"/>
                <w:color w:val="4B4F54"/>
                <w:sz w:val="20"/>
              </w:rPr>
            </w:pPr>
            <w:r>
              <w:rPr>
                <w:rFonts w:ascii="Arial;Helvetica;sans-serif" w:hAnsi="Arial;Helvetica;sans-serif"/>
                <w:color w:val="4B4F54"/>
                <w:sz w:val="20"/>
              </w:rPr>
              <w:t>EVENT</w:t>
            </w:r>
          </w:p>
        </w:tc>
        <w:tc>
          <w:tcPr>
            <w:tcW w:w="346" w:type="dxa"/>
            <w:tcBorders/>
            <w:vAlign w:val="center"/>
          </w:tcPr>
          <w:p>
            <w:pPr>
              <w:pStyle w:val="TableContents"/>
              <w:bidi w:val="0"/>
              <w:spacing w:lineRule="auto" w:line="304" w:before="0" w:after="0"/>
              <w:ind w:left="0" w:right="0" w:hanging="0"/>
              <w:jc w:val="both"/>
              <w:rPr/>
            </w:pPr>
            <w:r>
              <w:rPr/>
              <w:t>  ​ ​ ​</w:t>
            </w:r>
          </w:p>
        </w:tc>
        <w:tc>
          <w:tcPr>
            <w:tcW w:w="346" w:type="dxa"/>
            <w:tcBorders/>
            <w:vAlign w:val="center"/>
          </w:tcPr>
          <w:p>
            <w:pPr>
              <w:pStyle w:val="TableContents"/>
              <w:bidi w:val="0"/>
              <w:spacing w:lineRule="auto" w:line="304" w:before="0" w:after="0"/>
              <w:ind w:left="0" w:right="0" w:hanging="0"/>
              <w:jc w:val="both"/>
              <w:rPr/>
            </w:pPr>
            <w:r>
              <w:rPr/>
              <w:t>  ​ ​ ​</w:t>
            </w:r>
          </w:p>
        </w:tc>
        <w:tc>
          <w:tcPr>
            <w:tcW w:w="7326" w:type="dxa"/>
            <w:tcBorders>
              <w:bottom w:val="single" w:sz="12" w:space="0" w:color="ECA44A"/>
            </w:tcBorders>
            <w:tcMar>
              <w:bottom w:w="28" w:type="dxa"/>
            </w:tcMar>
            <w:vAlign w:val="center"/>
          </w:tcPr>
          <w:p>
            <w:pPr>
              <w:pStyle w:val="TableContents"/>
              <w:pBdr/>
              <w:bidi w:val="0"/>
              <w:spacing w:lineRule="auto" w:line="302" w:before="120" w:after="0"/>
              <w:ind w:left="0" w:right="0" w:hanging="0"/>
              <w:jc w:val="left"/>
              <w:rPr>
                <w:rFonts w:ascii="Arial;Helvetica;sans-serif" w:hAnsi="Arial;Helvetica;sans-serif"/>
                <w:color w:val="4B4F54"/>
                <w:sz w:val="20"/>
              </w:rPr>
            </w:pPr>
            <w:r>
              <w:rPr>
                <w:rFonts w:ascii="Arial;Helvetica;sans-serif" w:hAnsi="Arial;Helvetica;sans-serif"/>
                <w:color w:val="4B4F54"/>
                <w:sz w:val="20"/>
              </w:rPr>
              <w:t>CONSEQUENCES</w:t>
            </w:r>
          </w:p>
        </w:tc>
      </w:tr>
      <w:tr>
        <w:trPr/>
        <w:tc>
          <w:tcPr>
            <w:tcW w:w="2187" w:type="dxa"/>
            <w:tcBorders>
              <w:top w:val="single" w:sz="12" w:space="0" w:color="ECA44A"/>
            </w:tcBorders>
            <w:tcMar>
              <w:top w:w="28" w:type="dxa"/>
            </w:tcMar>
            <w:vAlign w:val="center"/>
          </w:tcPr>
          <w:p>
            <w:pPr>
              <w:pStyle w:val="TableContents"/>
              <w:bidi w:val="0"/>
              <w:spacing w:lineRule="atLeast" w:line="220" w:before="120" w:after="160"/>
              <w:ind w:left="0" w:right="0" w:hanging="0"/>
              <w:jc w:val="left"/>
              <w:rPr>
                <w:rFonts w:ascii="Arial;Helvetica;sans-serif" w:hAnsi="Arial;Helvetica;sans-serif"/>
                <w:sz w:val="20"/>
              </w:rPr>
            </w:pPr>
            <w:r>
              <w:rPr>
                <w:rFonts w:ascii="Arial;Helvetica;sans-serif" w:hAnsi="Arial;Helvetica;sans-serif"/>
                <w:sz w:val="20"/>
              </w:rPr>
              <w:t>Voluntary not-for-cause termination</w:t>
            </w:r>
          </w:p>
        </w:tc>
        <w:tc>
          <w:tcPr>
            <w:tcW w:w="34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7326" w:type="dxa"/>
            <w:tcBorders>
              <w:top w:val="single" w:sz="12" w:space="0" w:color="ECA44A"/>
            </w:tcBorders>
            <w:tcMar>
              <w:top w:w="28" w:type="dxa"/>
            </w:tcMar>
            <w:vAlign w:val="center"/>
          </w:tcPr>
          <w:p>
            <w:pPr>
              <w:pStyle w:val="TableContents"/>
              <w:bidi w:val="0"/>
              <w:spacing w:lineRule="atLeast" w:line="220" w:before="120" w:after="120"/>
              <w:ind w:left="0" w:right="0" w:hanging="0"/>
              <w:jc w:val="both"/>
              <w:rPr>
                <w:rFonts w:ascii="Arial;Helvetica;sans-serif" w:hAnsi="Arial;Helvetica;sans-serif"/>
                <w:sz w:val="20"/>
              </w:rPr>
            </w:pPr>
            <w:r>
              <w:rPr>
                <w:rFonts w:ascii="Arial;Helvetica;sans-serif" w:hAnsi="Arial;Helvetica;sans-serif"/>
                <w:sz w:val="20"/>
              </w:rPr>
              <w:t>Restricted Share Units, Performance Units, Performance Cash and Stock Options – The executive’s right to the unvested portion of award terminates immediately; vested and outstanding stock options will remain exercisable for 60 days following termination (or until expiration, if sooner).</w:t>
            </w:r>
          </w:p>
        </w:tc>
      </w:tr>
      <w:tr>
        <w:trPr/>
        <w:tc>
          <w:tcPr>
            <w:tcW w:w="2187" w:type="dxa"/>
            <w:tcBorders/>
            <w:shd w:fill="F2F2F2" w:val="clear"/>
            <w:vAlign w:val="center"/>
          </w:tcPr>
          <w:p>
            <w:pPr>
              <w:pStyle w:val="TableContents"/>
              <w:bidi w:val="0"/>
              <w:spacing w:lineRule="atLeast" w:line="220" w:before="0" w:after="160"/>
              <w:ind w:left="0" w:right="0" w:hanging="0"/>
              <w:jc w:val="left"/>
              <w:rPr>
                <w:rFonts w:ascii="Arial;Helvetica;sans-serif" w:hAnsi="Arial;Helvetica;sans-serif"/>
                <w:sz w:val="20"/>
              </w:rPr>
            </w:pPr>
            <w:r>
              <w:rPr>
                <w:rFonts w:ascii="Arial;Helvetica;sans-serif" w:hAnsi="Arial;Helvetica;sans-serif"/>
                <w:sz w:val="20"/>
              </w:rPr>
              <w:t>Involuntary not-for-cause termination or Retirement</w:t>
            </w:r>
          </w:p>
        </w:tc>
        <w:tc>
          <w:tcPr>
            <w:tcW w:w="346" w:type="dxa"/>
            <w:tcBorders/>
            <w:shd w:fill="F2F2F2" w:val="clear"/>
            <w:vAlign w:val="center"/>
          </w:tcPr>
          <w:p>
            <w:pPr>
              <w:pStyle w:val="TableContents"/>
              <w:bidi w:val="0"/>
              <w:spacing w:lineRule="auto" w:line="285" w:before="0" w:after="0"/>
              <w:ind w:left="0" w:right="0" w:hanging="0"/>
              <w:jc w:val="both"/>
              <w:rPr/>
            </w:pPr>
            <w:r>
              <w:rPr/>
              <w:t>​</w:t>
            </w:r>
          </w:p>
        </w:tc>
        <w:tc>
          <w:tcPr>
            <w:tcW w:w="346" w:type="dxa"/>
            <w:tcBorders/>
            <w:shd w:fill="F2F2F2" w:val="clear"/>
            <w:vAlign w:val="center"/>
          </w:tcPr>
          <w:p>
            <w:pPr>
              <w:pStyle w:val="TableContents"/>
              <w:bidi w:val="0"/>
              <w:spacing w:lineRule="auto" w:line="285" w:before="0" w:after="0"/>
              <w:ind w:left="0" w:right="0" w:hanging="0"/>
              <w:jc w:val="both"/>
              <w:rPr/>
            </w:pPr>
            <w:r>
              <w:rPr/>
              <w:t>​</w:t>
            </w:r>
          </w:p>
        </w:tc>
        <w:tc>
          <w:tcPr>
            <w:tcW w:w="7326" w:type="dxa"/>
            <w:tcBorders/>
            <w:shd w:fill="F2F2F2" w:val="clear"/>
            <w:vAlign w:val="center"/>
          </w:tcPr>
          <w:p>
            <w:pPr>
              <w:pStyle w:val="TableContents"/>
              <w:bidi w:val="0"/>
              <w:spacing w:lineRule="atLeast" w:line="220" w:before="0" w:after="120"/>
              <w:ind w:left="86" w:right="0" w:hanging="0"/>
              <w:jc w:val="both"/>
              <w:rPr>
                <w:rFonts w:ascii="Arial;Helvetica;sans-serif" w:hAnsi="Arial;Helvetica;sans-serif"/>
                <w:sz w:val="20"/>
              </w:rPr>
            </w:pPr>
            <w:r>
              <w:rPr>
                <w:rFonts w:ascii="Arial;Helvetica;sans-serif" w:hAnsi="Arial;Helvetica;sans-serif"/>
                <w:sz w:val="20"/>
              </w:rPr>
              <w:t xml:space="preserve">Restricted Share Units – A prorated portion of the award vests. </w:t>
            </w:r>
          </w:p>
          <w:p>
            <w:pPr>
              <w:pStyle w:val="TableContents"/>
              <w:bidi w:val="0"/>
              <w:spacing w:lineRule="atLeast" w:line="220" w:before="0" w:after="120"/>
              <w:ind w:left="86" w:right="0" w:hanging="0"/>
              <w:jc w:val="both"/>
              <w:rPr>
                <w:rFonts w:ascii="Arial;Helvetica;sans-serif" w:hAnsi="Arial;Helvetica;sans-serif"/>
                <w:sz w:val="20"/>
              </w:rPr>
            </w:pPr>
            <w:r>
              <w:rPr>
                <w:rFonts w:ascii="Arial;Helvetica;sans-serif" w:hAnsi="Arial;Helvetica;sans-serif"/>
                <w:sz w:val="20"/>
              </w:rPr>
              <w:t>For the EMTs, if at least one year has elapsed from the date of grant, award will continue to vest as if the EMT member has been continuously employed through the vesting of the award, so long as the EMT member does not provide services to a competitor, at which time any outstanding award will be forfeited.</w:t>
            </w:r>
          </w:p>
          <w:p>
            <w:pPr>
              <w:pStyle w:val="TableContents"/>
              <w:bidi w:val="0"/>
              <w:spacing w:lineRule="atLeast" w:line="220" w:before="0" w:after="120"/>
              <w:ind w:left="86" w:right="0" w:hanging="0"/>
              <w:jc w:val="both"/>
              <w:rPr>
                <w:rFonts w:ascii="Arial;Helvetica;sans-serif" w:hAnsi="Arial;Helvetica;sans-serif"/>
                <w:sz w:val="20"/>
              </w:rPr>
            </w:pPr>
            <w:r>
              <w:rPr>
                <w:rFonts w:ascii="Arial;Helvetica;sans-serif" w:hAnsi="Arial;Helvetica;sans-serif"/>
                <w:sz w:val="20"/>
              </w:rPr>
              <w:t xml:space="preserve">Performance Units – A prorated portion of the award vests based on actual performance after the performance period ends. </w:t>
            </w:r>
          </w:p>
          <w:p>
            <w:pPr>
              <w:pStyle w:val="TableContents"/>
              <w:bidi w:val="0"/>
              <w:spacing w:lineRule="atLeast" w:line="220" w:before="0" w:after="120"/>
              <w:ind w:left="86" w:right="0" w:hanging="0"/>
              <w:jc w:val="both"/>
              <w:rPr>
                <w:rFonts w:ascii="Arial;Helvetica;sans-serif" w:hAnsi="Arial;Helvetica;sans-serif"/>
                <w:sz w:val="20"/>
              </w:rPr>
            </w:pPr>
            <w:r>
              <w:rPr>
                <w:rFonts w:ascii="Arial;Helvetica;sans-serif" w:hAnsi="Arial;Helvetica;sans-serif"/>
                <w:sz w:val="20"/>
              </w:rPr>
              <w:t>For the EMTs, if at least one year has elapsed from the date of grant, the award will continue to vest as if the EMT member has been continuously employed through the end of the performance period, so long as they do not provide services to a competitor, at which time any outstanding award will be forfeited.</w:t>
            </w:r>
          </w:p>
          <w:p>
            <w:pPr>
              <w:pStyle w:val="TableContents"/>
              <w:bidi w:val="0"/>
              <w:spacing w:lineRule="atLeast" w:line="220" w:before="0" w:after="120"/>
              <w:ind w:left="0" w:right="0" w:hanging="0"/>
              <w:jc w:val="both"/>
              <w:rPr>
                <w:rFonts w:ascii="Arial;Helvetica;sans-serif" w:hAnsi="Arial;Helvetica;sans-serif"/>
                <w:sz w:val="20"/>
              </w:rPr>
            </w:pPr>
            <w:r>
              <w:rPr>
                <w:rFonts w:ascii="Arial;Helvetica;sans-serif" w:hAnsi="Arial;Helvetica;sans-serif"/>
                <w:sz w:val="20"/>
              </w:rPr>
              <w:t>Stock Options – All outstanding options will remain exercisable for one year following termination (or until option expiration, if sooner)</w:t>
            </w:r>
          </w:p>
        </w:tc>
      </w:tr>
      <w:tr>
        <w:trPr/>
        <w:tc>
          <w:tcPr>
            <w:tcW w:w="2187" w:type="dxa"/>
            <w:tcBorders/>
            <w:vAlign w:val="center"/>
          </w:tcPr>
          <w:p>
            <w:pPr>
              <w:pStyle w:val="TableContents"/>
              <w:bidi w:val="0"/>
              <w:spacing w:lineRule="atLeast" w:line="220" w:before="0" w:after="160"/>
              <w:ind w:left="0" w:right="0" w:hanging="0"/>
              <w:jc w:val="left"/>
              <w:rPr>
                <w:rFonts w:ascii="Arial;Helvetica;sans-serif" w:hAnsi="Arial;Helvetica;sans-serif"/>
                <w:sz w:val="20"/>
              </w:rPr>
            </w:pPr>
            <w:r>
              <w:rPr>
                <w:rFonts w:ascii="Arial;Helvetica;sans-serif" w:hAnsi="Arial;Helvetica;sans-serif"/>
                <w:sz w:val="20"/>
              </w:rPr>
              <w:t>Termination due to Death or Disability</w:t>
            </w:r>
          </w:p>
        </w:tc>
        <w:tc>
          <w:tcPr>
            <w:tcW w:w="34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7326" w:type="dxa"/>
            <w:tcBorders/>
            <w:vAlign w:val="center"/>
          </w:tcPr>
          <w:p>
            <w:pPr>
              <w:pStyle w:val="TableContents"/>
              <w:bidi w:val="0"/>
              <w:spacing w:lineRule="atLeast" w:line="220" w:before="0" w:after="120"/>
              <w:ind w:left="86" w:right="0" w:hanging="0"/>
              <w:jc w:val="both"/>
              <w:rPr>
                <w:rFonts w:ascii="Arial;Helvetica;sans-serif" w:hAnsi="Arial;Helvetica;sans-serif"/>
                <w:sz w:val="20"/>
              </w:rPr>
            </w:pPr>
            <w:r>
              <w:rPr>
                <w:rFonts w:ascii="Arial;Helvetica;sans-serif" w:hAnsi="Arial;Helvetica;sans-serif"/>
                <w:sz w:val="20"/>
              </w:rPr>
              <w:t>Restricted Share Units – All award vests.</w:t>
            </w:r>
          </w:p>
          <w:p>
            <w:pPr>
              <w:pStyle w:val="TableContents"/>
              <w:bidi w:val="0"/>
              <w:spacing w:lineRule="atLeast" w:line="220" w:before="0" w:after="120"/>
              <w:ind w:left="86" w:right="0" w:hanging="0"/>
              <w:jc w:val="both"/>
              <w:rPr>
                <w:rFonts w:ascii="Arial;Helvetica;sans-serif" w:hAnsi="Arial;Helvetica;sans-serif"/>
                <w:sz w:val="20"/>
              </w:rPr>
            </w:pPr>
            <w:r>
              <w:rPr>
                <w:rFonts w:ascii="Arial;Helvetica;sans-serif" w:hAnsi="Arial;Helvetica;sans-serif"/>
                <w:sz w:val="20"/>
              </w:rPr>
              <w:t xml:space="preserve">Performance Units– A prorated portion of the award vests based on actual performance after the performance period ends. </w:t>
            </w:r>
          </w:p>
          <w:p>
            <w:pPr>
              <w:pStyle w:val="TableContents"/>
              <w:bidi w:val="0"/>
              <w:spacing w:lineRule="atLeast" w:line="220" w:before="0" w:after="120"/>
              <w:ind w:left="86" w:right="0" w:hanging="0"/>
              <w:jc w:val="both"/>
              <w:rPr>
                <w:rFonts w:ascii="Arial;Helvetica;sans-serif" w:hAnsi="Arial;Helvetica;sans-serif"/>
                <w:sz w:val="20"/>
              </w:rPr>
            </w:pPr>
            <w:r>
              <w:rPr>
                <w:rFonts w:ascii="Arial;Helvetica;sans-serif" w:hAnsi="Arial;Helvetica;sans-serif"/>
                <w:sz w:val="20"/>
              </w:rPr>
              <w:t>For the EMTs, if at least one year has elapsed from the date of grant, the award will continue to vest as if the EMT member has been continuously employed through the end of the performance period.</w:t>
            </w:r>
          </w:p>
          <w:p>
            <w:pPr>
              <w:pStyle w:val="TableContents"/>
              <w:bidi w:val="0"/>
              <w:spacing w:lineRule="atLeast" w:line="220" w:before="0" w:after="120"/>
              <w:ind w:left="0" w:right="0" w:hanging="0"/>
              <w:jc w:val="both"/>
              <w:rPr>
                <w:rFonts w:ascii="Arial;Helvetica;sans-serif" w:hAnsi="Arial;Helvetica;sans-serif"/>
                <w:sz w:val="20"/>
              </w:rPr>
            </w:pPr>
            <w:r>
              <w:rPr>
                <w:rFonts w:ascii="Arial;Helvetica;sans-serif" w:hAnsi="Arial;Helvetica;sans-serif"/>
                <w:sz w:val="20"/>
              </w:rPr>
              <w:t>Stock Options – All outstanding options will remain exercisable for one year following termination (or until option expiration, if sooner)</w:t>
            </w:r>
          </w:p>
        </w:tc>
      </w:tr>
      <w:tr>
        <w:trPr/>
        <w:tc>
          <w:tcPr>
            <w:tcW w:w="2187" w:type="dxa"/>
            <w:tcBorders/>
            <w:shd w:fill="F2F2F2" w:val="clear"/>
            <w:vAlign w:val="center"/>
          </w:tcPr>
          <w:p>
            <w:pPr>
              <w:pStyle w:val="TableContents"/>
              <w:bidi w:val="0"/>
              <w:spacing w:lineRule="atLeast" w:line="220" w:before="0" w:after="160"/>
              <w:ind w:left="0" w:right="0" w:hanging="0"/>
              <w:jc w:val="left"/>
              <w:rPr>
                <w:rFonts w:ascii="Arial;Helvetica;sans-serif" w:hAnsi="Arial;Helvetica;sans-serif"/>
                <w:sz w:val="20"/>
              </w:rPr>
            </w:pPr>
            <w:r>
              <w:rPr>
                <w:rFonts w:ascii="Arial;Helvetica;sans-serif" w:hAnsi="Arial;Helvetica;sans-serif"/>
                <w:sz w:val="20"/>
              </w:rPr>
              <w:t>Involuntary termination not-for-cause after a Change of Control</w:t>
            </w:r>
          </w:p>
        </w:tc>
        <w:tc>
          <w:tcPr>
            <w:tcW w:w="346" w:type="dxa"/>
            <w:tcBorders/>
            <w:shd w:fill="F2F2F2" w:val="clear"/>
            <w:vAlign w:val="center"/>
          </w:tcPr>
          <w:p>
            <w:pPr>
              <w:pStyle w:val="TableContents"/>
              <w:bidi w:val="0"/>
              <w:spacing w:lineRule="auto" w:line="285" w:before="0" w:after="0"/>
              <w:ind w:left="0" w:right="0" w:hanging="0"/>
              <w:jc w:val="both"/>
              <w:rPr/>
            </w:pPr>
            <w:r>
              <w:rPr/>
              <w:t>​</w:t>
            </w:r>
          </w:p>
        </w:tc>
        <w:tc>
          <w:tcPr>
            <w:tcW w:w="346" w:type="dxa"/>
            <w:tcBorders/>
            <w:shd w:fill="F2F2F2" w:val="clear"/>
            <w:vAlign w:val="center"/>
          </w:tcPr>
          <w:p>
            <w:pPr>
              <w:pStyle w:val="TableContents"/>
              <w:bidi w:val="0"/>
              <w:spacing w:lineRule="auto" w:line="285" w:before="0" w:after="0"/>
              <w:ind w:left="0" w:right="0" w:hanging="0"/>
              <w:jc w:val="both"/>
              <w:rPr/>
            </w:pPr>
            <w:r>
              <w:rPr/>
              <w:t>​</w:t>
            </w:r>
          </w:p>
        </w:tc>
        <w:tc>
          <w:tcPr>
            <w:tcW w:w="7326" w:type="dxa"/>
            <w:tcBorders/>
            <w:shd w:fill="F2F2F2" w:val="clear"/>
            <w:vAlign w:val="center"/>
          </w:tcPr>
          <w:p>
            <w:pPr>
              <w:pStyle w:val="TableContents"/>
              <w:bidi w:val="0"/>
              <w:spacing w:lineRule="atLeast" w:line="220" w:before="0" w:after="120"/>
              <w:ind w:left="86" w:right="0" w:hanging="0"/>
              <w:jc w:val="both"/>
              <w:rPr>
                <w:rFonts w:ascii="Arial;Helvetica;sans-serif" w:hAnsi="Arial;Helvetica;sans-serif"/>
                <w:sz w:val="20"/>
              </w:rPr>
            </w:pPr>
            <w:r>
              <w:rPr>
                <w:rFonts w:ascii="Arial;Helvetica;sans-serif" w:hAnsi="Arial;Helvetica;sans-serif"/>
                <w:sz w:val="20"/>
              </w:rPr>
              <w:t>Restricted Share Units – All award vest</w:t>
            </w:r>
          </w:p>
          <w:p>
            <w:pPr>
              <w:pStyle w:val="TableContents"/>
              <w:bidi w:val="0"/>
              <w:spacing w:lineRule="atLeast" w:line="220" w:before="0" w:after="120"/>
              <w:ind w:left="86" w:right="0" w:hanging="0"/>
              <w:jc w:val="both"/>
              <w:rPr>
                <w:rFonts w:ascii="Arial;Helvetica;sans-serif" w:hAnsi="Arial;Helvetica;sans-serif"/>
                <w:sz w:val="20"/>
              </w:rPr>
            </w:pPr>
            <w:r>
              <w:rPr>
                <w:rFonts w:ascii="Arial;Helvetica;sans-serif" w:hAnsi="Arial;Helvetica;sans-serif"/>
                <w:sz w:val="20"/>
              </w:rPr>
              <w:t>Performance Units and Performance Cash – The award vests based on target performance.</w:t>
            </w:r>
          </w:p>
          <w:p>
            <w:pPr>
              <w:pStyle w:val="TableContents"/>
              <w:bidi w:val="0"/>
              <w:spacing w:lineRule="atLeast" w:line="220" w:before="0" w:after="120"/>
              <w:ind w:left="86" w:right="0" w:hanging="0"/>
              <w:jc w:val="both"/>
              <w:rPr>
                <w:rFonts w:ascii="Arial;Helvetica;sans-serif" w:hAnsi="Arial;Helvetica;sans-serif"/>
                <w:sz w:val="20"/>
              </w:rPr>
            </w:pPr>
            <w:r>
              <w:rPr>
                <w:rFonts w:ascii="Arial;Helvetica;sans-serif" w:hAnsi="Arial;Helvetica;sans-serif"/>
                <w:sz w:val="20"/>
              </w:rPr>
              <w:t>Stock Options – All outstanding options will remain exercisable for one year following termination (or until option expiration, if sooner)</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P-106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lineRule="auto" w:line="285" w:before="0" w:after="0"/>
              <w:ind w:left="0" w:right="0" w:hanging="0"/>
              <w:jc w:val="both"/>
              <w:rPr/>
            </w:pPr>
            <w:r>
              <w:rPr/>
              <w:t>​</w:t>
            </w:r>
          </w:p>
        </w:tc>
        <w:tc>
          <w:tcPr>
            <w:tcW w:w="292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292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EXECUTIVE COMPENSATION</w:t>
            </w:r>
          </w:p>
        </w:tc>
      </w:tr>
    </w:tbl>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following table sets forth certain information with respect to compensation that would be payable to the Named Executive Officers as of December 31, 2025, upon a variety of termination scenarios. It does not include benefits that are generally available to salaried employees on a non-discriminatory basis, including payments that would be made under the Company’s life and disability insurance plans, and unused vacation days.</w:t>
      </w:r>
    </w:p>
    <w:p>
      <w:pPr>
        <w:pStyle w:val="TextBody"/>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As of December 31, 2025, the Named Executive Officers of the Company were eligible for the Executive Severance Benefit Policy. However, members of the Executive Management Team are further subject to the full limitations of the Swiss Code regarding severance.</w:t>
      </w:r>
    </w:p>
    <w:tbl>
      <w:tblPr>
        <w:tblW w:w="10205" w:type="dxa"/>
        <w:jc w:val="left"/>
        <w:tblInd w:w="0" w:type="dxa"/>
        <w:tblLayout w:type="fixed"/>
        <w:tblCellMar>
          <w:top w:w="0" w:type="dxa"/>
          <w:left w:w="0" w:type="dxa"/>
          <w:bottom w:w="0" w:type="dxa"/>
          <w:right w:w="0" w:type="dxa"/>
        </w:tblCellMar>
      </w:tblPr>
      <w:tblGrid>
        <w:gridCol w:w="1026"/>
        <w:gridCol w:w="346"/>
        <w:gridCol w:w="1178"/>
        <w:gridCol w:w="346"/>
        <w:gridCol w:w="841"/>
        <w:gridCol w:w="346"/>
        <w:gridCol w:w="1133"/>
        <w:gridCol w:w="346"/>
        <w:gridCol w:w="1163"/>
        <w:gridCol w:w="346"/>
        <w:gridCol w:w="713"/>
        <w:gridCol w:w="346"/>
        <w:gridCol w:w="886"/>
        <w:gridCol w:w="346"/>
        <w:gridCol w:w="843"/>
      </w:tblGrid>
      <w:tr>
        <w:trPr/>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51510" cy="175260"/>
                      <wp:effectExtent l="0" t="0" r="0" b="0"/>
                      <wp:wrapNone/>
                      <wp:docPr id="338" name="Frame212"/>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39"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748030" cy="175260"/>
                      <wp:effectExtent l="0" t="0" r="0" b="0"/>
                      <wp:wrapNone/>
                      <wp:docPr id="340" name="Frame214"/>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1"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34035" cy="175260"/>
                      <wp:effectExtent l="0" t="0" r="0" b="0"/>
                      <wp:wrapNone/>
                      <wp:docPr id="342" name="Frame21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43"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719455" cy="175260"/>
                      <wp:effectExtent l="0" t="0" r="0" b="0"/>
                      <wp:wrapNone/>
                      <wp:docPr id="344" name="Frame218"/>
                      <a:graphic xmlns:a="http://schemas.openxmlformats.org/drawingml/2006/main">
                        <a:graphicData uri="http://schemas.microsoft.com/office/word/2010/wordprocessingShape">
                          <wps:wsp>
                            <wps:cNvSpPr txBox="1"/>
                            <wps:spPr>
                              <a:xfrm>
                                <a:off x="0" y="0"/>
                                <a:ext cx="71945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45"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738505" cy="175260"/>
                      <wp:effectExtent l="0" t="0" r="0" b="0"/>
                      <wp:wrapNone/>
                      <wp:docPr id="346" name="Frame220"/>
                      <a:graphic xmlns:a="http://schemas.openxmlformats.org/drawingml/2006/main">
                        <a:graphicData uri="http://schemas.microsoft.com/office/word/2010/wordprocessingShape">
                          <wps:wsp>
                            <wps:cNvSpPr txBox="1"/>
                            <wps:spPr>
                              <a:xfrm>
                                <a:off x="0" y="0"/>
                                <a:ext cx="73850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47"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452755" cy="175260"/>
                      <wp:effectExtent l="0" t="0" r="0" b="0"/>
                      <wp:wrapNone/>
                      <wp:docPr id="348" name="Frame222"/>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49"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62610" cy="175260"/>
                      <wp:effectExtent l="0" t="0" r="0" b="0"/>
                      <wp:wrapNone/>
                      <wp:docPr id="350" name="Frame22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1"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35305" cy="175260"/>
                      <wp:effectExtent l="0" t="0" r="0" b="0"/>
                      <wp:wrapNone/>
                      <wp:docPr id="352" name="Frame226"/>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10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1178"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84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CASH</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1133"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NON-EQUITY</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1163"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713"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88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RETIREMENT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843" w:type="dxa"/>
            <w:tcBorders/>
            <w:vAlign w:val="center"/>
          </w:tcPr>
          <w:p>
            <w:pPr>
              <w:pStyle w:val="TableContents"/>
              <w:bidi w:val="0"/>
              <w:spacing w:lineRule="auto" w:line="285" w:before="0" w:after="0"/>
              <w:ind w:left="0" w:right="0" w:hanging="0"/>
              <w:jc w:val="center"/>
              <w:rPr>
                <w:color w:val="4B4F54"/>
              </w:rPr>
            </w:pPr>
            <w:r>
              <w:rPr>
                <w:color w:val="4B4F54"/>
              </w:rPr>
              <w:t> </w:t>
            </w:r>
          </w:p>
        </w:tc>
      </w:tr>
      <w:tr>
        <w:trPr/>
        <w:tc>
          <w:tcPr>
            <w:tcW w:w="10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78"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4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SEVERANCE</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33"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INCENTIVE</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63"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713"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OPTION</w:t>
            </w:r>
          </w:p>
        </w:tc>
        <w:tc>
          <w:tcPr>
            <w:tcW w:w="34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88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PLAN</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43" w:type="dxa"/>
            <w:tcBorders/>
            <w:vAlign w:val="center"/>
          </w:tcPr>
          <w:p>
            <w:pPr>
              <w:pStyle w:val="TableContents"/>
              <w:bidi w:val="0"/>
              <w:spacing w:lineRule="auto" w:line="285" w:before="0" w:after="0"/>
              <w:ind w:left="0" w:right="0" w:hanging="0"/>
              <w:jc w:val="center"/>
              <w:rPr>
                <w:color w:val="4B4F54"/>
              </w:rPr>
            </w:pPr>
            <w:r>
              <w:rPr>
                <w:color w:val="4B4F54"/>
              </w:rPr>
              <w:t> </w:t>
            </w:r>
          </w:p>
        </w:tc>
      </w:tr>
      <w:tr>
        <w:trPr/>
        <w:tc>
          <w:tcPr>
            <w:tcW w:w="102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78"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41" w:type="dxa"/>
            <w:tcBorders/>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color w:val="4B4F54"/>
                <w:sz w:val="12"/>
              </w:rPr>
              <w:t>PAYMENT</w:t>
            </w:r>
            <w:r>
              <w:rPr>
                <w:rFonts w:ascii="Arial;Helvetica;sans-serif" w:hAnsi="Arial;Helvetica;sans-serif"/>
                <w:b/>
                <w:color w:val="4B4F54"/>
                <w:sz w:val="9"/>
              </w:rPr>
              <w:t>(2)</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33" w:type="dxa"/>
            <w:tcBorders/>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color w:val="4B4F54"/>
                <w:sz w:val="12"/>
              </w:rPr>
              <w:t>COMPENSATION</w:t>
            </w:r>
            <w:r>
              <w:rPr>
                <w:rFonts w:ascii="Arial;Helvetica;sans-serif" w:hAnsi="Arial;Helvetica;sans-serif"/>
                <w:b/>
                <w:color w:val="4B4F54"/>
                <w:sz w:val="9"/>
              </w:rPr>
              <w:t>(3)</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163" w:type="dxa"/>
            <w:tcBorders/>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color w:val="4B4F54"/>
                <w:sz w:val="12"/>
              </w:rPr>
              <w:t>STOCK AWARDS</w:t>
            </w:r>
            <w:r>
              <w:rPr>
                <w:rFonts w:ascii="Arial;Helvetica;sans-serif" w:hAnsi="Arial;Helvetica;sans-serif"/>
                <w:b/>
                <w:color w:val="4B4F54"/>
                <w:sz w:val="9"/>
              </w:rPr>
              <w:t>(4)</w:t>
            </w:r>
          </w:p>
        </w:tc>
        <w:tc>
          <w:tcPr>
            <w:tcW w:w="34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713" w:type="dxa"/>
            <w:tcBorders/>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color w:val="4B4F54"/>
                <w:sz w:val="12"/>
              </w:rPr>
              <w:t>AWARDS</w:t>
            </w:r>
            <w:r>
              <w:rPr>
                <w:rFonts w:ascii="Arial;Helvetica;sans-serif" w:hAnsi="Arial;Helvetica;sans-serif"/>
                <w:b/>
                <w:color w:val="4B4F54"/>
                <w:sz w:val="9"/>
              </w:rPr>
              <w:t>(5)</w:t>
            </w:r>
          </w:p>
        </w:tc>
        <w:tc>
          <w:tcPr>
            <w:tcW w:w="346"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886" w:type="dxa"/>
            <w:tcBorders/>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color w:val="4B4F54"/>
                <w:sz w:val="12"/>
              </w:rPr>
              <w:t>BENEFIT</w:t>
            </w:r>
            <w:r>
              <w:rPr>
                <w:rFonts w:ascii="Arial;Helvetica;sans-serif" w:hAnsi="Arial;Helvetica;sans-serif"/>
                <w:b/>
                <w:color w:val="4B4F54"/>
                <w:sz w:val="9"/>
              </w:rPr>
              <w:t>(6)</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843"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TOTAL</w:t>
            </w:r>
          </w:p>
        </w:tc>
      </w:tr>
      <w:tr>
        <w:trPr/>
        <w:tc>
          <w:tcPr>
            <w:tcW w:w="102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2"/>
              </w:rPr>
            </w:pPr>
            <w:r>
              <w:rPr>
                <w:rFonts w:ascii="Arial;Helvetica;sans-serif" w:hAnsi="Arial;Helvetica;sans-serif"/>
                <w:b/>
                <w:color w:val="4B4F54"/>
                <w:sz w:val="12"/>
              </w:rPr>
              <w:t>NAME</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1524" w:type="dxa"/>
            <w:gridSpan w:val="2"/>
            <w:tcBorders>
              <w:bottom w:val="single" w:sz="12" w:space="0" w:color="ECA44A"/>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2"/>
              </w:rPr>
            </w:pPr>
            <w:r>
              <w:rPr>
                <w:rFonts w:ascii="Arial;Helvetica;sans-serif" w:hAnsi="Arial;Helvetica;sans-serif"/>
                <w:b/>
                <w:color w:val="4B4F54"/>
                <w:sz w:val="12"/>
              </w:rPr>
              <w:t>TRIGGERING EVENT</w:t>
            </w:r>
            <w:r>
              <w:rPr>
                <w:rFonts w:ascii="Arial;Helvetica;sans-serif" w:hAnsi="Arial;Helvetica;sans-serif"/>
                <w:b/>
                <w:color w:val="4B4F54"/>
                <w:sz w:val="9"/>
              </w:rPr>
              <w:t>(1)</w:t>
            </w:r>
          </w:p>
        </w:tc>
        <w:tc>
          <w:tcPr>
            <w:tcW w:w="84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(U.S. $)</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1133"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(U.S. $)</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1163"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(U.S. $)</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713"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(U.S. $)</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color w:val="4B4F54"/>
              </w:rPr>
            </w:pPr>
            <w:r>
              <w:rPr>
                <w:color w:val="4B4F54"/>
              </w:rPr>
              <w:t>​</w:t>
            </w:r>
          </w:p>
        </w:tc>
        <w:tc>
          <w:tcPr>
            <w:tcW w:w="88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(U.S. $)</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843"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2"/>
              </w:rPr>
            </w:pPr>
            <w:r>
              <w:rPr>
                <w:rFonts w:ascii="Arial;Helvetica;sans-serif" w:hAnsi="Arial;Helvetica;sans-serif"/>
                <w:b/>
                <w:color w:val="4B4F54"/>
                <w:sz w:val="12"/>
              </w:rPr>
              <w:t>(U.S. $)</w:t>
            </w:r>
          </w:p>
        </w:tc>
      </w:tr>
      <w:tr>
        <w:trPr/>
        <w:tc>
          <w:tcPr>
            <w:tcW w:w="1026" w:type="dxa"/>
            <w:tcBorders/>
            <w:vAlign w:val="center"/>
          </w:tcPr>
          <w:p>
            <w:pPr>
              <w:pStyle w:val="TableContents"/>
              <w:bidi w:val="0"/>
              <w:spacing w:lineRule="auto" w:line="285" w:before="0" w:after="0"/>
              <w:ind w:left="0" w:right="0" w:hanging="0"/>
              <w:jc w:val="both"/>
              <w:rPr>
                <w:rFonts w:ascii="Arial;Helvetica;sans-serif" w:hAnsi="Arial;Helvetica;sans-serif"/>
                <w:b/>
                <w:sz w:val="14"/>
              </w:rPr>
            </w:pPr>
            <w:r>
              <w:rPr>
                <w:rFonts w:ascii="Arial;Helvetica;sans-serif" w:hAnsi="Arial;Helvetica;sans-serif"/>
                <w:b/>
                <w:sz w:val="14"/>
              </w:rPr>
              <w:t>Keelan I. Adamson</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Voluntary Not-for-Cause</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1,464,500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1,464,500</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Involuntary Not-for-Cause</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1,820,000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5,298,199</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1,464,500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8,582,699</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Retirement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1,820,000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5,298,199</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1,464,500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8,582,699</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Death (7)</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1,820,000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7,474,424</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1,348,606</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10,643,030</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Disability(7)</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1,820,000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7,474,424</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1,464,500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10,758,924</w:t>
            </w:r>
          </w:p>
        </w:tc>
      </w:tr>
      <w:tr>
        <w:trPr/>
        <w:tc>
          <w:tcPr>
            <w:tcW w:w="102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1178"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Change of Control</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1,820,000</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11,755,950</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1,464,500</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15,040,450</w:t>
            </w:r>
          </w:p>
        </w:tc>
      </w:tr>
      <w:tr>
        <w:trPr/>
        <w:tc>
          <w:tcPr>
            <w:tcW w:w="1026" w:type="dxa"/>
            <w:tcBorders/>
            <w:vAlign w:val="center"/>
          </w:tcPr>
          <w:p>
            <w:pPr>
              <w:pStyle w:val="TableContents"/>
              <w:bidi w:val="0"/>
              <w:spacing w:lineRule="auto" w:line="285" w:before="0" w:after="0"/>
              <w:ind w:left="0" w:right="0" w:hanging="0"/>
              <w:jc w:val="both"/>
              <w:rPr>
                <w:rFonts w:ascii="Arial;Helvetica;sans-serif" w:hAnsi="Arial;Helvetica;sans-serif"/>
                <w:b/>
                <w:sz w:val="14"/>
              </w:rPr>
            </w:pPr>
            <w:r>
              <w:rPr>
                <w:rFonts w:ascii="Arial;Helvetica;sans-serif" w:hAnsi="Arial;Helvetica;sans-serif"/>
                <w:b/>
                <w:sz w:val="14"/>
              </w:rPr>
              <w:t>R. Thaddeus Vayda</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Voluntary Not-for-Cause</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364,365</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364,365</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Involuntary Not-for-Cause</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528,698</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819,323</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364,365</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1,712,386</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Retirement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528,698</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819,323</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364,365</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1,712,386</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Death -7</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528,698</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1,127,539</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346,654</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2,002,891</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Disability-7</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528,698</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1,127,539</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364,365</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2,020,602</w:t>
            </w:r>
          </w:p>
        </w:tc>
      </w:tr>
      <w:tr>
        <w:trPr/>
        <w:tc>
          <w:tcPr>
            <w:tcW w:w="102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1178"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Change of Control</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528,698</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1,798,935</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364,365</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2,691,998</w:t>
            </w:r>
          </w:p>
        </w:tc>
      </w:tr>
      <w:tr>
        <w:trPr/>
        <w:tc>
          <w:tcPr>
            <w:tcW w:w="1026" w:type="dxa"/>
            <w:tcBorders/>
            <w:vAlign w:val="center"/>
          </w:tcPr>
          <w:p>
            <w:pPr>
              <w:pStyle w:val="TableContents"/>
              <w:bidi w:val="0"/>
              <w:spacing w:lineRule="auto" w:line="285" w:before="0" w:after="0"/>
              <w:ind w:left="0" w:right="0" w:hanging="0"/>
              <w:jc w:val="both"/>
              <w:rPr>
                <w:rFonts w:ascii="Arial;Helvetica;sans-serif" w:hAnsi="Arial;Helvetica;sans-serif"/>
                <w:b/>
                <w:sz w:val="14"/>
              </w:rPr>
            </w:pPr>
            <w:r>
              <w:rPr>
                <w:rFonts w:ascii="Arial;Helvetica;sans-serif" w:hAnsi="Arial;Helvetica;sans-serif"/>
                <w:b/>
                <w:sz w:val="14"/>
              </w:rPr>
              <w:t>Jeremy D. Thigpen</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Voluntary Not-for-Cause</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2,720,120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2,720,120</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Involuntary Not-for-Cause</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776,250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6,309,851</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2,720,120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9,806,221</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Retirement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776,250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6,309,851</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2,720,120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9,806,221</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Death (7)</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776,250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7,373,619</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2,720,120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10,869,989</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Disability(7)</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776,250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7,373,619</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2,720,120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10,869,989</w:t>
            </w:r>
          </w:p>
        </w:tc>
      </w:tr>
      <w:tr>
        <w:trPr/>
        <w:tc>
          <w:tcPr>
            <w:tcW w:w="102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1178"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Change of Control</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776,250</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12,880,764</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2,720,120</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16,377,133</w:t>
            </w:r>
          </w:p>
        </w:tc>
      </w:tr>
      <w:tr>
        <w:trPr/>
        <w:tc>
          <w:tcPr>
            <w:tcW w:w="1026" w:type="dxa"/>
            <w:tcBorders/>
            <w:vAlign w:val="center"/>
          </w:tcPr>
          <w:p>
            <w:pPr>
              <w:pStyle w:val="TableContents"/>
              <w:bidi w:val="0"/>
              <w:spacing w:lineRule="auto" w:line="285" w:before="0" w:after="0"/>
              <w:ind w:left="0" w:right="0" w:hanging="0"/>
              <w:jc w:val="both"/>
              <w:rPr>
                <w:rFonts w:ascii="Arial;Helvetica;sans-serif" w:hAnsi="Arial;Helvetica;sans-serif"/>
                <w:b/>
                <w:sz w:val="14"/>
              </w:rPr>
            </w:pPr>
            <w:r>
              <w:rPr>
                <w:rFonts w:ascii="Arial;Helvetica;sans-serif" w:hAnsi="Arial;Helvetica;sans-serif"/>
                <w:b/>
                <w:sz w:val="14"/>
              </w:rPr>
              <w:t>Brady K. Long</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Voluntary Not-for-Cause</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96,602</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96,602</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Involuntary Not-for-Cause</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661,500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945,000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2,188,115</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96,602</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3,891,217</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Retirement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945,000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2,188,115</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96,602</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3,229,717</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Death (7)</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945,000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2,911,828</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96,602</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3,953,429</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Disability(7)</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945,000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2,911,828</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96,602</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3,953,429</w:t>
            </w:r>
          </w:p>
        </w:tc>
      </w:tr>
      <w:tr>
        <w:trPr/>
        <w:tc>
          <w:tcPr>
            <w:tcW w:w="102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1178"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Change of Control</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1,291,500</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945,000</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4,798,597</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96,602</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7,131,699</w:t>
            </w:r>
          </w:p>
        </w:tc>
      </w:tr>
      <w:tr>
        <w:trPr/>
        <w:tc>
          <w:tcPr>
            <w:tcW w:w="1026" w:type="dxa"/>
            <w:tcBorders/>
            <w:vAlign w:val="center"/>
          </w:tcPr>
          <w:p>
            <w:pPr>
              <w:pStyle w:val="TableContents"/>
              <w:bidi w:val="0"/>
              <w:spacing w:lineRule="auto" w:line="285" w:before="0" w:after="0"/>
              <w:ind w:left="0" w:right="0" w:hanging="0"/>
              <w:jc w:val="both"/>
              <w:rPr>
                <w:rFonts w:ascii="Arial;Helvetica;sans-serif" w:hAnsi="Arial;Helvetica;sans-serif"/>
                <w:b/>
                <w:sz w:val="14"/>
              </w:rPr>
            </w:pPr>
            <w:r>
              <w:rPr>
                <w:rFonts w:ascii="Arial;Helvetica;sans-serif" w:hAnsi="Arial;Helvetica;sans-serif"/>
                <w:b/>
                <w:sz w:val="14"/>
              </w:rPr>
              <w:t>Roderick J. Mackenzie</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Voluntary Not-for-Cause</w:t>
            </w:r>
          </w:p>
        </w:tc>
        <w:tc>
          <w:tcPr>
            <w:tcW w:w="346" w:type="dxa"/>
            <w:tcBorders/>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540,714</w:t>
            </w:r>
          </w:p>
        </w:tc>
        <w:tc>
          <w:tcPr>
            <w:tcW w:w="346" w:type="dxa"/>
            <w:tcBorders/>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540,714</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Involuntary Not-for-Cause</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577,500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825,000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1,554,619</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540,714</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3,497,833</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Retirement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825,000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1,554,619</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540,714</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2,920,333</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Death (7)</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825,000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2,079,765</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534,514</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3,439,279</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Disability(7)</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825,000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2,079,765</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540,714</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3,445,479</w:t>
            </w:r>
          </w:p>
        </w:tc>
      </w:tr>
      <w:tr>
        <w:trPr/>
        <w:tc>
          <w:tcPr>
            <w:tcW w:w="102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1178"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Change of Control</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1,127,500</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825,000</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3,456,285</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540,714</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5,949,500</w:t>
            </w:r>
          </w:p>
        </w:tc>
      </w:tr>
      <w:tr>
        <w:trPr/>
        <w:tc>
          <w:tcPr>
            <w:tcW w:w="1026" w:type="dxa"/>
            <w:tcBorders/>
            <w:vAlign w:val="center"/>
          </w:tcPr>
          <w:p>
            <w:pPr>
              <w:pStyle w:val="TableContents"/>
              <w:bidi w:val="0"/>
              <w:spacing w:lineRule="auto" w:line="285" w:before="0" w:after="0"/>
              <w:ind w:left="0" w:right="0" w:hanging="0"/>
              <w:jc w:val="both"/>
              <w:rPr>
                <w:rFonts w:ascii="Arial;Helvetica;sans-serif" w:hAnsi="Arial;Helvetica;sans-serif"/>
                <w:b/>
                <w:sz w:val="14"/>
              </w:rPr>
            </w:pPr>
            <w:r>
              <w:rPr>
                <w:rFonts w:ascii="Arial;Helvetica;sans-serif" w:hAnsi="Arial;Helvetica;sans-serif"/>
                <w:b/>
                <w:sz w:val="14"/>
              </w:rPr>
              <w:t>Jason B. Pack</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Voluntary Not-for-Cause</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181,770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181,770</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Involuntary Not-for-Cause</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451,500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483,750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692,667</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181,770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1,809,687</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Retirement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483,750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692,667</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181,770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1,358,187</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Death (7)</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483,750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930,679</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181,770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1,596,199</w:t>
            </w:r>
          </w:p>
        </w:tc>
      </w:tr>
      <w:tr>
        <w:trPr/>
        <w:tc>
          <w:tcPr>
            <w:tcW w:w="102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w:t>
            </w:r>
          </w:p>
        </w:tc>
        <w:tc>
          <w:tcPr>
            <w:tcW w:w="1178"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Disability(7)</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483,750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930,679</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181,770</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D9D9D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1,596,199</w:t>
            </w:r>
          </w:p>
        </w:tc>
      </w:tr>
      <w:tr>
        <w:trPr/>
        <w:tc>
          <w:tcPr>
            <w:tcW w:w="102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1178"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4"/>
              </w:rPr>
            </w:pPr>
            <w:r>
              <w:rPr>
                <w:rFonts w:ascii="Arial;Helvetica;sans-serif" w:hAnsi="Arial;Helvetica;sans-serif"/>
                <w:sz w:val="14"/>
              </w:rPr>
              <w:t>Change of Control</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841"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881,500</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1133"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483,750</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1163"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4"/>
              </w:rPr>
            </w:pPr>
            <w:r>
              <w:rPr>
                <w:rFonts w:ascii="Arial;Helvetica;sans-serif" w:hAnsi="Arial;Helvetica;sans-serif"/>
                <w:sz w:val="14"/>
              </w:rPr>
              <w:t>1,502,358</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713" w:type="dxa"/>
            <w:tcBorders>
              <w:bottom w:val="single" w:sz="2" w:space="0" w:color="A6A6A6"/>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88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181,770</w:t>
            </w:r>
          </w:p>
        </w:tc>
        <w:tc>
          <w:tcPr>
            <w:tcW w:w="34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 </w:t>
            </w:r>
          </w:p>
        </w:tc>
        <w:tc>
          <w:tcPr>
            <w:tcW w:w="843"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3,049,378</w:t>
            </w:r>
          </w:p>
        </w:tc>
      </w:tr>
    </w:tbl>
    <w:p>
      <w:pPr>
        <w:pStyle w:val="TextBody"/>
        <w:pBdr/>
        <w:bidi w:val="0"/>
        <w:spacing w:lineRule="auto" w:line="285" w:before="0" w:after="0"/>
        <w:ind w:left="0" w:right="0" w:hanging="389"/>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91"/>
        <w:gridCol w:w="9790"/>
      </w:tblGrid>
      <w:tr>
        <w:trPr/>
        <w:tc>
          <w:tcPr>
            <w:tcW w:w="124" w:type="dxa"/>
            <w:tcBorders/>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790"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These amounts represent obligations of the Company under agreements currently in place and valued as of December 31, 2025. Agreements do not provide for any single-trigger payments upon a change of control.</w:t>
            </w:r>
          </w:p>
        </w:tc>
      </w:tr>
    </w:tbl>
    <w:tbl>
      <w:tblPr>
        <w:tblW w:w="10205" w:type="dxa"/>
        <w:jc w:val="left"/>
        <w:tblInd w:w="0" w:type="dxa"/>
        <w:tblLayout w:type="fixed"/>
        <w:tblCellMar>
          <w:top w:w="28" w:type="dxa"/>
          <w:left w:w="28" w:type="dxa"/>
          <w:bottom w:w="28" w:type="dxa"/>
          <w:right w:w="28" w:type="dxa"/>
        </w:tblCellMar>
      </w:tblPr>
      <w:tblGrid>
        <w:gridCol w:w="124"/>
        <w:gridCol w:w="267"/>
        <w:gridCol w:w="9814"/>
      </w:tblGrid>
      <w:tr>
        <w:trPr/>
        <w:tc>
          <w:tcPr>
            <w:tcW w:w="124" w:type="dxa"/>
            <w:tcBorders/>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814"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Amounts payable under the terms of the Executive Severance Benefit Policy in connection with a qualifying termination. This includes a lump sum cash payment equal to one year of base salary, as well as outplacement services (not to exceed 5% of base salary) for Messrs. Long, Mackenzie, and Pack. The Executive Severance Benefit Policy was amended and restated in 2023 to provide that in the event of a qualifying termination in connection with a change of control, qualifying executives who report directly to the Chief Executive Officer of the Company will be eligible to receive a lump sum cash payment equal to two times such executive’s base salary.</w:t>
            </w:r>
          </w:p>
        </w:tc>
      </w:tr>
    </w:tbl>
    <w:tbl>
      <w:tblPr>
        <w:tblW w:w="4791" w:type="dxa"/>
        <w:jc w:val="left"/>
        <w:tblInd w:w="0" w:type="dxa"/>
        <w:tblLayout w:type="fixed"/>
        <w:tblCellMar>
          <w:top w:w="28" w:type="dxa"/>
          <w:left w:w="28" w:type="dxa"/>
          <w:bottom w:w="28" w:type="dxa"/>
          <w:right w:w="28" w:type="dxa"/>
        </w:tblCellMar>
      </w:tblPr>
      <w:tblGrid>
        <w:gridCol w:w="124"/>
        <w:gridCol w:w="31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43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Amounts payable for the 2025 annual cash bonus earned.</w:t>
            </w:r>
          </w:p>
        </w:tc>
      </w:tr>
    </w:tbl>
    <w:tbl>
      <w:tblPr>
        <w:tblW w:w="10205" w:type="dxa"/>
        <w:jc w:val="left"/>
        <w:tblInd w:w="0" w:type="dxa"/>
        <w:tblLayout w:type="fixed"/>
        <w:tblCellMar>
          <w:top w:w="28" w:type="dxa"/>
          <w:left w:w="28" w:type="dxa"/>
          <w:bottom w:w="28" w:type="dxa"/>
          <w:right w:w="28" w:type="dxa"/>
        </w:tblCellMar>
      </w:tblPr>
      <w:tblGrid>
        <w:gridCol w:w="124"/>
        <w:gridCol w:w="295"/>
        <w:gridCol w:w="9786"/>
      </w:tblGrid>
      <w:tr>
        <w:trPr/>
        <w:tc>
          <w:tcPr>
            <w:tcW w:w="124" w:type="dxa"/>
            <w:tcBorders/>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w:t>
            </w:r>
          </w:p>
        </w:tc>
        <w:tc>
          <w:tcPr>
            <w:tcW w:w="97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These amounts represent the value of restricted share units and performance units that would vest upon the triggering event, based on $4.13, the closing stock price on the last trading day of 2025.</w:t>
            </w:r>
          </w:p>
        </w:tc>
      </w:tr>
    </w:tbl>
    <w:tbl>
      <w:tblPr>
        <w:tblW w:w="7251" w:type="dxa"/>
        <w:jc w:val="left"/>
        <w:tblInd w:w="0" w:type="dxa"/>
        <w:tblLayout w:type="fixed"/>
        <w:tblCellMar>
          <w:top w:w="28" w:type="dxa"/>
          <w:left w:w="28" w:type="dxa"/>
          <w:bottom w:w="28" w:type="dxa"/>
          <w:right w:w="28" w:type="dxa"/>
        </w:tblCellMar>
      </w:tblPr>
      <w:tblGrid>
        <w:gridCol w:w="124"/>
        <w:gridCol w:w="31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w:t>
            </w:r>
          </w:p>
        </w:tc>
        <w:tc>
          <w:tcPr>
            <w:tcW w:w="68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These amounts represent the (“in-the-money”) value of vested and unvested stock options.</w:t>
            </w:r>
          </w:p>
        </w:tc>
      </w:tr>
    </w:tbl>
    <w:tbl>
      <w:tblPr>
        <w:tblW w:w="10205" w:type="dxa"/>
        <w:jc w:val="left"/>
        <w:tblInd w:w="0" w:type="dxa"/>
        <w:tblLayout w:type="fixed"/>
        <w:tblCellMar>
          <w:top w:w="28" w:type="dxa"/>
          <w:left w:w="28" w:type="dxa"/>
          <w:bottom w:w="28" w:type="dxa"/>
          <w:right w:w="28" w:type="dxa"/>
        </w:tblCellMar>
      </w:tblPr>
      <w:tblGrid>
        <w:gridCol w:w="124"/>
        <w:gridCol w:w="308"/>
        <w:gridCol w:w="9773"/>
      </w:tblGrid>
      <w:tr>
        <w:trPr/>
        <w:tc>
          <w:tcPr>
            <w:tcW w:w="124" w:type="dxa"/>
            <w:tcBorders/>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(6)</w:t>
            </w:r>
          </w:p>
        </w:tc>
        <w:tc>
          <w:tcPr>
            <w:tcW w:w="977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These amounts represent the present value of PEP and Savings Restoration Plan benefits, which would have been payable as of December 31, 2025.</w:t>
            </w:r>
          </w:p>
        </w:tc>
      </w:tr>
    </w:tbl>
    <w:tbl>
      <w:tblPr>
        <w:tblW w:w="10205" w:type="dxa"/>
        <w:jc w:val="left"/>
        <w:tblInd w:w="0" w:type="dxa"/>
        <w:tblLayout w:type="fixed"/>
        <w:tblCellMar>
          <w:top w:w="28" w:type="dxa"/>
          <w:left w:w="28" w:type="dxa"/>
          <w:bottom w:w="28" w:type="dxa"/>
          <w:right w:w="28" w:type="dxa"/>
        </w:tblCellMar>
      </w:tblPr>
      <w:tblGrid>
        <w:gridCol w:w="124"/>
        <w:gridCol w:w="296"/>
        <w:gridCol w:w="9785"/>
      </w:tblGrid>
      <w:tr>
        <w:trPr/>
        <w:tc>
          <w:tcPr>
            <w:tcW w:w="124" w:type="dxa"/>
            <w:tcBorders/>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(7)</w:t>
            </w:r>
          </w:p>
        </w:tc>
        <w:tc>
          <w:tcPr>
            <w:tcW w:w="978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 addition to the benefits listed in the preceding table, payments will also be made under the Company’s life and disability insurance plans, a benefit that is generally available to all employees.</w:t>
            </w:r>
          </w:p>
        </w:tc>
      </w:tr>
    </w:tbl>
    <w:p>
      <w:pPr>
        <w:pStyle w:val="TextBody"/>
        <w:pBdr/>
        <w:bidi w:val="0"/>
        <w:spacing w:lineRule="auto" w:line="285" w:before="0" w:after="0"/>
        <w:ind w:left="0" w:right="0" w:hanging="389"/>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P-107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2896"/>
        <w:gridCol w:w="154"/>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289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EXECUTIVE COMPENSATION</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p>
      <w:pPr>
        <w:pStyle w:val="TextBody"/>
        <w:pBdr/>
        <w:bidi w:val="0"/>
        <w:spacing w:lineRule="auto" w:line="285" w:before="0" w:after="200"/>
        <w:ind w:left="0" w:right="0" w:hanging="216"/>
        <w:jc w:val="both"/>
        <w:rPr>
          <w:rFonts w:ascii="Arial;Helvetica;sans-serif" w:hAnsi="Arial;Helvetica;sans-serif"/>
          <w:sz w:val="32"/>
        </w:rPr>
      </w:pPr>
      <w:r>
        <w:rPr>
          <w:rFonts w:ascii="Arial;Helvetica;sans-serif" w:hAnsi="Arial;Helvetica;sans-serif"/>
          <w:sz w:val="32"/>
        </w:rPr>
        <w:t>CEO Pay Ratio</w:t>
      </w:r>
    </w:p>
    <w:p>
      <w:pPr>
        <w:pStyle w:val="TextBody"/>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As of December 31, 2025, we had a global workforce of approximately 5,200 employees comprised of approximately 2,000 U.S. employees and approximately 3,200 non-U.S. employees. Pursuant to the Exchange Act, the Company is required to disclose in this proxy statement the ratio of the total annual compensation of our CEO to the total annual compensation of our median employee.</w:t>
      </w:r>
    </w:p>
    <w:p>
      <w:pPr>
        <w:pStyle w:val="TextBody"/>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Based on SEC rules for this disclosure and applying the methodology described below, the Company determined that our CEO’s total compensation for 2025 was $8,795,697 and the 2025 total compensation of the median employee in U.S. dollars was $115,260. Accordingly, for 2025, the Company estimates the ratio of our CEO’s total compensation to the median total compensation of all employees to be 76 to 1.</w:t>
      </w:r>
    </w:p>
    <w:p>
      <w:pPr>
        <w:pStyle w:val="TextBody"/>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Due to changes in our employee population and compensation arrangements, we are not using the same median employee as during the prior year. In determining the applicable median salary, we first excluded 252 of our non-U.S. employees located in Angola (6), Cote d’Ivoire (104), Greece (14), Hungary (2), India (81), Malaysia (3), United Kingdom (38), Mexico (2) and Netherlands (2) representing less than 5% of our workforce, a de minimis number of non-U.S. employees. Next, for all other non-U.S. employees paid in local non-U.S. currency, salaries were denominated in U.S. dollars by applying applicable currency exchange rates in place on December 31, 2025. This currency exchange was necessary for comparison to our CEO pay, which is denominated in U.S. dollars. We then identified the median employee based on a tabulation of year-to-date earnings for all included employees on December 31, 2025, the last day of our fiscal year.</w:t>
      </w:r>
    </w:p>
    <w:p>
      <w:pPr>
        <w:pStyle w:val="TextBody"/>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Once the median employee was identified as described above, the total annual compensation for 2025 for that employee was determined using the same rules that apply to reporting Named Executive Officer compensation in the Total column of the “Summary Compensation Table.”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P-108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lineRule="auto" w:line="285" w:before="0" w:after="0"/>
              <w:ind w:left="0" w:right="0" w:hanging="0"/>
              <w:jc w:val="both"/>
              <w:rPr/>
            </w:pPr>
            <w:r>
              <w:rPr/>
              <w:t>​</w:t>
            </w:r>
          </w:p>
        </w:tc>
        <w:tc>
          <w:tcPr>
            <w:tcW w:w="292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292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EXECUTIVE COMPENSATION</w:t>
            </w:r>
          </w:p>
        </w:tc>
      </w:tr>
    </w:tbl>
    <w:p>
      <w:pPr>
        <w:pStyle w:val="TextBody"/>
        <w:bidi w:val="0"/>
        <w:spacing w:lineRule="auto" w:line="285" w:before="0" w:after="0"/>
        <w:ind w:left="0" w:right="0" w:hanging="0"/>
        <w:jc w:val="both"/>
        <w:rPr/>
      </w:pPr>
      <w:r>
        <w:rPr/>
        <w:t>​</w:t>
      </w:r>
    </w:p>
    <w:p>
      <w:pPr>
        <w:pStyle w:val="TextBody"/>
        <w:pBdr/>
        <w:bidi w:val="0"/>
        <w:spacing w:lineRule="auto" w:line="285" w:before="0" w:after="200"/>
        <w:ind w:left="0" w:right="0" w:hanging="216"/>
        <w:jc w:val="both"/>
        <w:rPr>
          <w:rFonts w:ascii="Arial;Helvetica;sans-serif" w:hAnsi="Arial;Helvetica;sans-serif"/>
          <w:sz w:val="32"/>
        </w:rPr>
      </w:pPr>
      <w:bookmarkStart w:id="159" w:name="_20822f8a_d6f8_45e0_948f_afae96152ee5"/>
      <w:bookmarkEnd w:id="159"/>
      <w:r>
        <w:rPr>
          <w:rFonts w:ascii="Arial;Helvetica;sans-serif" w:hAnsi="Arial;Helvetica;sans-serif"/>
          <w:sz w:val="32"/>
        </w:rPr>
        <w:t>Pay Versus Performance</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The following table displays our Named Executive Officer’s compensation relative to the Company’s key performance measures of net income, Adjusted EBITDA and calculated returns on a $100 investment in Company stock compared to the </w:t>
      </w:r>
      <w:r>
        <w:rPr>
          <w:rFonts w:ascii="Arial;Helvetica;sans-serif" w:hAnsi="Arial;Helvetica;sans-serif"/>
          <w:sz w:val="20"/>
          <w:shd w:fill="FFFFFF" w:val="clear"/>
        </w:rPr>
        <w:t>PHLX Oil Service Sector Index (</w:t>
      </w:r>
      <w:r>
        <w:rPr>
          <w:rFonts w:ascii="Arial;Helvetica;sans-serif" w:hAnsi="Arial;Helvetica;sans-serif"/>
          <w:sz w:val="20"/>
        </w:rPr>
        <w:t>OSX).</w:t>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Arial;Helvetica;sans-serif" w:hAnsi="Arial;Helvetica;sans-serif"/>
          <w:b/>
          <w:sz w:val="24"/>
        </w:rPr>
      </w:pPr>
      <w:r>
        <w:rPr>
          <w:rFonts w:ascii="Arial;Helvetica;sans-serif" w:hAnsi="Arial;Helvetica;sans-serif"/>
          <w:b/>
          <w:sz w:val="24"/>
        </w:rPr>
        <w:t>Pay Versus Performance Table</w:t>
      </w:r>
    </w:p>
    <w:p>
      <w:pPr>
        <w:pStyle w:val="TextBody"/>
        <w:bidi w:val="0"/>
        <w:spacing w:lineRule="auto" w:line="285" w:before="0" w:after="0"/>
        <w:ind w:left="0" w:right="0" w:hanging="0"/>
        <w:jc w:val="both"/>
        <w:rPr/>
      </w:pPr>
      <w:bookmarkStart w:id="160" w:name="Tc_IqWIsN8OTkK672w-2zoKMw_14_8"/>
      <w:bookmarkStart w:id="161" w:name="Tc_-8GgqTpSLUKL2JCAgb_fiw_14_4"/>
      <w:bookmarkStart w:id="162" w:name="Tc_6F4MWjh64Uerg7YyNo-bKA_14_0"/>
      <w:bookmarkStart w:id="163" w:name="Tc_Ov4Be_yV10y0onl5t_q--Q_13_8"/>
      <w:bookmarkStart w:id="164" w:name="Tc_KfyYCLx6T0Gp_0JOhISwAg_13_4"/>
      <w:bookmarkStart w:id="165" w:name="Tc_RHh0N4Y3HkyprlnPaNnN1Q_13_0"/>
      <w:bookmarkStart w:id="166" w:name="Tc_BGmfH68BI0CZET_AEyHbRw_12_8"/>
      <w:bookmarkStart w:id="167" w:name="Tc_IYHVWwRkQ0S4-U4urzB2Aw_12_4"/>
      <w:bookmarkStart w:id="168" w:name="Tc_cGJg2WYjGki3QoCi3Br7iA_12_0"/>
      <w:bookmarkStart w:id="169" w:name="Tc_RkgXhnqIpk-dI8W0nIXFuA_11_8"/>
      <w:bookmarkStart w:id="170" w:name="Tc_hnjT1cUSjkir5T1haOQg0A_11_4"/>
      <w:bookmarkStart w:id="171" w:name="Tc_XfNmeMsxyEKkBCvADiHjgA_11_0"/>
      <w:bookmarkStart w:id="172" w:name="Tc_xAAFv_l3FEuZqFMfdcZqtQ_10_0"/>
      <w:bookmarkStart w:id="173" w:name="Tc_Mee8LgXwfUG1uDCUYssbWg_9_20"/>
      <w:bookmarkStart w:id="174" w:name="Tc_QvI27a847EybrSldUTrqvw_9_18"/>
      <w:bookmarkStart w:id="175" w:name="Tc_66Ce4RaKXEGqzweI2gA6eA_9_16"/>
      <w:bookmarkStart w:id="176" w:name="Tc_8SwR4fo7HEOxbSCAD-fD1w_9_14"/>
      <w:bookmarkStart w:id="177" w:name="Tc_SmLG3AlZjkaLRODjTwNv-Q_9_12"/>
      <w:bookmarkStart w:id="178" w:name="Tc_kXBBVU05F0KhU-VYGZ9laA_9_10"/>
      <w:bookmarkStart w:id="179" w:name="Tc_mOwtomC7H0G43PzU4GZxnw_9_8"/>
      <w:bookmarkStart w:id="180" w:name="Tc_C1N0unfBcEOOJt2xRPSxig_9_6"/>
      <w:bookmarkStart w:id="181" w:name="Tc_AlUDtZsyuk-XD8gOTYMBXg_9_4"/>
      <w:bookmarkStart w:id="182" w:name="Tc_ZDb4uXgoNkOPXSW3XZgsNg_9_2"/>
      <w:bookmarkStart w:id="183" w:name="Tc_4yXoTo-1r0-jaJbH05dFww_9_0"/>
      <w:bookmarkStart w:id="184" w:name="Tc_JOEA7zqpm0qIXxFxw8fk_w_8_20"/>
      <w:bookmarkStart w:id="185" w:name="Tc_2VM1R7Xk8EOw-LgznEPl1g_8_18"/>
      <w:bookmarkStart w:id="186" w:name="Tc_dlflqjeGjk-w7IfJGnpNdQ_8_16"/>
      <w:bookmarkStart w:id="187" w:name="Tc_g0j0KltrYU2Oc2j4YPPrxQ_8_14"/>
      <w:bookmarkStart w:id="188" w:name="Tc_J1aeAzKocEWpBp_QhnlXqw_8_12"/>
      <w:bookmarkStart w:id="189" w:name="Tc_WTX10FfC9Uya-XxVQZKoCg_8_10"/>
      <w:bookmarkStart w:id="190" w:name="Tc_rN5ah_t7cEaEOlzIPZWFEA_8_8"/>
      <w:bookmarkStart w:id="191" w:name="Tc_nCKkATNpQUGDlo2BxPvlCQ_8_6"/>
      <w:bookmarkStart w:id="192" w:name="Tc_ExbjOxo1Rk6S17HOlULJCA_8_4"/>
      <w:bookmarkStart w:id="193" w:name="Tc__ij-sSAcREGWC2k0u_6cvg_8_2"/>
      <w:bookmarkStart w:id="194" w:name="Tc_1QqP1gI4YkGDamfXSGzATg_8_0"/>
      <w:bookmarkStart w:id="195" w:name="Tc_jmKTNYZMHkq0LV7HnB4d8w_7_20"/>
      <w:bookmarkStart w:id="196" w:name="Tc_MatFAraAWkSgrCl60vgcYw_7_18"/>
      <w:bookmarkStart w:id="197" w:name="Tc__b-7oo8kwUift_EfNcvV1Q_7_16"/>
      <w:bookmarkStart w:id="198" w:name="Tc_1ajujlgeQEywP7eXUFtTqA_7_14"/>
      <w:bookmarkStart w:id="199" w:name="Tc_gbhqBbq8JkKKNEKhtMmqdg_7_12"/>
      <w:bookmarkStart w:id="200" w:name="Tc_VsTdvzMCVU-DeeU0474EQw_7_10"/>
      <w:bookmarkStart w:id="201" w:name="Tc_3VfQIQxgWkmUCNAJ75PA2w_7_8"/>
      <w:bookmarkStart w:id="202" w:name="Tc_fLNYBTloX0qcEhBoLjiIjQ_7_6"/>
      <w:bookmarkStart w:id="203" w:name="Tc_m4ofREMkyUSgCj8JclZ5NA_7_4"/>
      <w:bookmarkStart w:id="204" w:name="Tc_Np7a8oANkESeTYd1KCOi9A_7_2"/>
      <w:bookmarkStart w:id="205" w:name="Tc_c7esk2ha9UuG5ebynMI4DA_6_20"/>
      <w:bookmarkStart w:id="206" w:name="Tc_MlpXOYqnm0-FNKq9DAkweQ_6_18"/>
      <w:bookmarkStart w:id="207" w:name="Tc_2ANPlgIqpkKmAc1PVyXvng_6_16"/>
      <w:bookmarkStart w:id="208" w:name="Tc_Q9LTkU8n7U2kbEzKRDVQ-A_6_14"/>
      <w:bookmarkStart w:id="209" w:name="Tc__NXp3QvqYEmCapP662QYjA_6_12"/>
      <w:bookmarkStart w:id="210" w:name="Tc_UC_9CQvdkkKJa73hdRzuOg_6_10"/>
      <w:bookmarkStart w:id="211" w:name="Tc_N-Vn2iEoMUmqEe3rW1nbug_6_8"/>
      <w:bookmarkStart w:id="212" w:name="Tc_LejR2vXIVUGhYBHndv20IQ_6_6"/>
      <w:bookmarkStart w:id="213" w:name="Tc_N_EvctIx602DJnFnoSiKyw_6_4"/>
      <w:bookmarkStart w:id="214" w:name="Tc_HxYdzFhJ1km-Q85ZvcBmAg_6_2"/>
      <w:bookmarkStart w:id="215" w:name="Tc_kQLFyORFfkaeNwxit_23wA_5_16"/>
      <w:bookmarkStart w:id="216" w:name="Tc__7y9dl6mh02-vEwIof7zPQ_5_12"/>
      <w:bookmarkStart w:id="217" w:name="Tc_s_n_5OF8v0eNUisq5eVvpA_5_10"/>
      <w:bookmarkStart w:id="218" w:name="Tc_bFWcLDY3dUmH6jA6Z-QiIQ_5_8"/>
      <w:bookmarkStart w:id="219" w:name="Tc_g3KCnUNbAUGBF03DfcN6lg_5_6"/>
      <w:bookmarkStart w:id="220" w:name="Tc_i7k0kSL24U-iCvkMpuONsg_5_4"/>
      <w:bookmarkStart w:id="221" w:name="Tc_ezXybh_AVkibaxwM3txoLQ_5_2"/>
      <w:bookmarkStart w:id="222" w:name="Tc_BXADzXyRI0mmb94XJ-Br2w_4_14"/>
      <w:bookmarkStart w:id="223" w:name="Tc_PgSdMX1q0EWKiuM_lYQXNg_4_12"/>
      <w:bookmarkStart w:id="224" w:name="Tc_NesYK1xcCU6M93xPHD_S1Q_4_10"/>
      <w:bookmarkStart w:id="225" w:name="Tc_U_NX9v9jdUOnv66Gpr5wRw_3_14"/>
      <w:bookmarkStart w:id="226" w:name="Tc_MrUg3CmYlUi0Hpxoswr9YA_3_12"/>
      <w:bookmarkStart w:id="227" w:name="Tc_ZlMkiTGPbU6lw-dLrNuZNQ_3_10"/>
      <w:bookmarkStart w:id="228" w:name="Tc_PrF9DzBvyUW-68UAH36oeA_2_12"/>
      <w:bookmarkStart w:id="229" w:name="Tc_LmdfSf0tmUW2TYb_IXNy1w_2_10"/>
      <w:bookmarkStart w:id="230" w:name="Tc_f-Qtfoh0Ik2y2RBri5ROKw_1_12"/>
      <w:bookmarkStart w:id="231" w:name="Tc_UpC_JmJWo0S08CTepNg5Rg_1_10"/>
      <w:bookmarkStart w:id="232" w:name="_487865cc_5fed_479c_b093_bcd4471a5721"/>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t>​</w:t>
      </w:r>
    </w:p>
    <w:tbl>
      <w:tblPr>
        <w:tblW w:w="11031" w:type="dxa"/>
        <w:jc w:val="left"/>
        <w:tblInd w:w="0" w:type="dxa"/>
        <w:tblLayout w:type="fixed"/>
        <w:tblCellMar>
          <w:top w:w="0" w:type="dxa"/>
          <w:left w:w="0" w:type="dxa"/>
          <w:bottom w:w="0" w:type="dxa"/>
          <w:right w:w="0" w:type="dxa"/>
        </w:tblCellMar>
      </w:tblPr>
      <w:tblGrid>
        <w:gridCol w:w="421"/>
        <w:gridCol w:w="226"/>
        <w:gridCol w:w="961"/>
        <w:gridCol w:w="226"/>
        <w:gridCol w:w="961"/>
        <w:gridCol w:w="109"/>
        <w:gridCol w:w="961"/>
        <w:gridCol w:w="226"/>
        <w:gridCol w:w="961"/>
        <w:gridCol w:w="109"/>
        <w:gridCol w:w="961"/>
        <w:gridCol w:w="226"/>
        <w:gridCol w:w="961"/>
        <w:gridCol w:w="226"/>
        <w:gridCol w:w="916"/>
        <w:gridCol w:w="109"/>
        <w:gridCol w:w="916"/>
        <w:gridCol w:w="109"/>
        <w:gridCol w:w="616"/>
        <w:gridCol w:w="109"/>
        <w:gridCol w:w="721"/>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67335" cy="175260"/>
                      <wp:effectExtent l="0" t="0" r="0" b="0"/>
                      <wp:wrapNone/>
                      <wp:docPr id="353" name="Frame22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43510" cy="175260"/>
                      <wp:effectExtent l="0" t="0" r="0" b="0"/>
                      <wp:wrapNone/>
                      <wp:docPr id="354" name="Frame22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10235" cy="175260"/>
                      <wp:effectExtent l="0" t="0" r="0" b="0"/>
                      <wp:wrapNone/>
                      <wp:docPr id="355" name="Frame22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43510" cy="175260"/>
                      <wp:effectExtent l="0" t="0" r="0" b="0"/>
                      <wp:wrapNone/>
                      <wp:docPr id="356" name="Frame23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10235" cy="175260"/>
                      <wp:effectExtent l="0" t="0" r="0" b="0"/>
                      <wp:wrapNone/>
                      <wp:docPr id="357" name="Frame231"/>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9215" cy="175260"/>
                      <wp:effectExtent l="0" t="0" r="0" b="0"/>
                      <wp:wrapNone/>
                      <wp:docPr id="358" name="Frame2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10235" cy="175260"/>
                      <wp:effectExtent l="0" t="0" r="0" b="0"/>
                      <wp:wrapNone/>
                      <wp:docPr id="359" name="Frame23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43510" cy="175260"/>
                      <wp:effectExtent l="0" t="0" r="0" b="0"/>
                      <wp:wrapNone/>
                      <wp:docPr id="360" name="Frame23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10235" cy="175260"/>
                      <wp:effectExtent l="0" t="0" r="0" b="0"/>
                      <wp:wrapNone/>
                      <wp:docPr id="361" name="Frame23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9215" cy="175260"/>
                      <wp:effectExtent l="0" t="0" r="0" b="0"/>
                      <wp:wrapNone/>
                      <wp:docPr id="362" name="Frame2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10235" cy="175260"/>
                      <wp:effectExtent l="0" t="0" r="0" b="0"/>
                      <wp:wrapNone/>
                      <wp:docPr id="363" name="Frame23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43510" cy="175260"/>
                      <wp:effectExtent l="0" t="0" r="0" b="0"/>
                      <wp:wrapNone/>
                      <wp:docPr id="364" name="Frame23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10235" cy="175260"/>
                      <wp:effectExtent l="0" t="0" r="0" b="0"/>
                      <wp:wrapNone/>
                      <wp:docPr id="365" name="Frame23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43510" cy="175260"/>
                      <wp:effectExtent l="0" t="0" r="0" b="0"/>
                      <wp:wrapNone/>
                      <wp:docPr id="366" name="Frame24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81660" cy="175260"/>
                      <wp:effectExtent l="0" t="0" r="0" b="0"/>
                      <wp:wrapNone/>
                      <wp:docPr id="367" name="Frame24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9215" cy="175260"/>
                      <wp:effectExtent l="0" t="0" r="0" b="0"/>
                      <wp:wrapNone/>
                      <wp:docPr id="368"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581660" cy="175260"/>
                      <wp:effectExtent l="0" t="0" r="0" b="0"/>
                      <wp:wrapNone/>
                      <wp:docPr id="369" name="Frame24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9215" cy="175260"/>
                      <wp:effectExtent l="0" t="0" r="0" b="0"/>
                      <wp:wrapNone/>
                      <wp:docPr id="370"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91160" cy="175260"/>
                      <wp:effectExtent l="0" t="0" r="0" b="0"/>
                      <wp:wrapNone/>
                      <wp:docPr id="371" name="Frame24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9215" cy="175260"/>
                      <wp:effectExtent l="0" t="0" r="0" b="0"/>
                      <wp:wrapNone/>
                      <wp:docPr id="372"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57835" cy="175260"/>
                      <wp:effectExtent l="0" t="0" r="0" b="0"/>
                      <wp:wrapNone/>
                      <wp:docPr id="373" name="Frame24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42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9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961"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961" w:type="dxa"/>
            <w:tcBorders/>
            <w:vAlign w:val="center"/>
          </w:tcPr>
          <w:p>
            <w:pPr>
              <w:pStyle w:val="TableContents"/>
              <w:bidi w:val="0"/>
              <w:spacing w:lineRule="auto" w:line="285" w:before="0" w:after="0"/>
              <w:ind w:left="0" w:right="0" w:hanging="0"/>
              <w:jc w:val="both"/>
              <w:rPr/>
            </w:pPr>
            <w:r>
              <w:rPr/>
              <w:t>​</w:t>
            </w:r>
          </w:p>
        </w:tc>
        <w:tc>
          <w:tcPr>
            <w:tcW w:w="226" w:type="dxa"/>
            <w:tcBorders/>
            <w:vAlign w:val="center"/>
          </w:tcPr>
          <w:p>
            <w:pPr>
              <w:pStyle w:val="TableContents"/>
              <w:bidi w:val="0"/>
              <w:spacing w:lineRule="auto" w:line="285" w:before="0" w:after="0"/>
              <w:ind w:left="0" w:right="0" w:hanging="0"/>
              <w:jc w:val="both"/>
              <w:rPr/>
            </w:pPr>
            <w:r>
              <w:rPr/>
              <w:t>​</w:t>
            </w:r>
          </w:p>
        </w:tc>
        <w:tc>
          <w:tcPr>
            <w:tcW w:w="961"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AVERAGE</w:t>
            </w:r>
          </w:p>
        </w:tc>
        <w:tc>
          <w:tcPr>
            <w:tcW w:w="226" w:type="dxa"/>
            <w:tcBorders/>
            <w:vAlign w:val="center"/>
          </w:tcPr>
          <w:p>
            <w:pPr>
              <w:pStyle w:val="TableContents"/>
              <w:bidi w:val="0"/>
              <w:spacing w:lineRule="auto" w:line="285" w:before="0" w:after="0"/>
              <w:ind w:left="0" w:right="0" w:hanging="0"/>
              <w:jc w:val="both"/>
              <w:rPr/>
            </w:pPr>
            <w:r>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AVERAGE</w:t>
            </w:r>
          </w:p>
        </w:tc>
        <w:tc>
          <w:tcPr>
            <w:tcW w:w="226" w:type="dxa"/>
            <w:tcBorders/>
            <w:vAlign w:val="center"/>
          </w:tcPr>
          <w:p>
            <w:pPr>
              <w:pStyle w:val="TableContents"/>
              <w:bidi w:val="0"/>
              <w:spacing w:lineRule="auto" w:line="285" w:before="0" w:after="0"/>
              <w:ind w:left="0" w:right="0" w:hanging="0"/>
              <w:jc w:val="both"/>
              <w:rPr/>
            </w:pPr>
            <w:r>
              <w:rPr/>
              <w:t>​</w:t>
            </w:r>
          </w:p>
        </w:tc>
        <w:tc>
          <w:tcPr>
            <w:tcW w:w="916"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916"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616"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721" w:type="dxa"/>
            <w:tcBorders/>
            <w:vAlign w:val="center"/>
          </w:tcPr>
          <w:p>
            <w:pPr>
              <w:pStyle w:val="TableContents"/>
              <w:bidi w:val="0"/>
              <w:spacing w:lineRule="auto" w:line="285" w:before="0" w:after="0"/>
              <w:ind w:left="0" w:right="0" w:hanging="0"/>
              <w:jc w:val="both"/>
              <w:rPr/>
            </w:pPr>
            <w:r>
              <w:rPr/>
              <w:t>​</w:t>
            </w:r>
          </w:p>
        </w:tc>
      </w:tr>
      <w:tr>
        <w:trPr/>
        <w:tc>
          <w:tcPr>
            <w:tcW w:w="42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96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96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96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SUMMARY</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COMPENSATION</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  ​</w:t>
            </w:r>
          </w:p>
        </w:tc>
        <w:tc>
          <w:tcPr>
            <w:tcW w:w="916"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916"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61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721" w:type="dxa"/>
            <w:tcBorders/>
            <w:vAlign w:val="center"/>
          </w:tcPr>
          <w:p>
            <w:pPr>
              <w:pStyle w:val="TableContents"/>
              <w:bidi w:val="0"/>
              <w:spacing w:lineRule="auto" w:line="285" w:before="0" w:after="0"/>
              <w:ind w:left="0" w:right="0" w:hanging="0"/>
              <w:jc w:val="center"/>
              <w:rPr>
                <w:color w:val="4B4F54"/>
              </w:rPr>
            </w:pPr>
            <w:r>
              <w:rPr>
                <w:color w:val="4B4F54"/>
              </w:rPr>
              <w:t>​</w:t>
            </w:r>
          </w:p>
        </w:tc>
      </w:tr>
      <w:tr>
        <w:trPr/>
        <w:tc>
          <w:tcPr>
            <w:tcW w:w="42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COMPENSATION</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ACTUALLY</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941" w:type="dxa"/>
            <w:gridSpan w:val="3"/>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Value of Initial fixed $100</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61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721" w:type="dxa"/>
            <w:tcBorders/>
            <w:vAlign w:val="center"/>
          </w:tcPr>
          <w:p>
            <w:pPr>
              <w:pStyle w:val="TableContents"/>
              <w:bidi w:val="0"/>
              <w:spacing w:lineRule="auto" w:line="285" w:before="0" w:after="0"/>
              <w:ind w:left="0" w:right="0" w:hanging="0"/>
              <w:jc w:val="both"/>
              <w:rPr/>
            </w:pPr>
            <w:r>
              <w:rPr/>
              <w:t>​</w:t>
            </w:r>
          </w:p>
        </w:tc>
      </w:tr>
      <w:tr>
        <w:trPr/>
        <w:tc>
          <w:tcPr>
            <w:tcW w:w="42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TABLE TOTAL</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PAID TO</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941" w:type="dxa"/>
            <w:gridSpan w:val="3"/>
            <w:tcBorders/>
            <w:vAlign w:val="center"/>
          </w:tcPr>
          <w:p>
            <w:pPr>
              <w:pStyle w:val="TableContents"/>
              <w:bidi w:val="0"/>
              <w:spacing w:lineRule="auto" w:line="240" w:before="0" w:after="0"/>
              <w:ind w:left="0" w:right="0" w:hanging="0"/>
              <w:jc w:val="center"/>
              <w:rPr>
                <w:rFonts w:ascii="Arial;Helvetica;sans-serif" w:hAnsi="Arial;Helvetica;sans-serif"/>
                <w:sz w:val="10"/>
              </w:rPr>
            </w:pPr>
            <w:r>
              <w:rPr>
                <w:rFonts w:ascii="Arial;Helvetica;sans-serif" w:hAnsi="Arial;Helvetica;sans-serif"/>
                <w:b/>
                <w:color w:val="4B4F54"/>
                <w:sz w:val="11"/>
              </w:rPr>
              <w:t>Investment BASED ON</w:t>
            </w:r>
            <w:r>
              <w:rPr>
                <w:rFonts w:ascii="Arial;Helvetica;sans-serif" w:hAnsi="Arial;Helvetica;sans-serif"/>
                <w:b/>
                <w:color w:val="4B4F54"/>
                <w:sz w:val="8"/>
              </w:rPr>
              <w:t>4</w:t>
            </w:r>
            <w:r>
              <w:rPr>
                <w:rFonts w:ascii="Arial;Helvetica;sans-serif" w:hAnsi="Arial;Helvetica;sans-serif"/>
                <w:b/>
                <w:color w:val="4B4F54"/>
                <w:sz w:val="11"/>
              </w:rPr>
              <w:t>:</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61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721" w:type="dxa"/>
            <w:tcBorders/>
            <w:vAlign w:val="center"/>
          </w:tcPr>
          <w:p>
            <w:pPr>
              <w:pStyle w:val="TableContents"/>
              <w:bidi w:val="0"/>
              <w:spacing w:lineRule="auto" w:line="285" w:before="0" w:after="0"/>
              <w:ind w:left="0" w:right="0" w:hanging="0"/>
              <w:jc w:val="both"/>
              <w:rPr/>
            </w:pPr>
            <w:r>
              <w:rPr/>
              <w:t>​</w:t>
            </w:r>
          </w:p>
        </w:tc>
      </w:tr>
      <w:tr>
        <w:trPr/>
        <w:tc>
          <w:tcPr>
            <w:tcW w:w="42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 xml:space="preserve">SUMMARY </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 xml:space="preserve">SUMMARY </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COMPENSATION</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COMPENSATION</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FOR NON-CEO</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NON-CEO</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16"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1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PEER GROUP</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61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721" w:type="dxa"/>
            <w:tcBorders/>
            <w:vAlign w:val="center"/>
          </w:tcPr>
          <w:p>
            <w:pPr>
              <w:pStyle w:val="TableContents"/>
              <w:bidi w:val="0"/>
              <w:spacing w:lineRule="auto" w:line="285" w:before="0" w:after="0"/>
              <w:ind w:left="0" w:right="0" w:hanging="0"/>
              <w:jc w:val="center"/>
              <w:rPr>
                <w:color w:val="4B4F54"/>
              </w:rPr>
            </w:pPr>
            <w:r>
              <w:rPr>
                <w:color w:val="4B4F54"/>
              </w:rPr>
              <w:t>​</w:t>
            </w:r>
          </w:p>
        </w:tc>
      </w:tr>
      <w:tr>
        <w:trPr/>
        <w:tc>
          <w:tcPr>
            <w:tcW w:w="42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COMPENSATION</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COMPENSATION</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ACTUALLY</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ACTUALLY</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 xml:space="preserve">NAMED </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 xml:space="preserve">NAMED </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1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TOTAL</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1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TOTAL</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61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NET</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72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ADJUSTED</w:t>
            </w:r>
          </w:p>
        </w:tc>
      </w:tr>
      <w:tr>
        <w:trPr/>
        <w:tc>
          <w:tcPr>
            <w:tcW w:w="421"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TABLE TOTAL</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TABLE TOTAL</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PAID TO</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PAID TO</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 xml:space="preserve">EXECUTIVE </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 xml:space="preserve">EXECUTIVE </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1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SHAREHOLDER</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1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SHAREHOLDER</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61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INCOME</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721" w:type="dxa"/>
            <w:tcBorders/>
            <w:vAlign w:val="center"/>
          </w:tcPr>
          <w:p>
            <w:pPr>
              <w:pStyle w:val="TableContents"/>
              <w:bidi w:val="0"/>
              <w:spacing w:lineRule="auto" w:line="240" w:before="0" w:after="0"/>
              <w:ind w:left="0" w:right="0" w:hanging="0"/>
              <w:jc w:val="center"/>
              <w:rPr>
                <w:rFonts w:ascii="Arial;Helvetica;sans-serif" w:hAnsi="Arial;Helvetica;sans-serif"/>
                <w:sz w:val="10"/>
              </w:rPr>
            </w:pPr>
            <w:r>
              <w:rPr>
                <w:rFonts w:ascii="Arial;Helvetica;sans-serif" w:hAnsi="Arial;Helvetica;sans-serif"/>
                <w:b/>
                <w:color w:val="4B4F54"/>
                <w:sz w:val="11"/>
              </w:rPr>
              <w:t xml:space="preserve">EBITDA </w:t>
            </w:r>
            <w:r>
              <w:rPr>
                <w:rFonts w:ascii="Arial;Helvetica;sans-serif" w:hAnsi="Arial;Helvetica;sans-serif"/>
                <w:b/>
                <w:color w:val="4B4F54"/>
                <w:sz w:val="8"/>
              </w:rPr>
              <w:t>5</w:t>
            </w:r>
          </w:p>
        </w:tc>
      </w:tr>
      <w:tr>
        <w:trPr/>
        <w:tc>
          <w:tcPr>
            <w:tcW w:w="42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YEAR</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40" w:before="0" w:after="0"/>
              <w:ind w:left="0" w:right="0" w:hanging="0"/>
              <w:jc w:val="center"/>
              <w:rPr>
                <w:rFonts w:ascii="Arial;Helvetica;sans-serif" w:hAnsi="Arial;Helvetica;sans-serif"/>
                <w:sz w:val="10"/>
              </w:rPr>
            </w:pPr>
            <w:r>
              <w:rPr>
                <w:rFonts w:ascii="Arial;Helvetica;sans-serif" w:hAnsi="Arial;Helvetica;sans-serif"/>
                <w:b/>
                <w:color w:val="4B4F54"/>
                <w:sz w:val="11"/>
              </w:rPr>
              <w:t>FOR FIRST CEO</w:t>
            </w:r>
            <w:r>
              <w:rPr>
                <w:rFonts w:ascii="Arial;Helvetica;sans-serif" w:hAnsi="Arial;Helvetica;sans-serif"/>
                <w:color w:val="4B4F54"/>
                <w:sz w:val="10"/>
              </w:rPr>
              <w:t xml:space="preserve"> </w:t>
            </w:r>
            <w:r>
              <w:rPr>
                <w:rFonts w:ascii="Arial;Helvetica;sans-serif" w:hAnsi="Arial;Helvetica;sans-serif"/>
                <w:b/>
                <w:color w:val="4B4F54"/>
                <w:sz w:val="8"/>
              </w:rPr>
              <w:t>1</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40" w:before="0" w:after="0"/>
              <w:ind w:left="0" w:right="0" w:hanging="0"/>
              <w:jc w:val="center"/>
              <w:rPr>
                <w:rFonts w:ascii="Arial;Helvetica;sans-serif" w:hAnsi="Arial;Helvetica;sans-serif"/>
                <w:sz w:val="10"/>
              </w:rPr>
            </w:pPr>
            <w:r>
              <w:rPr>
                <w:rFonts w:ascii="Arial;Helvetica;sans-serif" w:hAnsi="Arial;Helvetica;sans-serif"/>
                <w:b/>
                <w:color w:val="4B4F54"/>
                <w:sz w:val="11"/>
              </w:rPr>
              <w:t>FOR SECOND CEO</w:t>
            </w:r>
            <w:r>
              <w:rPr>
                <w:rFonts w:ascii="Arial;Helvetica;sans-serif" w:hAnsi="Arial;Helvetica;sans-serif"/>
                <w:color w:val="4B4F54"/>
                <w:sz w:val="10"/>
              </w:rPr>
              <w:t xml:space="preserve"> </w:t>
            </w:r>
            <w:r>
              <w:rPr>
                <w:rFonts w:ascii="Arial;Helvetica;sans-serif" w:hAnsi="Arial;Helvetica;sans-serif"/>
                <w:b/>
                <w:color w:val="4B4F54"/>
                <w:sz w:val="8"/>
              </w:rPr>
              <w:t>1</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40" w:before="0" w:after="0"/>
              <w:ind w:left="0" w:right="0" w:hanging="0"/>
              <w:jc w:val="center"/>
              <w:rPr>
                <w:rFonts w:ascii="Arial;Helvetica;sans-serif" w:hAnsi="Arial;Helvetica;sans-serif"/>
                <w:sz w:val="10"/>
              </w:rPr>
            </w:pPr>
            <w:r>
              <w:rPr>
                <w:rFonts w:ascii="Arial;Helvetica;sans-serif" w:hAnsi="Arial;Helvetica;sans-serif"/>
                <w:b/>
                <w:color w:val="4B4F54"/>
                <w:sz w:val="11"/>
              </w:rPr>
              <w:t xml:space="preserve">FIRST CEO </w:t>
            </w:r>
            <w:r>
              <w:rPr>
                <w:rFonts w:ascii="Arial;Helvetica;sans-serif" w:hAnsi="Arial;Helvetica;sans-serif"/>
                <w:b/>
                <w:color w:val="4B4F54"/>
                <w:sz w:val="8"/>
              </w:rPr>
              <w:t>2</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40" w:before="0" w:after="0"/>
              <w:ind w:left="0" w:right="0" w:hanging="0"/>
              <w:jc w:val="center"/>
              <w:rPr>
                <w:rFonts w:ascii="Arial;Helvetica;sans-serif" w:hAnsi="Arial;Helvetica;sans-serif"/>
                <w:sz w:val="10"/>
              </w:rPr>
            </w:pPr>
            <w:r>
              <w:rPr>
                <w:rFonts w:ascii="Arial;Helvetica;sans-serif" w:hAnsi="Arial;Helvetica;sans-serif"/>
                <w:b/>
                <w:color w:val="4B4F54"/>
                <w:sz w:val="11"/>
              </w:rPr>
              <w:t xml:space="preserve">SECOND CEO </w:t>
            </w:r>
            <w:r>
              <w:rPr>
                <w:rFonts w:ascii="Arial;Helvetica;sans-serif" w:hAnsi="Arial;Helvetica;sans-serif"/>
                <w:b/>
                <w:color w:val="4B4F54"/>
                <w:sz w:val="8"/>
              </w:rPr>
              <w:t>2</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40" w:before="0" w:after="0"/>
              <w:ind w:left="0" w:right="0" w:hanging="0"/>
              <w:jc w:val="center"/>
              <w:rPr>
                <w:rFonts w:ascii="Arial;Helvetica;sans-serif" w:hAnsi="Arial;Helvetica;sans-serif"/>
                <w:sz w:val="10"/>
              </w:rPr>
            </w:pPr>
            <w:r>
              <w:rPr>
                <w:rFonts w:ascii="Arial;Helvetica;sans-serif" w:hAnsi="Arial;Helvetica;sans-serif"/>
                <w:b/>
                <w:color w:val="4B4F54"/>
                <w:sz w:val="11"/>
              </w:rPr>
              <w:t xml:space="preserve">OFFICERS </w:t>
            </w:r>
            <w:r>
              <w:rPr>
                <w:rFonts w:ascii="Arial;Helvetica;sans-serif" w:hAnsi="Arial;Helvetica;sans-serif"/>
                <w:b/>
                <w:color w:val="4B4F54"/>
                <w:sz w:val="8"/>
              </w:rPr>
              <w:t>3</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vAlign w:val="center"/>
          </w:tcPr>
          <w:p>
            <w:pPr>
              <w:pStyle w:val="TableContents"/>
              <w:bidi w:val="0"/>
              <w:spacing w:lineRule="auto" w:line="240" w:before="0" w:after="0"/>
              <w:ind w:left="0" w:right="0" w:hanging="0"/>
              <w:jc w:val="center"/>
              <w:rPr>
                <w:rFonts w:ascii="Arial;Helvetica;sans-serif" w:hAnsi="Arial;Helvetica;sans-serif"/>
                <w:sz w:val="10"/>
              </w:rPr>
            </w:pPr>
            <w:r>
              <w:rPr>
                <w:rFonts w:ascii="Arial;Helvetica;sans-serif" w:hAnsi="Arial;Helvetica;sans-serif"/>
                <w:b/>
                <w:color w:val="4B4F54"/>
                <w:sz w:val="11"/>
              </w:rPr>
              <w:t xml:space="preserve">OFFICERS </w:t>
            </w:r>
            <w:r>
              <w:rPr>
                <w:rFonts w:ascii="Arial;Helvetica;sans-serif" w:hAnsi="Arial;Helvetica;sans-serif"/>
                <w:b/>
                <w:color w:val="4B4F54"/>
                <w:sz w:val="8"/>
              </w:rPr>
              <w:t>2</w:t>
            </w:r>
            <w:r>
              <w:rPr>
                <w:rFonts w:ascii="Arial;Helvetica;sans-serif" w:hAnsi="Arial;Helvetica;sans-serif"/>
                <w:b/>
                <w:color w:val="4B4F54"/>
                <w:sz w:val="11"/>
              </w:rPr>
              <w:t>,</w:t>
            </w:r>
            <w:r>
              <w:rPr>
                <w:rFonts w:ascii="Arial;Helvetica;sans-serif" w:hAnsi="Arial;Helvetica;sans-serif"/>
                <w:b/>
                <w:color w:val="4B4F54"/>
                <w:sz w:val="8"/>
              </w:rPr>
              <w:t>3</w:t>
            </w:r>
          </w:p>
        </w:tc>
        <w:tc>
          <w:tcPr>
            <w:tcW w:w="22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1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RETURN</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91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RETURN</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616"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($M)</w:t>
            </w:r>
          </w:p>
        </w:tc>
        <w:tc>
          <w:tcPr>
            <w:tcW w:w="109"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72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($M)</w:t>
            </w:r>
          </w:p>
        </w:tc>
      </w:tr>
      <w:tr>
        <w:trPr/>
        <w:tc>
          <w:tcPr>
            <w:tcW w:w="42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(a)</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(b)</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(b)</w:t>
            </w:r>
          </w:p>
        </w:tc>
        <w:tc>
          <w:tcPr>
            <w:tcW w:w="109"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(c)</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(c)</w:t>
            </w:r>
          </w:p>
        </w:tc>
        <w:tc>
          <w:tcPr>
            <w:tcW w:w="109"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(d)</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96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(e)</w:t>
            </w:r>
          </w:p>
        </w:tc>
        <w:tc>
          <w:tcPr>
            <w:tcW w:w="22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91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(f)</w:t>
            </w:r>
          </w:p>
        </w:tc>
        <w:tc>
          <w:tcPr>
            <w:tcW w:w="109"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91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(g)</w:t>
            </w:r>
          </w:p>
        </w:tc>
        <w:tc>
          <w:tcPr>
            <w:tcW w:w="109"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616"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(h)</w:t>
            </w:r>
          </w:p>
        </w:tc>
        <w:tc>
          <w:tcPr>
            <w:tcW w:w="109"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color w:val="4B4F54"/>
              </w:rPr>
            </w:pPr>
            <w:r>
              <w:rPr>
                <w:color w:val="4B4F54"/>
              </w:rPr>
              <w:t>​</w:t>
            </w:r>
          </w:p>
        </w:tc>
        <w:tc>
          <w:tcPr>
            <w:tcW w:w="72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1"/>
              </w:rPr>
            </w:pPr>
            <w:r>
              <w:rPr>
                <w:rFonts w:ascii="Arial;Helvetica;sans-serif" w:hAnsi="Arial;Helvetica;sans-serif"/>
                <w:b/>
                <w:color w:val="4B4F54"/>
                <w:sz w:val="11"/>
              </w:rPr>
              <w:t>(i)</w:t>
            </w:r>
          </w:p>
        </w:tc>
      </w:tr>
      <w:tr>
        <w:trPr/>
        <w:tc>
          <w:tcPr>
            <w:tcW w:w="42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2025</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$ 7,106,087</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$ 8,793,715</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$ 5,439,302</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$ 11,653,021</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$ 3,094,187</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$ 3,159,154</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1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$ 179</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1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$ 165</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61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(2,915)</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72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$ 1,370</w:t>
            </w:r>
          </w:p>
        </w:tc>
      </w:tr>
      <w:tr>
        <w:trPr/>
        <w:tc>
          <w:tcPr>
            <w:tcW w:w="42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2024</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$ 10,938,141</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N/A</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(5,609,409)</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N/A</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$ 3,734,275</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(512,328)</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1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$ 55</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1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$ 102</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61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(512)</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72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$ 1,148</w:t>
            </w:r>
          </w:p>
        </w:tc>
      </w:tr>
      <w:tr>
        <w:trPr/>
        <w:tc>
          <w:tcPr>
            <w:tcW w:w="42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2023</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$ 11,355,216</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N/A</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$ 21,695,979</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N/A</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$ 4,427,539</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$ 7,592,127</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1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$ 92</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1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$ 115</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61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(954)</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72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$ 738</w:t>
            </w:r>
          </w:p>
        </w:tc>
      </w:tr>
      <w:tr>
        <w:trPr/>
        <w:tc>
          <w:tcPr>
            <w:tcW w:w="42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2022</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$ 11,733,864</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N/A</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$ 18,982,502</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N/A</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$ 4,213,127</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$ 6,391,352</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1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$ 66</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1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$ 113</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61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(621)</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72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$ 816</w:t>
            </w:r>
          </w:p>
        </w:tc>
      </w:tr>
      <w:tr>
        <w:trPr/>
        <w:tc>
          <w:tcPr>
            <w:tcW w:w="42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2021</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both"/>
              <w:rPr/>
            </w:pPr>
            <w:r>
              <w:rPr/>
              <w:t> </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$ 13,715,358</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N/A</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$ 14,571,784</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N/A</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$ 4,735,382</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6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$ 1,679,139</w:t>
            </w:r>
          </w:p>
        </w:tc>
        <w:tc>
          <w:tcPr>
            <w:tcW w:w="22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1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$ 40</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91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$ 70</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616"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(591)</w:t>
            </w:r>
          </w:p>
        </w:tc>
        <w:tc>
          <w:tcPr>
            <w:tcW w:w="109"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pPr>
            <w:r>
              <w:rPr/>
              <w:t>​</w:t>
            </w:r>
          </w:p>
        </w:tc>
        <w:tc>
          <w:tcPr>
            <w:tcW w:w="721" w:type="dxa"/>
            <w:tcBorders>
              <w:bottom w:val="single" w:sz="2" w:space="0" w:color="A6A6A6"/>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4"/>
              </w:rPr>
            </w:pPr>
            <w:r>
              <w:rPr>
                <w:rFonts w:ascii="Arial;Helvetica;sans-serif" w:hAnsi="Arial;Helvetica;sans-serif"/>
                <w:sz w:val="14"/>
              </w:rPr>
              <w:t>$ 995</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89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6"/>
              </w:rPr>
              <w:t>Amounts shown represent the total compensation reported for our first, former CEO, Mr. Thigpen</w:t>
            </w:r>
            <w:r>
              <w:rPr>
                <w:caps w:val="false"/>
                <w:smallCaps w:val="false"/>
              </w:rPr>
              <w:t xml:space="preserve"> </w:t>
            </w:r>
            <w:r>
              <w:rPr>
                <w:rFonts w:ascii="Arial;Helvetica;sans-serif" w:hAnsi="Arial;Helvetica;sans-serif"/>
                <w:b w:val="false"/>
                <w:i w:val="false"/>
                <w:caps w:val="false"/>
                <w:smallCaps w:val="false"/>
                <w:sz w:val="16"/>
              </w:rPr>
              <w:t>for 2025, 2024, 2023, 2022 and 2021 and our second, current CEO, Mr. Adamson, for 2025.</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2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Amounts shown represent the amount of “compensation actually paid”, as computed in accordance with SEC rules. These amounts do not reflect the actual compensation paid to our CEO or other NEOs during the applicable year, but also include (i) the year-end value of equity awards granted during the reported year, (ii) the change in the value of equity awards that were unvested at the end of the prior year, measured through the date the awards vested or were forfeited, or through the end of the reported fiscal year, and (iii) certain pension-related costs.</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991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Amounts shown represent the total compensation reported for our Non-CEO, NEOs: Messrs. Vayda, Long, Mackenzie, and Pack for 2025; Messrs. Vayda, Adamson, Long, Mackenzie, and former NEO’s Mey, and Davis for 2024; Messrs. Adamson, Long, and former NEO’s Mey and Davis for 2023, 2022 and 2021.</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w:t>
            </w:r>
          </w:p>
        </w:tc>
        <w:tc>
          <w:tcPr>
            <w:tcW w:w="9918"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Reflects cumulative total shareholder return of the Philadelphia SE Oil Services Sector (OSX) index, as of December 31, 2025, weighted according to each companies’ market capitalization at the beginning of each period for which a return is indicated. The OSX is the peer group utilized by Transocean for purposes of Item 201(e) of Regulation S-K under the Exchange Act in Transocean’s Annual Report on Form 10-K for the year ended December 31, 2025.</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w:t>
            </w:r>
          </w:p>
        </w:tc>
        <w:tc>
          <w:tcPr>
            <w:tcW w:w="9914"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6"/>
              </w:rPr>
              <w:t>Adjusted EBITDA</w:t>
            </w:r>
            <w:r>
              <w:rPr>
                <w:caps w:val="false"/>
                <w:smallCaps w:val="false"/>
              </w:rPr>
              <w:t xml:space="preserve"> </w:t>
            </w:r>
            <w:r>
              <w:rPr>
                <w:rFonts w:ascii="Arial;Helvetica;sans-serif" w:hAnsi="Arial;Helvetica;sans-serif"/>
                <w:b w:val="false"/>
                <w:i w:val="false"/>
                <w:caps w:val="false"/>
                <w:smallCaps w:val="false"/>
                <w:sz w:val="16"/>
              </w:rPr>
              <w:t>represents income before interest expense, interest income, taxes, depreciation and amortization, and excluding certain identified charges and credits. See Appendix A in this proxy statement for a reconciliation of Adjusted EBITDA to net income, the most directly comparable financial measure prepared and calculated in accordance with GAAP.</w:t>
            </w:r>
          </w:p>
        </w:tc>
      </w:tr>
    </w:tbl>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following tables set forth the requisite adjustments to determine Compensation Actually Paid (CAP) to our CEO and the average Compensation Actually Paid (CAP) to our non-CEO Named Executive Officers for fiscal year 2025.</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summary compensation table total for our current and former CEOs and the average summary compensation table totals for non-CEO Named Executive Officers are adjusted to arrive at the compensation actually paid and average compensation actually paid each year using the methodology as indicated in the table.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P-109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2896"/>
        <w:gridCol w:w="154"/>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289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EXECUTIVE COMPENSATION</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bookmarkStart w:id="233" w:name="Tc_6G2NvAPLREWA_UR4UOkUPg_17_0"/>
      <w:bookmarkStart w:id="234" w:name="Tc_MappZTa8tkOsh4Q7AM1AdA_16_0"/>
      <w:bookmarkStart w:id="235" w:name="Tc_nfalX8LVeUuWC_CXJppeqg_15_2"/>
      <w:bookmarkStart w:id="236" w:name="Tc_Z5jmfIYI3EyjSC3Pg3fX6w_15_0"/>
      <w:bookmarkStart w:id="237" w:name="Tc_XSsIeu407EmCxPzhGrhvlg_14_0"/>
      <w:bookmarkStart w:id="238" w:name="Tc_znxxOEWtO0e1jQHHxI08-w_13_0"/>
      <w:bookmarkStart w:id="239" w:name="Tc_xFuxMOqY3ki4I28D0bQb8A_12_0"/>
      <w:bookmarkStart w:id="240" w:name="Tc_ZOgiNhK_hEWpMKjy23uytw_11_2"/>
      <w:bookmarkStart w:id="241" w:name="Tc_eo8ImrBk9E6TVyENJb8RLg_11_0"/>
      <w:bookmarkStart w:id="242" w:name="Tc_id1QHceMwEyqJ3ieVQJ0pA_10_0"/>
      <w:bookmarkStart w:id="243" w:name="Tc_80jFje0_QE69JvMbR6uhfA_9_2"/>
      <w:bookmarkStart w:id="244" w:name="Tc_IemhArcuKEaKGjs-S0Y7VA_9_0"/>
      <w:bookmarkStart w:id="245" w:name="Tc_vKI4LvjHwk6xhGi-721v7A_8_0"/>
      <w:bookmarkStart w:id="246" w:name="Tc_5W6mIQU78UOaJ406dxE2UA_7_2"/>
      <w:bookmarkStart w:id="247" w:name="Tc_7aBAlR8jy0itsIyCtSxRWg_7_0"/>
      <w:bookmarkStart w:id="248" w:name="Tc_R5pztkQmEky4HF3NkVjE8g_6_2"/>
      <w:bookmarkStart w:id="249" w:name="Tc_G9Vgwy3e8k-r0pIgVnOAqg_6_0"/>
      <w:bookmarkStart w:id="250" w:name="Tc_af8d-gajUU-QM5Hl_VtYfg_5_2"/>
      <w:bookmarkStart w:id="251" w:name="Tc_sdfBrXGN5U2lNLN26CckyA_5_0"/>
      <w:bookmarkStart w:id="252" w:name="Tc_PetMiXomME-XcpZBJ-cqYA_4_0"/>
      <w:bookmarkStart w:id="253" w:name="Tc_niSo-RV3y0ybTF8X8qEidA_3_0"/>
      <w:bookmarkStart w:id="254" w:name="Tc_LFVslV1qtkmnMn9XGKXOtg_2_2"/>
      <w:bookmarkStart w:id="255" w:name="Tc_Hp5GOufjCUWV25ckg_nXIw_1_2"/>
      <w:bookmarkStart w:id="256" w:name="_b4faa10f_af59_492b_81e2_311e65661f81"/>
      <w:bookmarkStart w:id="257" w:name="Tc_0AiSd38orUCDD0XonuS_pA_17_0"/>
      <w:bookmarkStart w:id="258" w:name="Tc_GglC-FMQt02lbWSHVYWaTQ_16_0"/>
      <w:bookmarkStart w:id="259" w:name="Tc_ogRAQR7p-0uYJmDSSS3Diw_15_2"/>
      <w:bookmarkStart w:id="260" w:name="Tc_mQY-tKwBf0OH8wwu8gGT8A_15_0"/>
      <w:bookmarkStart w:id="261" w:name="Tc_IeFAIR_SGUiWn-8R2oowiA_14_0"/>
      <w:bookmarkStart w:id="262" w:name="Tc_r4Pp6AgEmkehh57CTkhgBQ_13_0"/>
      <w:bookmarkStart w:id="263" w:name="Tc_yEexA7-D1EeLxc1_fGjVDA_12_0"/>
      <w:bookmarkStart w:id="264" w:name="Tc_C54p1Aj3-ESDyEcggZbZxQ_11_2"/>
      <w:bookmarkStart w:id="265" w:name="Tc_d59NHuDSFkuR2_trKvud9A_11_0"/>
      <w:bookmarkStart w:id="266" w:name="Tc_7lvQ_bf14UmbZhDoUvRVlA_10_0"/>
      <w:bookmarkStart w:id="267" w:name="Tc_sQOpYo1-A0y-xs9sMd7RWw_9_2"/>
      <w:bookmarkStart w:id="268" w:name="Tc_nWvcuRcHKUu-0fncX2V6oQ_9_0"/>
      <w:bookmarkStart w:id="269" w:name="Tc_XICGNm7fJkuFAk7PGDNb8A_8_0"/>
      <w:bookmarkStart w:id="270" w:name="Tc_HjdHYdIunUiySYsN5zAiVQ_7_2"/>
      <w:bookmarkStart w:id="271" w:name="Tc_IVPbVrt-40a2BDB_x85eJw_7_0"/>
      <w:bookmarkStart w:id="272" w:name="Tc_Xq0X9P4XNUOKPbi5vpMMtw_6_2"/>
      <w:bookmarkStart w:id="273" w:name="Tc_x1KN-bzHq0iZOegxP4NyXA_6_0"/>
      <w:bookmarkStart w:id="274" w:name="Tc_wU4J25dB90yFPr8P6_sRSg_5_0"/>
      <w:bookmarkStart w:id="275" w:name="Tc_S0V4ip7k20WJcldbCg0KAw_4_0"/>
      <w:bookmarkStart w:id="276" w:name="Tc_h97I0IkorUG1LO9HCSIc4Q_3_0"/>
      <w:bookmarkStart w:id="277" w:name="Tc_SWGNqHrwZ0eQX0S5ZH9tCQ_2_2"/>
      <w:bookmarkStart w:id="278" w:name="Tc_In8jVHGJdk6WIgAWbnNdQQ_1_2"/>
      <w:bookmarkStart w:id="279" w:name="_37fdb005_759d_4e55_874f_cef6b5b8b69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With respect to equity award adjustments for 2025 as disclosed in the table below, the valuation assumptions used to calculate fair values did not materially differ from those disclosed at the time of grant.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values shown in the following table are for our current President and Chief Executive Officer, Keelan Adamson.</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8665"/>
        <w:gridCol w:w="346"/>
        <w:gridCol w:w="1194"/>
      </w:tblGrid>
      <w:tr>
        <w:trPr/>
        <w:tc>
          <w:tcPr>
            <w:tcW w:w="8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502275" cy="175260"/>
                      <wp:effectExtent l="0" t="0" r="0" b="0"/>
                      <wp:wrapNone/>
                      <wp:docPr id="374" name="Frame248"/>
                      <a:graphic xmlns:a="http://schemas.openxmlformats.org/drawingml/2006/main">
                        <a:graphicData uri="http://schemas.microsoft.com/office/word/2010/wordprocessingShape">
                          <wps:wsp>
                            <wps:cNvSpPr txBox="1"/>
                            <wps:spPr>
                              <a:xfrm>
                                <a:off x="0" y="0"/>
                                <a:ext cx="550227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75"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758190" cy="175260"/>
                      <wp:effectExtent l="0" t="0" r="0" b="0"/>
                      <wp:wrapNone/>
                      <wp:docPr id="376" name="Frame250"/>
                      <a:graphic xmlns:a="http://schemas.openxmlformats.org/drawingml/2006/main">
                        <a:graphicData uri="http://schemas.microsoft.com/office/word/2010/wordprocessingShape">
                          <wps:wsp>
                            <wps:cNvSpPr txBox="1"/>
                            <wps:spPr>
                              <a:xfrm>
                                <a:off x="0" y="0"/>
                                <a:ext cx="75819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8665" w:type="dxa"/>
            <w:tcBorders>
              <w:top w:val="single" w:sz="2" w:space="0" w:color="ECA44A"/>
            </w:tcBorders>
            <w:tcMar>
              <w:top w:w="28" w:type="dxa"/>
            </w:tcMar>
            <w:vAlign w:val="center"/>
          </w:tcPr>
          <w:p>
            <w:pPr>
              <w:pStyle w:val="TableContents"/>
              <w:bidi w:val="0"/>
              <w:spacing w:lineRule="auto" w:line="285" w:before="0" w:after="0"/>
              <w:ind w:left="0" w:right="0" w:hanging="0"/>
              <w:jc w:val="both"/>
              <w:rPr/>
            </w:pPr>
            <w:r>
              <w:rPr/>
              <w:t>​</w:t>
            </w:r>
          </w:p>
        </w:tc>
        <w:tc>
          <w:tcPr>
            <w:tcW w:w="346" w:type="dxa"/>
            <w:tcBorders>
              <w:top w:val="single" w:sz="2" w:space="0" w:color="ECA44A"/>
            </w:tcBorders>
            <w:tcMar>
              <w:top w:w="28" w:type="dxa"/>
            </w:tcMar>
            <w:vAlign w:val="center"/>
          </w:tcPr>
          <w:p>
            <w:pPr>
              <w:pStyle w:val="TableContents"/>
              <w:bidi w:val="0"/>
              <w:spacing w:lineRule="auto" w:line="285" w:before="0" w:after="0"/>
              <w:ind w:left="0" w:right="0" w:hanging="0"/>
              <w:jc w:val="both"/>
              <w:rPr/>
            </w:pPr>
            <w:r>
              <w:rPr/>
              <w:t>  ​ ​ ​</w:t>
            </w:r>
          </w:p>
        </w:tc>
        <w:tc>
          <w:tcPr>
            <w:tcW w:w="1194" w:type="dxa"/>
            <w:tcBorders>
              <w:top w:val="single" w:sz="2" w:space="0" w:color="ECA44A"/>
            </w:tcBorders>
            <w:tcMar>
              <w:top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8665"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w:t>
            </w:r>
          </w:p>
        </w:tc>
        <w:tc>
          <w:tcPr>
            <w:tcW w:w="1194"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(U.S. $)</w:t>
            </w:r>
          </w:p>
        </w:tc>
      </w:tr>
      <w:tr>
        <w:trPr/>
        <w:tc>
          <w:tcPr>
            <w:tcW w:w="8665"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sz w:val="18"/>
              </w:rPr>
            </w:pPr>
            <w:r>
              <w:rPr>
                <w:rFonts w:ascii="Arial;Helvetica;sans-serif" w:hAnsi="Arial;Helvetica;sans-serif"/>
                <w:b/>
                <w:sz w:val="18"/>
              </w:rPr>
              <w:t>Summary Compensation Table</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w:t>
            </w:r>
          </w:p>
        </w:tc>
        <w:tc>
          <w:tcPr>
            <w:tcW w:w="1194" w:type="dxa"/>
            <w:tcBorders>
              <w:bottom w:val="single" w:sz="12" w:space="0" w:color="EFB46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$8,793,715</w:t>
            </w:r>
          </w:p>
        </w:tc>
      </w:tr>
      <w:tr>
        <w:trPr/>
        <w:tc>
          <w:tcPr>
            <w:tcW w:w="8665" w:type="dxa"/>
            <w:tcBorders/>
            <w:vAlign w:val="center"/>
          </w:tcPr>
          <w:p>
            <w:pPr>
              <w:pStyle w:val="TableContents"/>
              <w:bidi w:val="0"/>
              <w:spacing w:lineRule="auto" w:line="285" w:before="0" w:after="0"/>
              <w:ind w:left="0" w:right="0" w:hanging="0"/>
              <w:jc w:val="both"/>
              <w:rPr>
                <w:rFonts w:ascii="Arial;Helvetica;sans-serif" w:hAnsi="Arial;Helvetica;sans-serif"/>
                <w:b/>
                <w:sz w:val="18"/>
              </w:rPr>
            </w:pPr>
            <w:r>
              <w:rPr>
                <w:rFonts w:ascii="Arial;Helvetica;sans-serif" w:hAnsi="Arial;Helvetica;sans-serif"/>
                <w:b/>
                <w:sz w:val="18"/>
              </w:rPr>
              <w:t>Adjustments to Determine Compensation Actually Paid for Current CEO</w:t>
            </w:r>
          </w:p>
        </w:tc>
        <w:tc>
          <w:tcPr>
            <w:tcW w:w="346" w:type="dxa"/>
            <w:tcBorders/>
            <w:vAlign w:val="center"/>
          </w:tcPr>
          <w:p>
            <w:pPr>
              <w:pStyle w:val="TableContents"/>
              <w:bidi w:val="0"/>
              <w:spacing w:lineRule="auto" w:line="285" w:before="0" w:after="0"/>
              <w:ind w:left="0" w:right="0" w:hanging="0"/>
              <w:jc w:val="both"/>
              <w:rPr/>
            </w:pPr>
            <w:r>
              <w:rPr/>
              <w:t>​</w:t>
            </w:r>
          </w:p>
        </w:tc>
        <w:tc>
          <w:tcPr>
            <w:tcW w:w="1194" w:type="dxa"/>
            <w:tcBorders/>
            <w:vAlign w:val="center"/>
          </w:tcPr>
          <w:p>
            <w:pPr>
              <w:pStyle w:val="TableContents"/>
              <w:bidi w:val="0"/>
              <w:spacing w:lineRule="auto" w:line="285" w:before="0" w:after="0"/>
              <w:ind w:left="0" w:right="0" w:hanging="0"/>
              <w:jc w:val="center"/>
              <w:rPr/>
            </w:pPr>
            <w:r>
              <w:rPr/>
              <w:t>​</w:t>
            </w:r>
          </w:p>
        </w:tc>
      </w:tr>
      <w:tr>
        <w:trPr/>
        <w:tc>
          <w:tcPr>
            <w:tcW w:w="8665"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Deduction for Change in the Actuarial Present Values reported under the “Change in Pension Value and Nonqualified Deferred Compensation Earnings” Column of the Summary Compensation Table</w:t>
            </w:r>
          </w:p>
        </w:tc>
        <w:tc>
          <w:tcPr>
            <w:tcW w:w="346" w:type="dxa"/>
            <w:tcBorders/>
            <w:vAlign w:val="center"/>
          </w:tcPr>
          <w:p>
            <w:pPr>
              <w:pStyle w:val="TableContents"/>
              <w:bidi w:val="0"/>
              <w:spacing w:lineRule="auto" w:line="285" w:before="0" w:after="0"/>
              <w:ind w:left="0" w:right="0" w:hanging="0"/>
              <w:jc w:val="both"/>
              <w:rPr/>
            </w:pPr>
            <w:r>
              <w:rPr/>
              <w:t>​</w:t>
            </w:r>
          </w:p>
        </w:tc>
        <w:tc>
          <w:tcPr>
            <w:tcW w:w="1194"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($66,010)</w:t>
            </w:r>
          </w:p>
        </w:tc>
      </w:tr>
      <w:tr>
        <w:trPr/>
        <w:tc>
          <w:tcPr>
            <w:tcW w:w="8665"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 for “Service Cost” for Pension Plans</w:t>
            </w:r>
          </w:p>
        </w:tc>
        <w:tc>
          <w:tcPr>
            <w:tcW w:w="346" w:type="dxa"/>
            <w:tcBorders/>
            <w:vAlign w:val="center"/>
          </w:tcPr>
          <w:p>
            <w:pPr>
              <w:pStyle w:val="TableContents"/>
              <w:bidi w:val="0"/>
              <w:spacing w:lineRule="auto" w:line="285" w:before="0" w:after="0"/>
              <w:ind w:left="0" w:right="0" w:hanging="0"/>
              <w:jc w:val="both"/>
              <w:rPr/>
            </w:pPr>
            <w:r>
              <w:rPr/>
              <w:t>​</w:t>
            </w:r>
          </w:p>
        </w:tc>
        <w:tc>
          <w:tcPr>
            <w:tcW w:w="1194"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w:t>
            </w:r>
          </w:p>
        </w:tc>
      </w:tr>
      <w:tr>
        <w:trPr/>
        <w:tc>
          <w:tcPr>
            <w:tcW w:w="8665"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 for “Prior Service Cost” for Pension Plans</w:t>
            </w:r>
          </w:p>
        </w:tc>
        <w:tc>
          <w:tcPr>
            <w:tcW w:w="346" w:type="dxa"/>
            <w:tcBorders/>
            <w:vAlign w:val="center"/>
          </w:tcPr>
          <w:p>
            <w:pPr>
              <w:pStyle w:val="TableContents"/>
              <w:bidi w:val="0"/>
              <w:spacing w:lineRule="auto" w:line="285" w:before="0" w:after="0"/>
              <w:ind w:left="0" w:right="0" w:hanging="0"/>
              <w:jc w:val="both"/>
              <w:rPr/>
            </w:pPr>
            <w:r>
              <w:rPr/>
              <w:t>​</w:t>
            </w:r>
          </w:p>
        </w:tc>
        <w:tc>
          <w:tcPr>
            <w:tcW w:w="1194"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w:t>
            </w:r>
          </w:p>
        </w:tc>
      </w:tr>
      <w:tr>
        <w:trPr/>
        <w:tc>
          <w:tcPr>
            <w:tcW w:w="8665"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Deduction for amounts reported under the “Stock Awards” column in the Summary Compensation Table</w:t>
            </w:r>
          </w:p>
        </w:tc>
        <w:tc>
          <w:tcPr>
            <w:tcW w:w="346" w:type="dxa"/>
            <w:tcBorders/>
            <w:vAlign w:val="center"/>
          </w:tcPr>
          <w:p>
            <w:pPr>
              <w:pStyle w:val="TableContents"/>
              <w:bidi w:val="0"/>
              <w:spacing w:lineRule="auto" w:line="285" w:before="0" w:after="0"/>
              <w:ind w:left="0" w:right="0" w:hanging="0"/>
              <w:jc w:val="both"/>
              <w:rPr/>
            </w:pPr>
            <w:r>
              <w:rPr/>
              <w:t>​</w:t>
            </w:r>
          </w:p>
        </w:tc>
        <w:tc>
          <w:tcPr>
            <w:tcW w:w="1194"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($5,771,957)</w:t>
            </w:r>
          </w:p>
        </w:tc>
      </w:tr>
      <w:tr>
        <w:trPr/>
        <w:tc>
          <w:tcPr>
            <w:tcW w:w="8665"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Deduction for amounts reported under the “Option Awards” column in the Summary Compensation Table</w:t>
            </w:r>
          </w:p>
        </w:tc>
        <w:tc>
          <w:tcPr>
            <w:tcW w:w="346" w:type="dxa"/>
            <w:tcBorders/>
            <w:vAlign w:val="center"/>
          </w:tcPr>
          <w:p>
            <w:pPr>
              <w:pStyle w:val="TableContents"/>
              <w:bidi w:val="0"/>
              <w:spacing w:lineRule="auto" w:line="285" w:before="0" w:after="0"/>
              <w:ind w:left="0" w:right="0" w:hanging="0"/>
              <w:jc w:val="both"/>
              <w:rPr/>
            </w:pPr>
            <w:r>
              <w:rPr/>
              <w:t>​</w:t>
            </w:r>
          </w:p>
        </w:tc>
        <w:tc>
          <w:tcPr>
            <w:tcW w:w="1194"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w:t>
            </w:r>
          </w:p>
        </w:tc>
      </w:tr>
      <w:tr>
        <w:trPr/>
        <w:tc>
          <w:tcPr>
            <w:tcW w:w="8665"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 for fair value of awards granted during year that remain unvested as of year-end</w:t>
            </w:r>
          </w:p>
        </w:tc>
        <w:tc>
          <w:tcPr>
            <w:tcW w:w="346" w:type="dxa"/>
            <w:tcBorders/>
            <w:vAlign w:val="center"/>
          </w:tcPr>
          <w:p>
            <w:pPr>
              <w:pStyle w:val="TableContents"/>
              <w:bidi w:val="0"/>
              <w:spacing w:lineRule="auto" w:line="285" w:before="0" w:after="0"/>
              <w:ind w:left="0" w:right="0" w:hanging="0"/>
              <w:jc w:val="both"/>
              <w:rPr/>
            </w:pPr>
            <w:r>
              <w:rPr/>
              <w:t>​</w:t>
            </w:r>
          </w:p>
        </w:tc>
        <w:tc>
          <w:tcPr>
            <w:tcW w:w="1194"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$9,763,585</w:t>
            </w:r>
          </w:p>
        </w:tc>
      </w:tr>
      <w:tr>
        <w:trPr/>
        <w:tc>
          <w:tcPr>
            <w:tcW w:w="8665"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 for fair value of awards granted during year that vest during year</w:t>
            </w:r>
          </w:p>
        </w:tc>
        <w:tc>
          <w:tcPr>
            <w:tcW w:w="346" w:type="dxa"/>
            <w:tcBorders/>
            <w:vAlign w:val="center"/>
          </w:tcPr>
          <w:p>
            <w:pPr>
              <w:pStyle w:val="TableContents"/>
              <w:bidi w:val="0"/>
              <w:spacing w:lineRule="auto" w:line="285" w:before="0" w:after="0"/>
              <w:ind w:left="0" w:right="0" w:hanging="0"/>
              <w:jc w:val="both"/>
              <w:rPr/>
            </w:pPr>
            <w:r>
              <w:rPr/>
              <w:t>​</w:t>
            </w:r>
          </w:p>
        </w:tc>
        <w:tc>
          <w:tcPr>
            <w:tcW w:w="1194"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w:t>
            </w:r>
          </w:p>
        </w:tc>
      </w:tr>
      <w:tr>
        <w:trPr/>
        <w:tc>
          <w:tcPr>
            <w:tcW w:w="8665"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Increase/deduction for change in fair value from prior year-end to current year-end of awards granted prior to year that were outstanding and unvested as of year-end</w:t>
            </w:r>
          </w:p>
        </w:tc>
        <w:tc>
          <w:tcPr>
            <w:tcW w:w="346" w:type="dxa"/>
            <w:tcBorders/>
            <w:vAlign w:val="center"/>
          </w:tcPr>
          <w:p>
            <w:pPr>
              <w:pStyle w:val="TableContents"/>
              <w:bidi w:val="0"/>
              <w:spacing w:lineRule="auto" w:line="285" w:before="0" w:after="0"/>
              <w:ind w:left="0" w:right="0" w:hanging="0"/>
              <w:jc w:val="both"/>
              <w:rPr/>
            </w:pPr>
            <w:r>
              <w:rPr/>
              <w:t>​</w:t>
            </w:r>
          </w:p>
        </w:tc>
        <w:tc>
          <w:tcPr>
            <w:tcW w:w="1194"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($137,237)</w:t>
            </w:r>
          </w:p>
        </w:tc>
      </w:tr>
      <w:tr>
        <w:trPr/>
        <w:tc>
          <w:tcPr>
            <w:tcW w:w="8665"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Increase/deduction for change in fair value from prior year-end to vesting date of awards granted prior to year that vested during year</w:t>
            </w:r>
          </w:p>
        </w:tc>
        <w:tc>
          <w:tcPr>
            <w:tcW w:w="346" w:type="dxa"/>
            <w:tcBorders/>
            <w:vAlign w:val="center"/>
          </w:tcPr>
          <w:p>
            <w:pPr>
              <w:pStyle w:val="TableContents"/>
              <w:bidi w:val="0"/>
              <w:spacing w:lineRule="auto" w:line="285" w:before="0" w:after="0"/>
              <w:ind w:left="0" w:right="0" w:hanging="0"/>
              <w:jc w:val="both"/>
              <w:rPr/>
            </w:pPr>
            <w:r>
              <w:rPr/>
              <w:t>​</w:t>
            </w:r>
          </w:p>
        </w:tc>
        <w:tc>
          <w:tcPr>
            <w:tcW w:w="1194"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($147,902)</w:t>
            </w:r>
          </w:p>
        </w:tc>
      </w:tr>
      <w:tr>
        <w:trPr/>
        <w:tc>
          <w:tcPr>
            <w:tcW w:w="8665"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Deduction of fair value of awards granted prior to year that were forfeited during year</w:t>
            </w:r>
          </w:p>
        </w:tc>
        <w:tc>
          <w:tcPr>
            <w:tcW w:w="346" w:type="dxa"/>
            <w:tcBorders/>
            <w:vAlign w:val="center"/>
          </w:tcPr>
          <w:p>
            <w:pPr>
              <w:pStyle w:val="TableContents"/>
              <w:bidi w:val="0"/>
              <w:spacing w:lineRule="auto" w:line="285" w:before="0" w:after="0"/>
              <w:ind w:left="0" w:right="0" w:hanging="0"/>
              <w:jc w:val="both"/>
              <w:rPr/>
            </w:pPr>
            <w:r>
              <w:rPr/>
              <w:t>​</w:t>
            </w:r>
          </w:p>
        </w:tc>
        <w:tc>
          <w:tcPr>
            <w:tcW w:w="1194"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($781,173)</w:t>
            </w:r>
          </w:p>
        </w:tc>
      </w:tr>
      <w:tr>
        <w:trPr/>
        <w:tc>
          <w:tcPr>
            <w:tcW w:w="8665"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 based on dividends or other earnings paid during year prior to vesting date of award</w:t>
            </w:r>
          </w:p>
        </w:tc>
        <w:tc>
          <w:tcPr>
            <w:tcW w:w="346" w:type="dxa"/>
            <w:tcBorders/>
            <w:vAlign w:val="center"/>
          </w:tcPr>
          <w:p>
            <w:pPr>
              <w:pStyle w:val="TableContents"/>
              <w:bidi w:val="0"/>
              <w:spacing w:lineRule="auto" w:line="285" w:before="0" w:after="0"/>
              <w:ind w:left="0" w:right="0" w:hanging="0"/>
              <w:jc w:val="both"/>
              <w:rPr/>
            </w:pPr>
            <w:r>
              <w:rPr/>
              <w:t>​</w:t>
            </w:r>
          </w:p>
        </w:tc>
        <w:tc>
          <w:tcPr>
            <w:tcW w:w="1194"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w:t>
            </w:r>
          </w:p>
        </w:tc>
      </w:tr>
      <w:tr>
        <w:trPr/>
        <w:tc>
          <w:tcPr>
            <w:tcW w:w="8665"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Total Adjustments</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w:t>
            </w:r>
          </w:p>
        </w:tc>
        <w:tc>
          <w:tcPr>
            <w:tcW w:w="1194"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$2,859,307</w:t>
            </w:r>
          </w:p>
        </w:tc>
      </w:tr>
      <w:tr>
        <w:trPr/>
        <w:tc>
          <w:tcPr>
            <w:tcW w:w="8665"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sz w:val="18"/>
              </w:rPr>
            </w:pPr>
            <w:r>
              <w:rPr>
                <w:rFonts w:ascii="Arial;Helvetica;sans-serif" w:hAnsi="Arial;Helvetica;sans-serif"/>
                <w:b/>
                <w:sz w:val="18"/>
              </w:rPr>
              <w:t>Compensation Actually Paid (CAP) to CEO - Adamson</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w:t>
            </w:r>
          </w:p>
        </w:tc>
        <w:tc>
          <w:tcPr>
            <w:tcW w:w="1194"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$11,653,021</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values shown in the following table are for our former Chief Executive Officer, Jeremy Thigpen who now serves as our Executive Chair.</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8688"/>
        <w:gridCol w:w="346"/>
        <w:gridCol w:w="1171"/>
      </w:tblGrid>
      <w:tr>
        <w:trPr/>
        <w:tc>
          <w:tcPr>
            <w:tcW w:w="8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5516880" cy="175260"/>
                      <wp:effectExtent l="0" t="0" r="0" b="0"/>
                      <wp:wrapNone/>
                      <wp:docPr id="377" name="Frame251"/>
                      <a:graphic xmlns:a="http://schemas.openxmlformats.org/drawingml/2006/main">
                        <a:graphicData uri="http://schemas.microsoft.com/office/word/2010/wordprocessingShape">
                          <wps:wsp>
                            <wps:cNvSpPr txBox="1"/>
                            <wps:spPr>
                              <a:xfrm>
                                <a:off x="0" y="0"/>
                                <a:ext cx="551688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78"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743585" cy="175260"/>
                      <wp:effectExtent l="0" t="0" r="0" b="0"/>
                      <wp:wrapNone/>
                      <wp:docPr id="379" name="Frame25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8688" w:type="dxa"/>
            <w:tcBorders>
              <w:top w:val="single" w:sz="2" w:space="0" w:color="ECA44A"/>
            </w:tcBorders>
            <w:tcMar>
              <w:top w:w="28" w:type="dxa"/>
            </w:tcMar>
            <w:vAlign w:val="center"/>
          </w:tcPr>
          <w:p>
            <w:pPr>
              <w:pStyle w:val="TableContents"/>
              <w:bidi w:val="0"/>
              <w:spacing w:lineRule="auto" w:line="285" w:before="0" w:after="0"/>
              <w:ind w:left="0" w:right="0" w:hanging="0"/>
              <w:jc w:val="both"/>
              <w:rPr/>
            </w:pPr>
            <w:r>
              <w:rPr/>
              <w:t>​</w:t>
            </w:r>
          </w:p>
        </w:tc>
        <w:tc>
          <w:tcPr>
            <w:tcW w:w="346" w:type="dxa"/>
            <w:tcBorders>
              <w:top w:val="single" w:sz="2" w:space="0" w:color="ECA44A"/>
            </w:tcBorders>
            <w:tcMar>
              <w:top w:w="28" w:type="dxa"/>
            </w:tcMar>
            <w:vAlign w:val="center"/>
          </w:tcPr>
          <w:p>
            <w:pPr>
              <w:pStyle w:val="TableContents"/>
              <w:bidi w:val="0"/>
              <w:spacing w:lineRule="auto" w:line="285" w:before="0" w:after="0"/>
              <w:ind w:left="0" w:right="0" w:hanging="0"/>
              <w:jc w:val="both"/>
              <w:rPr/>
            </w:pPr>
            <w:r>
              <w:rPr/>
              <w:t>  ​ ​ ​</w:t>
            </w:r>
          </w:p>
        </w:tc>
        <w:tc>
          <w:tcPr>
            <w:tcW w:w="1171" w:type="dxa"/>
            <w:tcBorders>
              <w:top w:val="single" w:sz="2" w:space="0" w:color="ECA44A"/>
            </w:tcBorders>
            <w:tcMar>
              <w:top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8688"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w:t>
            </w:r>
          </w:p>
        </w:tc>
        <w:tc>
          <w:tcPr>
            <w:tcW w:w="117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(U.S. $)</w:t>
            </w:r>
          </w:p>
        </w:tc>
      </w:tr>
      <w:tr>
        <w:trPr/>
        <w:tc>
          <w:tcPr>
            <w:tcW w:w="8688"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sz w:val="18"/>
              </w:rPr>
            </w:pPr>
            <w:r>
              <w:rPr>
                <w:rFonts w:ascii="Arial;Helvetica;sans-serif" w:hAnsi="Arial;Helvetica;sans-serif"/>
                <w:b/>
                <w:sz w:val="18"/>
              </w:rPr>
              <w:t>Summary Compensation Table</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w:t>
            </w:r>
          </w:p>
        </w:tc>
        <w:tc>
          <w:tcPr>
            <w:tcW w:w="1171" w:type="dxa"/>
            <w:tcBorders>
              <w:bottom w:val="single" w:sz="12" w:space="0" w:color="EFB46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$7,106,087</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b/>
                <w:sz w:val="18"/>
              </w:rPr>
            </w:pPr>
            <w:r>
              <w:rPr>
                <w:rFonts w:ascii="Arial;Helvetica;sans-serif" w:hAnsi="Arial;Helvetica;sans-serif"/>
                <w:b/>
                <w:sz w:val="18"/>
              </w:rPr>
              <w:t>Adjustments to Determine Compensation Actually Paid for Prior CEO</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pPr>
            <w:r>
              <w:rPr/>
              <w:t>​</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Deduction for Change in the Actuarial Present Values reported under the “Change in Pension Value and Nonqualified Deferred Compensation Earnings” Column of the Summary Compensation Table</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 for “Service Cost” for Pension Plans</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 for “Prior Service Cost” for Pension Plans</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Deduction for amounts reported under the “Stock Awards” column in the Summary Compensation Table</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($3,740,429)</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Deduction for amounts reported under the “Option Awards” column in the Summary Compensation Table</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 for fair value of awards granted during year that remain unvested as of year-end</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$4,995,969</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 for fair value of awards granted during year that vest during year</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Increase/deduction for change in fair value from prior year-end to current year-end of awards granted prior to year that were outstanding and unvested as of year-end</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($309,933)</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Increase/deduction for change in fair value from prior year-end to vesting date of awards granted prior to year that vested during year</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($380,469)</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Deduction of fair value of awards granted prior to year that were forfeited during year</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($2,231,924)</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 based on dividends or other earnings paid during year prior to vesting date of award</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w:t>
            </w:r>
          </w:p>
        </w:tc>
      </w:tr>
      <w:tr>
        <w:trPr/>
        <w:tc>
          <w:tcPr>
            <w:tcW w:w="8688"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Total Adjustments</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w:t>
            </w:r>
          </w:p>
        </w:tc>
        <w:tc>
          <w:tcPr>
            <w:tcW w:w="117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($1,666,786)</w:t>
            </w:r>
          </w:p>
        </w:tc>
      </w:tr>
      <w:tr>
        <w:trPr/>
        <w:tc>
          <w:tcPr>
            <w:tcW w:w="8688"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sz w:val="18"/>
              </w:rPr>
            </w:pPr>
            <w:r>
              <w:rPr>
                <w:rFonts w:ascii="Arial;Helvetica;sans-serif" w:hAnsi="Arial;Helvetica;sans-serif"/>
                <w:b/>
                <w:sz w:val="18"/>
              </w:rPr>
              <w:t>Compensation Actually Paid (CAP) to CEO - Thigpen</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w:t>
            </w:r>
          </w:p>
        </w:tc>
        <w:tc>
          <w:tcPr>
            <w:tcW w:w="117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$5,439,302</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individuals who were non-CEO Named Executive Officers during the applicable year are Messrs. Vayda, Long, Mackenzie, and Pack.</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P-110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lineRule="auto" w:line="285" w:before="0" w:after="0"/>
              <w:ind w:left="0" w:right="0" w:hanging="0"/>
              <w:jc w:val="both"/>
              <w:rPr/>
            </w:pPr>
            <w:r>
              <w:rPr/>
              <w:t>​</w:t>
            </w:r>
          </w:p>
        </w:tc>
        <w:tc>
          <w:tcPr>
            <w:tcW w:w="292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292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EXECUTIVE COMPENSATION</w:t>
            </w:r>
          </w:p>
        </w:tc>
      </w:tr>
    </w:tbl>
    <w:p>
      <w:pPr>
        <w:pStyle w:val="TextBody"/>
        <w:bidi w:val="0"/>
        <w:spacing w:lineRule="auto" w:line="285" w:before="0" w:after="0"/>
        <w:ind w:left="0" w:right="0" w:hanging="0"/>
        <w:jc w:val="both"/>
        <w:rPr/>
      </w:pPr>
      <w:r>
        <w:rPr/>
        <w:t>​</w:t>
      </w:r>
    </w:p>
    <w:p>
      <w:pPr>
        <w:pStyle w:val="Normal"/>
        <w:bidi w:val="0"/>
        <w:spacing w:before="0" w:after="0"/>
        <w:jc w:val="left"/>
        <w:rPr>
          <w:sz w:val="4"/>
          <w:szCs w:val="4"/>
        </w:rPr>
      </w:pPr>
      <w:r>
        <w:rPr>
          <w:sz w:val="4"/>
          <w:szCs w:val="4"/>
        </w:rPr>
      </w:r>
      <w:bookmarkStart w:id="280" w:name="Tc_xyl6Ab4NeE2duB-plw34kg_17_0"/>
      <w:bookmarkStart w:id="281" w:name="Tc_7AhDY1p2NkawEGxTXl1pTg_16_0"/>
      <w:bookmarkStart w:id="282" w:name="Tc_a5eNNi59HUam2Zvv3qQCjw_15_2"/>
      <w:bookmarkStart w:id="283" w:name="Tc_UnNdaafhPUm6F2h34u2kAg_15_0"/>
      <w:bookmarkStart w:id="284" w:name="Tc_phGFQtXzp0SrU08yzYGgiQ_14_0"/>
      <w:bookmarkStart w:id="285" w:name="Tc_1pNWWgOMFEWlTx7fSxviHg_13_0"/>
      <w:bookmarkStart w:id="286" w:name="Tc_SC0CNefHtUm6WV0Chs0lpA_12_0"/>
      <w:bookmarkStart w:id="287" w:name="Tc_p1DvJmg9XEO9T5Zej6SkIQ_11_2"/>
      <w:bookmarkStart w:id="288" w:name="Tc_ajL_Rur2U0mX5fva5S2Ujw_11_0"/>
      <w:bookmarkStart w:id="289" w:name="Tc_1a2DgrnlEUSkmf2gbpwcuQ_10_0"/>
      <w:bookmarkStart w:id="290" w:name="Tc_j9c3vV8zUEacw7ne6l4dZw_9_2"/>
      <w:bookmarkStart w:id="291" w:name="Tc_x8dBLohV3Uy8g0K82BM4Cw_9_0"/>
      <w:bookmarkStart w:id="292" w:name="Tc_twXDPEK6f0CXkk9Owb-_pw_8_0"/>
      <w:bookmarkStart w:id="293" w:name="Tc_G_k87DXpSEmM_QkR7gbGuQ_7_2"/>
      <w:bookmarkStart w:id="294" w:name="Tc_LnvVcQszm0-gNKBD1MrB5g_7_0"/>
      <w:bookmarkStart w:id="295" w:name="Tc_LWxrnlFY0UC14G_LyLHZWw_6_2"/>
      <w:bookmarkStart w:id="296" w:name="Tc_QzMovwKLQkek90LceJv5PQ_6_0"/>
      <w:bookmarkStart w:id="297" w:name="Tc_FIAe9EPVOEKHKhoPM109WQ_5_0"/>
      <w:bookmarkStart w:id="298" w:name="Tc_1ViF0PSIlkWbmcAEdmYNlw_4_0"/>
      <w:bookmarkStart w:id="299" w:name="Tc_SALUZA68ska-W0zC2t6m0w_3_0"/>
      <w:bookmarkStart w:id="300" w:name="Tc_D_GEN-2nXkyQkIRH_PhTrg_2_2"/>
      <w:bookmarkStart w:id="301" w:name="Tc_6AIY-8EBHEKTQdqYKriuBg_1_2"/>
      <w:bookmarkStart w:id="302" w:name="_a23f07c1_12ce_45c1_9581_e58e2606ddd7"/>
      <w:bookmarkStart w:id="303" w:name="Tc_xyl6Ab4NeE2duB-plw34kg_17_0"/>
      <w:bookmarkStart w:id="304" w:name="Tc_7AhDY1p2NkawEGxTXl1pTg_16_0"/>
      <w:bookmarkStart w:id="305" w:name="Tc_a5eNNi59HUam2Zvv3qQCjw_15_2"/>
      <w:bookmarkStart w:id="306" w:name="Tc_UnNdaafhPUm6F2h34u2kAg_15_0"/>
      <w:bookmarkStart w:id="307" w:name="Tc_phGFQtXzp0SrU08yzYGgiQ_14_0"/>
      <w:bookmarkStart w:id="308" w:name="Tc_1pNWWgOMFEWlTx7fSxviHg_13_0"/>
      <w:bookmarkStart w:id="309" w:name="Tc_SC0CNefHtUm6WV0Chs0lpA_12_0"/>
      <w:bookmarkStart w:id="310" w:name="Tc_p1DvJmg9XEO9T5Zej6SkIQ_11_2"/>
      <w:bookmarkStart w:id="311" w:name="Tc_ajL_Rur2U0mX5fva5S2Ujw_11_0"/>
      <w:bookmarkStart w:id="312" w:name="Tc_1a2DgrnlEUSkmf2gbpwcuQ_10_0"/>
      <w:bookmarkStart w:id="313" w:name="Tc_j9c3vV8zUEacw7ne6l4dZw_9_2"/>
      <w:bookmarkStart w:id="314" w:name="Tc_x8dBLohV3Uy8g0K82BM4Cw_9_0"/>
      <w:bookmarkStart w:id="315" w:name="Tc_twXDPEK6f0CXkk9Owb-_pw_8_0"/>
      <w:bookmarkStart w:id="316" w:name="Tc_G_k87DXpSEmM_QkR7gbGuQ_7_2"/>
      <w:bookmarkStart w:id="317" w:name="Tc_LnvVcQszm0-gNKBD1MrB5g_7_0"/>
      <w:bookmarkStart w:id="318" w:name="Tc_LWxrnlFY0UC14G_LyLHZWw_6_2"/>
      <w:bookmarkStart w:id="319" w:name="Tc_QzMovwKLQkek90LceJv5PQ_6_0"/>
      <w:bookmarkStart w:id="320" w:name="Tc_FIAe9EPVOEKHKhoPM109WQ_5_0"/>
      <w:bookmarkStart w:id="321" w:name="Tc_1ViF0PSIlkWbmcAEdmYNlw_4_0"/>
      <w:bookmarkStart w:id="322" w:name="Tc_SALUZA68ska-W0zC2t6m0w_3_0"/>
      <w:bookmarkStart w:id="323" w:name="Tc_D_GEN-2nXkyQkIRH_PhTrg_2_2"/>
      <w:bookmarkStart w:id="324" w:name="Tc_6AIY-8EBHEKTQdqYKriuBg_1_2"/>
      <w:bookmarkStart w:id="325" w:name="_a23f07c1_12ce_45c1_9581_e58e2606ddd7"/>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tbl>
      <w:tblPr>
        <w:tblW w:w="10205" w:type="dxa"/>
        <w:jc w:val="left"/>
        <w:tblInd w:w="0" w:type="dxa"/>
        <w:tblLayout w:type="fixed"/>
        <w:tblCellMar>
          <w:top w:w="0" w:type="dxa"/>
          <w:left w:w="0" w:type="dxa"/>
          <w:bottom w:w="0" w:type="dxa"/>
          <w:right w:w="0" w:type="dxa"/>
        </w:tblCellMar>
      </w:tblPr>
      <w:tblGrid>
        <w:gridCol w:w="8688"/>
        <w:gridCol w:w="346"/>
        <w:gridCol w:w="1171"/>
      </w:tblGrid>
      <w:tr>
        <w:trPr/>
        <w:tc>
          <w:tcPr>
            <w:tcW w:w="8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516880" cy="175260"/>
                      <wp:effectExtent l="0" t="0" r="0" b="0"/>
                      <wp:wrapNone/>
                      <wp:docPr id="380" name="Frame254"/>
                      <a:graphic xmlns:a="http://schemas.openxmlformats.org/drawingml/2006/main">
                        <a:graphicData uri="http://schemas.microsoft.com/office/word/2010/wordprocessingShape">
                          <wps:wsp>
                            <wps:cNvSpPr txBox="1"/>
                            <wps:spPr>
                              <a:xfrm>
                                <a:off x="0" y="0"/>
                                <a:ext cx="551688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1"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743585" cy="175260"/>
                      <wp:effectExtent l="0" t="0" r="0" b="0"/>
                      <wp:wrapNone/>
                      <wp:docPr id="382" name="Frame256"/>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8688" w:type="dxa"/>
            <w:tcBorders>
              <w:top w:val="single" w:sz="2" w:space="0" w:color="ECA44A"/>
            </w:tcBorders>
            <w:tcMar>
              <w:top w:w="28" w:type="dxa"/>
            </w:tcMar>
            <w:vAlign w:val="center"/>
          </w:tcPr>
          <w:p>
            <w:pPr>
              <w:pStyle w:val="TableContents"/>
              <w:bidi w:val="0"/>
              <w:spacing w:lineRule="auto" w:line="285" w:before="0" w:after="0"/>
              <w:ind w:left="0" w:right="0" w:hanging="0"/>
              <w:jc w:val="both"/>
              <w:rPr/>
            </w:pPr>
            <w:r>
              <w:rPr/>
              <w:t>​</w:t>
            </w:r>
          </w:p>
        </w:tc>
        <w:tc>
          <w:tcPr>
            <w:tcW w:w="346" w:type="dxa"/>
            <w:tcBorders>
              <w:top w:val="single" w:sz="2" w:space="0" w:color="ECA44A"/>
            </w:tcBorders>
            <w:tcMar>
              <w:top w:w="28" w:type="dxa"/>
            </w:tcMar>
            <w:vAlign w:val="center"/>
          </w:tcPr>
          <w:p>
            <w:pPr>
              <w:pStyle w:val="TableContents"/>
              <w:bidi w:val="0"/>
              <w:spacing w:lineRule="auto" w:line="285" w:before="0" w:after="0"/>
              <w:ind w:left="0" w:right="0" w:hanging="0"/>
              <w:jc w:val="both"/>
              <w:rPr/>
            </w:pPr>
            <w:r>
              <w:rPr/>
              <w:t>  ​ ​ ​</w:t>
            </w:r>
          </w:p>
        </w:tc>
        <w:tc>
          <w:tcPr>
            <w:tcW w:w="1171" w:type="dxa"/>
            <w:tcBorders>
              <w:top w:val="single" w:sz="2" w:space="0" w:color="ECA44A"/>
            </w:tcBorders>
            <w:tcMar>
              <w:top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8688"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w:t>
            </w:r>
          </w:p>
        </w:tc>
        <w:tc>
          <w:tcPr>
            <w:tcW w:w="117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(U.S. $)</w:t>
            </w:r>
          </w:p>
        </w:tc>
      </w:tr>
      <w:tr>
        <w:trPr/>
        <w:tc>
          <w:tcPr>
            <w:tcW w:w="8688"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sz w:val="18"/>
              </w:rPr>
            </w:pPr>
            <w:r>
              <w:rPr>
                <w:rFonts w:ascii="Arial;Helvetica;sans-serif" w:hAnsi="Arial;Helvetica;sans-serif"/>
                <w:b/>
                <w:sz w:val="18"/>
              </w:rPr>
              <w:t>Summary Compensation Table</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w:t>
            </w:r>
          </w:p>
        </w:tc>
        <w:tc>
          <w:tcPr>
            <w:tcW w:w="1171" w:type="dxa"/>
            <w:tcBorders>
              <w:bottom w:val="single" w:sz="12" w:space="0" w:color="EFB469"/>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$3,094,187</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b/>
                <w:sz w:val="18"/>
              </w:rPr>
            </w:pPr>
            <w:r>
              <w:rPr>
                <w:rFonts w:ascii="Arial;Helvetica;sans-serif" w:hAnsi="Arial;Helvetica;sans-serif"/>
                <w:b/>
                <w:sz w:val="18"/>
              </w:rPr>
              <w:t>Adjustments to Determine Compensation Actually Paid for Non-CEO NEOs</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pPr>
            <w:r>
              <w:rPr/>
              <w:t>​</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Deduction for Change in the Actuarial Present Values reported under the “Change in Pension Value and Nonqualified Deferred Compensation Earnings” Column of the Summary Compensation Table</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($1,757)</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 for “Service Cost” for Pension Plans</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 for “Prior Service Cost” for Pension Plans</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Deduction for amounts reported under the “Stock Awards” column in the Summary Compensation Table</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($1,608,597)</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Deduction for amounts reported under the “Option Awards” column in the Summary Compensation Table</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 for fair value of awards granted during year that remain unvested as of year-end</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$2,148,551</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 for fair value of awards granted during year that vest during year</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Increase/deduction for change in fair value from prior year-end to current year-end of awards granted prior to year that were outstanding and unvested as of year-end</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($58,663)</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Increase/deduction for change in fair value from prior year-end to vesting date of awards granted prior to year that vested during year</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($66,178)</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Deduction of fair value of awards granted prior to year that were forfeited during year</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($348,389)</w:t>
            </w:r>
          </w:p>
        </w:tc>
      </w:tr>
      <w:tr>
        <w:trPr/>
        <w:tc>
          <w:tcPr>
            <w:tcW w:w="8688" w:type="dxa"/>
            <w:tcBorders/>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Increase based on dividends or other earnings paid during year prior to vesting date of award</w:t>
            </w:r>
          </w:p>
        </w:tc>
        <w:tc>
          <w:tcPr>
            <w:tcW w:w="346" w:type="dxa"/>
            <w:tcBorders/>
            <w:vAlign w:val="center"/>
          </w:tcPr>
          <w:p>
            <w:pPr>
              <w:pStyle w:val="TableContents"/>
              <w:bidi w:val="0"/>
              <w:spacing w:lineRule="auto" w:line="285" w:before="0" w:after="0"/>
              <w:ind w:left="0" w:right="0" w:hanging="0"/>
              <w:jc w:val="both"/>
              <w:rPr/>
            </w:pPr>
            <w:r>
              <w:rPr/>
              <w:t>​</w:t>
            </w:r>
          </w:p>
        </w:tc>
        <w:tc>
          <w:tcPr>
            <w:tcW w:w="1171"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w:t>
            </w:r>
          </w:p>
        </w:tc>
      </w:tr>
      <w:tr>
        <w:trPr/>
        <w:tc>
          <w:tcPr>
            <w:tcW w:w="8688"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Total Adjustments</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w:t>
            </w:r>
          </w:p>
        </w:tc>
        <w:tc>
          <w:tcPr>
            <w:tcW w:w="117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$64,967</w:t>
            </w:r>
          </w:p>
        </w:tc>
      </w:tr>
      <w:tr>
        <w:trPr/>
        <w:tc>
          <w:tcPr>
            <w:tcW w:w="8688"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sz w:val="18"/>
              </w:rPr>
            </w:pPr>
            <w:r>
              <w:rPr>
                <w:rFonts w:ascii="Arial;Helvetica;sans-serif" w:hAnsi="Arial;Helvetica;sans-serif"/>
                <w:b/>
                <w:sz w:val="18"/>
              </w:rPr>
              <w:t>Compensation Actually Paid (CAP) to Non-CEO Named Executive Officers</w:t>
            </w:r>
          </w:p>
        </w:tc>
        <w:tc>
          <w:tcPr>
            <w:tcW w:w="346"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pPr>
            <w:r>
              <w:rPr/>
              <w:t>​</w:t>
            </w:r>
          </w:p>
        </w:tc>
        <w:tc>
          <w:tcPr>
            <w:tcW w:w="117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$3,159,154</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P-111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2896"/>
        <w:gridCol w:w="154"/>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289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EXECUTIVE COMPENSATION</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r>
    </w:tbl>
    <w:p>
      <w:pPr>
        <w:pStyle w:val="TextBody"/>
        <w:bidi w:val="0"/>
        <w:spacing w:lineRule="auto" w:line="285" w:before="0" w:after="0"/>
        <w:ind w:left="0" w:right="0" w:hanging="0"/>
        <w:jc w:val="both"/>
        <w:rPr/>
      </w:pPr>
      <w:r>
        <w:rPr/>
        <w:t>​</w:t>
      </w:r>
    </w:p>
    <w:p>
      <w:pPr>
        <w:pStyle w:val="TextBody"/>
        <w:bidi w:val="0"/>
        <w:spacing w:lineRule="auto" w:line="307" w:before="0" w:after="160"/>
        <w:ind w:left="0" w:right="0" w:hanging="0"/>
        <w:jc w:val="left"/>
        <w:rPr>
          <w:rFonts w:ascii="Arial;Helvetica;sans-serif" w:hAnsi="Arial;Helvetica;sans-serif"/>
          <w:b/>
          <w:sz w:val="24"/>
        </w:rPr>
      </w:pPr>
      <w:r>
        <w:rPr>
          <w:rFonts w:ascii="Arial;Helvetica;sans-serif" w:hAnsi="Arial;Helvetica;sans-serif"/>
          <w:b/>
          <w:sz w:val="24"/>
        </w:rPr>
        <w:t>Relationship Between Compensation Actually Paid and Performance Measures</w:t>
      </w:r>
    </w:p>
    <w:p>
      <w:pPr>
        <w:pStyle w:val="TextBody"/>
        <w:bidi w:val="0"/>
        <w:spacing w:lineRule="auto" w:line="285" w:before="0" w:after="0"/>
        <w:ind w:left="0" w:right="0" w:hanging="0"/>
        <w:jc w:val="both"/>
        <w:rPr/>
      </w:pPr>
      <w:r>
        <w:rPr/>
        <w:t>​</w:t>
      </w:r>
    </w:p>
    <w:p>
      <w:pPr>
        <w:pStyle w:val="TextBody"/>
        <w:bidi w:val="0"/>
        <w:spacing w:lineRule="atLeast" w:line="200" w:before="0" w:after="200"/>
        <w:ind w:left="0" w:right="0" w:hanging="0"/>
        <w:jc w:val="both"/>
        <w:rPr>
          <w:rFonts w:ascii="Arial;Helvetica;sans-serif" w:hAnsi="Arial;Helvetica;sans-serif"/>
          <w:sz w:val="20"/>
        </w:rPr>
      </w:pPr>
      <w:bookmarkStart w:id="326" w:name="Tc_MR_zidD6R0amuohE806NFQ_7_1"/>
      <w:bookmarkStart w:id="327" w:name="Tc_0yeaetw-bESzpOAhGiEWIg_5_1"/>
      <w:bookmarkStart w:id="328" w:name="Tc_5dPxsimLpkevW8JAp_O7Kg_4_1"/>
      <w:bookmarkStart w:id="329" w:name="Tc_UEO8-m6gak6Fmq-ifI1YKA_3_1"/>
      <w:bookmarkStart w:id="330" w:name="Tc_gWxcZ8dm1EyrjQGOZ8D5bg_0_1"/>
      <w:bookmarkStart w:id="331" w:name="_b8020169_f7f4_40ad_adab_7cf3d046a31e"/>
      <w:bookmarkEnd w:id="326"/>
      <w:bookmarkEnd w:id="327"/>
      <w:bookmarkEnd w:id="328"/>
      <w:bookmarkEnd w:id="329"/>
      <w:bookmarkEnd w:id="330"/>
      <w:bookmarkEnd w:id="331"/>
      <w:r>
        <w:rPr>
          <w:rFonts w:ascii="Arial;Helvetica;sans-serif" w:hAnsi="Arial;Helvetica;sans-serif"/>
          <w:sz w:val="20"/>
        </w:rPr>
        <w:t>As described in detail in our CD&amp;A, the Committee utilizes multiple key financial, operational, and environmental and safety measures to correlate our Named Executive Officer’s compensation to Company performance. In particular, the majority of compensation actually paid to our executives is based on the performance of Company stock.  The key performance measures for 2025 are:</w:t>
      </w:r>
    </w:p>
    <w:tbl>
      <w:tblPr>
        <w:tblW w:w="6714" w:type="dxa"/>
        <w:jc w:val="left"/>
        <w:tblInd w:w="0" w:type="dxa"/>
        <w:tblLayout w:type="fixed"/>
        <w:tblCellMar>
          <w:top w:w="0" w:type="dxa"/>
          <w:left w:w="0" w:type="dxa"/>
          <w:bottom w:w="0" w:type="dxa"/>
          <w:right w:w="0" w:type="dxa"/>
        </w:tblCellMar>
      </w:tblPr>
      <w:tblGrid>
        <w:gridCol w:w="124"/>
        <w:gridCol w:w="6436"/>
        <w:gridCol w:w="154"/>
      </w:tblGrid>
      <w:tr>
        <w:trPr/>
        <w:tc>
          <w:tcPr>
            <w:tcW w:w="124" w:type="dxa"/>
            <w:tcBorders/>
            <w:vAlign w:val="center"/>
          </w:tcPr>
          <w:p>
            <w:pPr>
              <w:pStyle w:val="TableContents"/>
              <w:bidi w:val="0"/>
              <w:spacing w:lineRule="auto" w:line="285" w:before="0" w:after="0"/>
              <w:ind w:left="0" w:right="0" w:hanging="0"/>
              <w:jc w:val="both"/>
              <w:rPr/>
            </w:pPr>
            <w:r>
              <w:rPr/>
              <w:t>​</w:t>
            </w:r>
          </w:p>
        </w:tc>
        <w:tc>
          <w:tcPr>
            <w:tcW w:w="6436" w:type="dxa"/>
            <w:tcBorders/>
            <w:shd w:fill="005670" w:val="clear"/>
            <w:vAlign w:val="center"/>
          </w:tcPr>
          <w:p>
            <w:pPr>
              <w:pStyle w:val="TableContents"/>
              <w:bidi w:val="0"/>
              <w:spacing w:lineRule="auto" w:line="285" w:before="0" w:after="0"/>
              <w:ind w:left="0" w:right="0" w:hanging="0"/>
              <w:jc w:val="center"/>
              <w:rPr>
                <w:rFonts w:ascii="Arial;Helvetica;sans-serif" w:hAnsi="Arial;Helvetica;sans-serif"/>
                <w:color w:val="FFFFFF"/>
                <w:sz w:val="20"/>
              </w:rPr>
            </w:pPr>
            <w:r>
              <w:rPr>
                <w:rFonts w:ascii="Arial;Helvetica;sans-serif" w:hAnsi="Arial;Helvetica;sans-serif"/>
                <w:color w:val="FFFFFF"/>
                <w:sz w:val="20"/>
              </w:rPr>
              <w:t>COMPANY SELECTED METRICS</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6436" w:type="dxa"/>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Relative Total Shareholder Return</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6436" w:type="dxa"/>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Adjusted EBITDA</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6436"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Uptime</w:t>
            </w:r>
            <w:r>
              <w:rPr>
                <w:rFonts w:ascii="Arial;Helvetica;sans-serif" w:hAnsi="Arial;Helvetica;sans-serif"/>
                <w:sz w:val="15"/>
              </w:rPr>
              <w:t>(1)</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6436"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Environmental and Safety</w:t>
            </w:r>
            <w:r>
              <w:rPr>
                <w:rFonts w:ascii="Arial;Helvetica;sans-serif" w:hAnsi="Arial;Helvetica;sans-serif"/>
                <w:sz w:val="15"/>
              </w:rPr>
              <w:t>(2)</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6436"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Company Free Cash Flow</w:t>
            </w:r>
            <w:r>
              <w:rPr>
                <w:rFonts w:ascii="Arial;Helvetica;sans-serif" w:hAnsi="Arial;Helvetica;sans-serif"/>
                <w:sz w:val="15"/>
              </w:rPr>
              <w:t>(3)</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6436"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6436" w:type="dxa"/>
            <w:tcBorders/>
            <w:vAlign w:val="center"/>
          </w:tcPr>
          <w:p>
            <w:pPr>
              <w:pStyle w:val="TableContents"/>
              <w:bidi w:val="0"/>
              <w:spacing w:lineRule="auto" w:line="285" w:before="0" w:after="0"/>
              <w:jc w:val="left"/>
              <w:rPr>
                <w:rFonts w:ascii="Arial;Helvetica;sans-serif" w:hAnsi="Arial;Helvetica;sans-serif"/>
                <w:sz w:val="16"/>
              </w:rPr>
            </w:pPr>
            <w:r>
              <w:rPr>
                <w:rFonts w:ascii="Arial;Helvetica;sans-serif" w:hAnsi="Arial;Helvetica;sans-serif"/>
                <w:sz w:val="16"/>
              </w:rPr>
              <w:t>(1)</w:t>
            </w:r>
          </w:p>
          <w:p>
            <w:pPr>
              <w:pStyle w:val="TableContents"/>
              <w:bidi w:val="0"/>
              <w:spacing w:lineRule="auto" w:line="285"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This is a non-financial performance measurement that is defined in the CD&amp;A</w:t>
            </w:r>
          </w:p>
          <w:p>
            <w:pPr>
              <w:pStyle w:val="TableContents"/>
              <w:bidi w:val="0"/>
              <w:spacing w:lineRule="auto" w:line="285" w:before="0" w:after="0"/>
              <w:jc w:val="left"/>
              <w:rPr>
                <w:rFonts w:ascii="Arial;Helvetica;sans-serif" w:hAnsi="Arial;Helvetica;sans-serif"/>
                <w:sz w:val="16"/>
              </w:rPr>
            </w:pPr>
            <w:r>
              <w:rPr>
                <w:rFonts w:ascii="Arial;Helvetica;sans-serif" w:hAnsi="Arial;Helvetica;sans-serif"/>
                <w:sz w:val="16"/>
              </w:rPr>
              <w:t>(2)</w:t>
            </w:r>
          </w:p>
          <w:p>
            <w:pPr>
              <w:pStyle w:val="TableContents"/>
              <w:bidi w:val="0"/>
              <w:spacing w:lineRule="auto" w:line="285"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Specific Company developed environmental &amp; safety targets are explained in the CD&amp;A</w:t>
            </w:r>
          </w:p>
          <w:p>
            <w:pPr>
              <w:pStyle w:val="TableContents"/>
              <w:bidi w:val="0"/>
              <w:spacing w:lineRule="auto" w:line="285" w:before="0" w:after="0"/>
              <w:jc w:val="left"/>
              <w:rPr>
                <w:rFonts w:ascii="Arial;Helvetica;sans-serif" w:hAnsi="Arial;Helvetica;sans-serif"/>
                <w:sz w:val="16"/>
              </w:rPr>
            </w:pPr>
            <w:r>
              <w:rPr>
                <w:rFonts w:ascii="Arial;Helvetica;sans-serif" w:hAnsi="Arial;Helvetica;sans-serif"/>
                <w:sz w:val="16"/>
              </w:rPr>
              <w:t>(3)</w:t>
            </w:r>
          </w:p>
          <w:p>
            <w:pPr>
              <w:pStyle w:val="TableContents"/>
              <w:bidi w:val="0"/>
              <w:spacing w:lineRule="auto" w:line="285"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Details for Company Free Cash Flow performance are explained in the CD&amp;A</w:t>
            </w:r>
          </w:p>
        </w:tc>
        <w:tc>
          <w:tcPr>
            <w:tcW w:w="154" w:type="dxa"/>
            <w:tcBorders/>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tLeast" w:line="200" w:before="0" w:after="0"/>
        <w:ind w:left="0" w:right="0" w:hanging="0"/>
        <w:jc w:val="both"/>
        <w:rPr>
          <w:rFonts w:ascii="Arial;Helvetica;sans-serif" w:hAnsi="Arial;Helvetica;sans-serif"/>
          <w:sz w:val="20"/>
        </w:rPr>
      </w:pPr>
      <w:r>
        <w:rPr>
          <w:rFonts w:ascii="Arial;Helvetica;sans-serif" w:hAnsi="Arial;Helvetica;sans-serif"/>
          <w:sz w:val="20"/>
        </w:rPr>
        <w:t xml:space="preserve">The following charts display the relationship between the Compensation Actually Paid to our CEO and the average of our non-CEO Named Executive Officers with the key performance measures of Company Total Shareholder Return (TSR), net income and Adjusted EBITDA. Also included is the Company TSR, calculated for the one-, two-, three-, four- and five-year period based on an initial $100 investment with a comparison to our peers based upon the </w:t>
      </w:r>
      <w:r>
        <w:rPr>
          <w:rFonts w:ascii="Arial;Helvetica;sans-serif" w:hAnsi="Arial;Helvetica;sans-serif"/>
          <w:sz w:val="20"/>
          <w:shd w:fill="FFFFFF" w:val="clear"/>
        </w:rPr>
        <w:t>PHLX Oil Service Sector Index (OSX), a modified market weighted index composed of companies involved in the oil services sector that, in addition to containing Company stock, includes the stock of 14 other oil services sector companies.</w:t>
      </w:r>
      <w:r>
        <w:rPr>
          <w:rFonts w:ascii="Arial;Helvetica;sans-serif" w:hAnsi="Arial;Helvetica;sans-serif"/>
          <w:sz w:val="20"/>
        </w:rPr>
        <w:t xml:space="preserve"> Because the performance of Company stock, and the incremental changes in value of equity awards, is tied to the majority of the compensation actually paid to our executives (approximately 75% for our CEO), we have also included a chart displaying the annual TSR for the applicable periods presented. For additional information and context for our executive compensation practices, please refer to the CD&amp;A.</w:t>
      </w:r>
    </w:p>
    <w:p>
      <w:pPr>
        <w:pStyle w:val="TextBody"/>
        <w:bidi w:val="0"/>
        <w:spacing w:lineRule="auto" w:line="285" w:before="0" w:after="0"/>
        <w:ind w:left="0" w:right="0" w:hanging="0"/>
        <w:jc w:val="both"/>
        <w:rPr/>
      </w:pPr>
      <w:r>
        <w:rPr/>
        <w:t>​</w:t>
      </w:r>
    </w:p>
    <w:tbl>
      <w:tblPr>
        <w:tblW w:w="9347" w:type="dxa"/>
        <w:jc w:val="left"/>
        <w:tblInd w:w="0" w:type="dxa"/>
        <w:tblLayout w:type="fixed"/>
        <w:tblCellMar>
          <w:top w:w="0" w:type="dxa"/>
          <w:left w:w="0" w:type="dxa"/>
          <w:bottom w:w="0" w:type="dxa"/>
          <w:right w:w="0" w:type="dxa"/>
        </w:tblCellMar>
      </w:tblPr>
      <w:tblGrid>
        <w:gridCol w:w="4550"/>
        <w:gridCol w:w="4797"/>
      </w:tblGrid>
      <w:tr>
        <w:trPr/>
        <w:tc>
          <w:tcPr>
            <w:tcW w:w="4550" w:type="dxa"/>
            <w:tcBorders/>
            <w:vAlign w:val="center"/>
          </w:tcPr>
          <w:p>
            <w:pPr>
              <w:pStyle w:val="TableContents"/>
              <w:bidi w:val="0"/>
              <w:spacing w:lineRule="auto" w:line="285" w:before="0" w:after="0"/>
              <w:ind w:left="0" w:right="0" w:hanging="0"/>
              <w:jc w:val="both"/>
              <w:rPr/>
            </w:pPr>
            <w:r>
              <w:rPr/>
              <w:t>​</w:t>
            </w:r>
          </w:p>
        </w:tc>
        <w:tc>
          <w:tcPr>
            <w:tcW w:w="4797" w:type="dxa"/>
            <w:tcBorders/>
            <w:vAlign w:val="center"/>
          </w:tcPr>
          <w:p>
            <w:pPr>
              <w:pStyle w:val="TableContents"/>
              <w:bidi w:val="0"/>
              <w:spacing w:lineRule="auto" w:line="285" w:before="0" w:after="0"/>
              <w:ind w:left="0" w:right="0" w:hanging="0"/>
              <w:jc w:val="both"/>
              <w:rPr/>
            </w:pPr>
            <w:r>
              <w:rPr/>
              <w:t>​</w:t>
            </w:r>
          </w:p>
        </w:tc>
      </w:tr>
      <w:tr>
        <w:trPr/>
        <w:tc>
          <w:tcPr>
            <w:tcW w:w="4550" w:type="dxa"/>
            <w:tcBorders/>
            <w:vAlign w:val="center"/>
          </w:tcPr>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center"/>
              <w:rPr/>
            </w:pPr>
            <w:r>
              <w:rPr/>
              <w:t>  </w:t>
            </w:r>
          </w:p>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center"/>
              <w:rPr/>
            </w:pPr>
            <w:r>
              <w:rPr/>
              <w:drawing>
                <wp:inline distT="0" distB="0" distL="0" distR="0">
                  <wp:extent cx="2825115" cy="1730375"/>
                  <wp:effectExtent l="0" t="0" r="0" b="0"/>
                  <wp:docPr id="383"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127" descr=""/>
                          <pic:cNvPicPr>
                            <a:picLocks noChangeAspect="1" noChangeArrowheads="1"/>
                          </pic:cNvPicPr>
                        </pic:nvPicPr>
                        <pic:blipFill>
                          <a:blip r:embed="rId128"/>
                          <a:stretch>
                            <a:fillRect/>
                          </a:stretch>
                        </pic:blipFill>
                        <pic:spPr bwMode="auto">
                          <a:xfrm>
                            <a:off x="0" y="0"/>
                            <a:ext cx="2825115" cy="1730375"/>
                          </a:xfrm>
                          <a:prstGeom prst="rect">
                            <a:avLst/>
                          </a:prstGeom>
                        </pic:spPr>
                      </pic:pic>
                    </a:graphicData>
                  </a:graphic>
                </wp:inline>
              </w:drawing>
            </w:r>
          </w:p>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center"/>
              <w:rPr/>
            </w:pPr>
            <w:r>
              <w:rPr/>
              <w:t>  </w:t>
            </w:r>
          </w:p>
          <w:p>
            <w:pPr>
              <w:pStyle w:val="TableContents"/>
              <w:bidi w:val="0"/>
              <w:spacing w:lineRule="auto" w:line="285" w:before="0" w:after="0"/>
              <w:ind w:left="0" w:right="0" w:hanging="0"/>
              <w:jc w:val="center"/>
              <w:rPr/>
            </w:pPr>
            <w:r>
              <w:rPr/>
              <w:t>​</w:t>
            </w:r>
          </w:p>
        </w:tc>
        <w:tc>
          <w:tcPr>
            <w:tcW w:w="4797" w:type="dxa"/>
            <w:tcBorders/>
            <w:vAlign w:val="center"/>
          </w:tcPr>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center"/>
              <w:rPr/>
            </w:pPr>
            <w:r>
              <w:rPr/>
              <w:t>  </w:t>
            </w:r>
          </w:p>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center"/>
              <w:rPr/>
            </w:pPr>
            <w:r>
              <w:rPr/>
              <w:drawing>
                <wp:inline distT="0" distB="0" distL="0" distR="0">
                  <wp:extent cx="2962910" cy="1728470"/>
                  <wp:effectExtent l="0" t="0" r="0" b="0"/>
                  <wp:docPr id="384"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128" descr=""/>
                          <pic:cNvPicPr>
                            <a:picLocks noChangeAspect="1" noChangeArrowheads="1"/>
                          </pic:cNvPicPr>
                        </pic:nvPicPr>
                        <pic:blipFill>
                          <a:blip r:embed="rId129"/>
                          <a:stretch>
                            <a:fillRect/>
                          </a:stretch>
                        </pic:blipFill>
                        <pic:spPr bwMode="auto">
                          <a:xfrm>
                            <a:off x="0" y="0"/>
                            <a:ext cx="2962910" cy="1728470"/>
                          </a:xfrm>
                          <a:prstGeom prst="rect">
                            <a:avLst/>
                          </a:prstGeom>
                        </pic:spPr>
                      </pic:pic>
                    </a:graphicData>
                  </a:graphic>
                </wp:inline>
              </w:drawing>
            </w:r>
          </w:p>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center"/>
              <w:rPr/>
            </w:pPr>
            <w:r>
              <w:rPr/>
              <w:t>  </w:t>
            </w:r>
          </w:p>
          <w:p>
            <w:pPr>
              <w:pStyle w:val="TableContents"/>
              <w:bidi w:val="0"/>
              <w:spacing w:lineRule="auto" w:line="285" w:before="0" w:after="0"/>
              <w:ind w:left="0" w:right="0" w:hanging="0"/>
              <w:jc w:val="center"/>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P-112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lineRule="auto" w:line="285" w:before="0" w:after="0"/>
              <w:ind w:left="0" w:right="0" w:hanging="0"/>
              <w:jc w:val="both"/>
              <w:rPr/>
            </w:pPr>
            <w:r>
              <w:rPr/>
              <w:t>​</w:t>
            </w:r>
          </w:p>
        </w:tc>
        <w:tc>
          <w:tcPr>
            <w:tcW w:w="292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2926"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EXECUTIVE COMPENSATION</w:t>
            </w:r>
          </w:p>
        </w:tc>
      </w:tr>
    </w:tbl>
    <w:p>
      <w:pPr>
        <w:pStyle w:val="TextBody"/>
        <w:bidi w:val="0"/>
        <w:spacing w:lineRule="auto" w:line="285" w:before="0" w:after="0"/>
        <w:ind w:left="0" w:right="0" w:hanging="0"/>
        <w:jc w:val="both"/>
        <w:rPr/>
      </w:pPr>
      <w:r>
        <w:rPr/>
        <w:t>​</w:t>
      </w:r>
    </w:p>
    <w:tbl>
      <w:tblPr>
        <w:tblW w:w="9698" w:type="dxa"/>
        <w:jc w:val="left"/>
        <w:tblInd w:w="0" w:type="dxa"/>
        <w:tblLayout w:type="fixed"/>
        <w:tblCellMar>
          <w:top w:w="0" w:type="dxa"/>
          <w:left w:w="0" w:type="dxa"/>
          <w:bottom w:w="0" w:type="dxa"/>
          <w:right w:w="0" w:type="dxa"/>
        </w:tblCellMar>
      </w:tblPr>
      <w:tblGrid>
        <w:gridCol w:w="4691"/>
        <w:gridCol w:w="286"/>
        <w:gridCol w:w="4721"/>
      </w:tblGrid>
      <w:tr>
        <w:trPr/>
        <w:tc>
          <w:tcPr>
            <w:tcW w:w="4691"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center"/>
              <w:rPr/>
            </w:pPr>
            <w:r>
              <w:rPr/>
              <w:drawing>
                <wp:inline distT="0" distB="0" distL="0" distR="0">
                  <wp:extent cx="2825750" cy="1648460"/>
                  <wp:effectExtent l="0" t="0" r="0" b="0"/>
                  <wp:docPr id="385"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129" descr=""/>
                          <pic:cNvPicPr>
                            <a:picLocks noChangeAspect="1" noChangeArrowheads="1"/>
                          </pic:cNvPicPr>
                        </pic:nvPicPr>
                        <pic:blipFill>
                          <a:blip r:embed="rId130"/>
                          <a:stretch>
                            <a:fillRect/>
                          </a:stretch>
                        </pic:blipFill>
                        <pic:spPr bwMode="auto">
                          <a:xfrm>
                            <a:off x="0" y="0"/>
                            <a:ext cx="2825750" cy="1648460"/>
                          </a:xfrm>
                          <a:prstGeom prst="rect">
                            <a:avLst/>
                          </a:prstGeom>
                        </pic:spPr>
                      </pic:pic>
                    </a:graphicData>
                  </a:graphic>
                </wp:inline>
              </w:drawing>
            </w:r>
            <w:r>
              <w:rPr/>
              <w:t>  ​</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both"/>
              <w:rPr/>
            </w:pPr>
            <w:r>
              <w:rPr/>
              <w:t>​</w:t>
            </w:r>
          </w:p>
        </w:tc>
        <w:tc>
          <w:tcPr>
            <w:tcW w:w="286" w:type="dxa"/>
            <w:tcBorders/>
            <w:vAlign w:val="center"/>
          </w:tcPr>
          <w:p>
            <w:pPr>
              <w:pStyle w:val="TableContents"/>
              <w:bidi w:val="0"/>
              <w:spacing w:lineRule="auto" w:line="285" w:before="0" w:after="0"/>
              <w:ind w:left="0" w:right="0" w:hanging="0"/>
              <w:jc w:val="both"/>
              <w:rPr/>
            </w:pPr>
            <w:r>
              <w:rPr/>
              <w:t>​</w:t>
            </w:r>
          </w:p>
        </w:tc>
        <w:tc>
          <w:tcPr>
            <w:tcW w:w="4721"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center"/>
              <w:rPr/>
            </w:pPr>
            <w:r>
              <w:rPr/>
              <w:drawing>
                <wp:inline distT="0" distB="0" distL="0" distR="0">
                  <wp:extent cx="2825750" cy="1648460"/>
                  <wp:effectExtent l="0" t="0" r="0" b="0"/>
                  <wp:docPr id="386"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30" descr=""/>
                          <pic:cNvPicPr>
                            <a:picLocks noChangeAspect="1" noChangeArrowheads="1"/>
                          </pic:cNvPicPr>
                        </pic:nvPicPr>
                        <pic:blipFill>
                          <a:blip r:embed="rId131"/>
                          <a:stretch>
                            <a:fillRect/>
                          </a:stretch>
                        </pic:blipFill>
                        <pic:spPr bwMode="auto">
                          <a:xfrm>
                            <a:off x="0" y="0"/>
                            <a:ext cx="2825750" cy="1648460"/>
                          </a:xfrm>
                          <a:prstGeom prst="rect">
                            <a:avLst/>
                          </a:prstGeom>
                        </pic:spPr>
                      </pic:pic>
                    </a:graphicData>
                  </a:graphic>
                </wp:inline>
              </w:drawing>
            </w:r>
            <w:r>
              <w:rPr/>
              <w:t>  ​</w:t>
            </w:r>
          </w:p>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both"/>
              <w:rPr/>
            </w:pPr>
            <w:r>
              <w:rPr/>
              <w:t>​</w:t>
            </w:r>
          </w:p>
        </w:tc>
      </w:tr>
      <w:tr>
        <w:trPr/>
        <w:tc>
          <w:tcPr>
            <w:tcW w:w="4691" w:type="dxa"/>
            <w:tcBorders/>
            <w:vAlign w:val="center"/>
          </w:tcPr>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center"/>
              <w:rPr/>
            </w:pPr>
            <w:r>
              <w:rPr/>
              <w:t>  </w:t>
            </w:r>
          </w:p>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center"/>
              <w:rPr/>
            </w:pPr>
            <w:r>
              <w:rPr/>
              <w:drawing>
                <wp:inline distT="0" distB="0" distL="0" distR="0">
                  <wp:extent cx="2825750" cy="1648460"/>
                  <wp:effectExtent l="0" t="0" r="0" b="0"/>
                  <wp:docPr id="387"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131" descr=""/>
                          <pic:cNvPicPr>
                            <a:picLocks noChangeAspect="1" noChangeArrowheads="1"/>
                          </pic:cNvPicPr>
                        </pic:nvPicPr>
                        <pic:blipFill>
                          <a:blip r:embed="rId132"/>
                          <a:stretch>
                            <a:fillRect/>
                          </a:stretch>
                        </pic:blipFill>
                        <pic:spPr bwMode="auto">
                          <a:xfrm>
                            <a:off x="0" y="0"/>
                            <a:ext cx="2825750" cy="1648460"/>
                          </a:xfrm>
                          <a:prstGeom prst="rect">
                            <a:avLst/>
                          </a:prstGeom>
                        </pic:spPr>
                      </pic:pic>
                    </a:graphicData>
                  </a:graphic>
                </wp:inline>
              </w:drawing>
            </w:r>
          </w:p>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center"/>
              <w:rPr/>
            </w:pPr>
            <w:r>
              <w:rPr/>
              <w:t>  </w:t>
            </w:r>
          </w:p>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center"/>
              <w:rPr/>
            </w:pPr>
            <w:r>
              <w:rPr/>
              <w:t>​</w:t>
            </w:r>
          </w:p>
        </w:tc>
        <w:tc>
          <w:tcPr>
            <w:tcW w:w="286" w:type="dxa"/>
            <w:tcBorders/>
            <w:vAlign w:val="center"/>
          </w:tcPr>
          <w:p>
            <w:pPr>
              <w:pStyle w:val="TableContents"/>
              <w:bidi w:val="0"/>
              <w:spacing w:lineRule="auto" w:line="285" w:before="0" w:after="0"/>
              <w:ind w:left="0" w:right="0" w:hanging="0"/>
              <w:jc w:val="left"/>
              <w:rPr/>
            </w:pPr>
            <w:r>
              <w:rPr/>
              <w:t>  ​ ​</w:t>
            </w:r>
          </w:p>
        </w:tc>
        <w:tc>
          <w:tcPr>
            <w:tcW w:w="4721" w:type="dxa"/>
            <w:tcBorders/>
            <w:vAlign w:val="center"/>
          </w:tcPr>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center"/>
              <w:rPr/>
            </w:pPr>
            <w:r>
              <w:rPr/>
              <w:t>  </w:t>
            </w:r>
          </w:p>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center"/>
              <w:rPr/>
            </w:pPr>
            <w:r>
              <w:rPr/>
              <w:drawing>
                <wp:inline distT="0" distB="0" distL="0" distR="0">
                  <wp:extent cx="2825750" cy="1648460"/>
                  <wp:effectExtent l="0" t="0" r="0" b="0"/>
                  <wp:docPr id="388"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132" descr=""/>
                          <pic:cNvPicPr>
                            <a:picLocks noChangeAspect="1" noChangeArrowheads="1"/>
                          </pic:cNvPicPr>
                        </pic:nvPicPr>
                        <pic:blipFill>
                          <a:blip r:embed="rId133"/>
                          <a:stretch>
                            <a:fillRect/>
                          </a:stretch>
                        </pic:blipFill>
                        <pic:spPr bwMode="auto">
                          <a:xfrm>
                            <a:off x="0" y="0"/>
                            <a:ext cx="2825750" cy="1648460"/>
                          </a:xfrm>
                          <a:prstGeom prst="rect">
                            <a:avLst/>
                          </a:prstGeom>
                        </pic:spPr>
                      </pic:pic>
                    </a:graphicData>
                  </a:graphic>
                </wp:inline>
              </w:drawing>
            </w:r>
          </w:p>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center"/>
              <w:rPr/>
            </w:pPr>
            <w:r>
              <w:rPr/>
              <w:t>  </w:t>
            </w:r>
          </w:p>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center"/>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P-113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Arial;Helvetica;sans-serif" w:hAnsi="Arial;Helvetica;sans-serif"/>
          <w:b/>
          <w:color w:val="ECA44A"/>
          <w:sz w:val="40"/>
        </w:rPr>
      </w:pPr>
      <w:bookmarkStart w:id="332" w:name="EQUITYCOMPENSATIONPLANINFORMATION"/>
      <w:bookmarkStart w:id="333" w:name="_7e1c5710_2756_4315_9550_dde5385146b5"/>
      <w:bookmarkEnd w:id="332"/>
      <w:bookmarkEnd w:id="333"/>
      <w:r>
        <w:rPr>
          <w:rFonts w:ascii="Arial;Helvetica;sans-serif" w:hAnsi="Arial;Helvetica;sans-serif"/>
          <w:b/>
          <w:color w:val="ECA44A"/>
          <w:sz w:val="40"/>
        </w:rPr>
        <w:t>EQUITY COMPENSATION PLAN INFORMATION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following table provides information concerning securities authorized for issuance under our equity compensation plans as of December 31, 2025.</w:t>
      </w:r>
    </w:p>
    <w:tbl>
      <w:tblPr>
        <w:tblW w:w="10205" w:type="dxa"/>
        <w:jc w:val="left"/>
        <w:tblInd w:w="0" w:type="dxa"/>
        <w:tblLayout w:type="fixed"/>
        <w:tblCellMar>
          <w:top w:w="0" w:type="dxa"/>
          <w:left w:w="0" w:type="dxa"/>
          <w:bottom w:w="0" w:type="dxa"/>
          <w:right w:w="0" w:type="dxa"/>
        </w:tblCellMar>
      </w:tblPr>
      <w:tblGrid>
        <w:gridCol w:w="3333"/>
        <w:gridCol w:w="346"/>
        <w:gridCol w:w="1751"/>
        <w:gridCol w:w="346"/>
        <w:gridCol w:w="1883"/>
        <w:gridCol w:w="346"/>
        <w:gridCol w:w="2200"/>
      </w:tblGrid>
      <w:tr>
        <w:trPr/>
        <w:tc>
          <w:tcPr>
            <w:tcW w:w="3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16455" cy="175260"/>
                      <wp:effectExtent l="0" t="0" r="0" b="0"/>
                      <wp:wrapNone/>
                      <wp:docPr id="389" name="Frame257"/>
                      <a:graphic xmlns:a="http://schemas.openxmlformats.org/drawingml/2006/main">
                        <a:graphicData uri="http://schemas.microsoft.com/office/word/2010/wordprocessingShape">
                          <wps:wsp>
                            <wps:cNvSpPr txBox="1"/>
                            <wps:spPr>
                              <a:xfrm>
                                <a:off x="0" y="0"/>
                                <a:ext cx="211645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90"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111885" cy="175260"/>
                      <wp:effectExtent l="0" t="0" r="0" b="0"/>
                      <wp:wrapNone/>
                      <wp:docPr id="391" name="Frame259"/>
                      <a:graphic xmlns:a="http://schemas.openxmlformats.org/drawingml/2006/main">
                        <a:graphicData uri="http://schemas.microsoft.com/office/word/2010/wordprocessingShape">
                          <wps:wsp>
                            <wps:cNvSpPr txBox="1"/>
                            <wps:spPr>
                              <a:xfrm>
                                <a:off x="0" y="0"/>
                                <a:ext cx="11118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2"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195705" cy="175260"/>
                      <wp:effectExtent l="0" t="0" r="0" b="0"/>
                      <wp:wrapNone/>
                      <wp:docPr id="393" name="Frame261"/>
                      <a:graphic xmlns:a="http://schemas.openxmlformats.org/drawingml/2006/main">
                        <a:graphicData uri="http://schemas.microsoft.com/office/word/2010/wordprocessingShape">
                          <wps:wsp>
                            <wps:cNvSpPr txBox="1"/>
                            <wps:spPr>
                              <a:xfrm>
                                <a:off x="0" y="0"/>
                                <a:ext cx="119570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4"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97000" cy="175260"/>
                      <wp:effectExtent l="0" t="0" r="0" b="0"/>
                      <wp:wrapNone/>
                      <wp:docPr id="395" name="Frame263"/>
                      <a:graphic xmlns:a="http://schemas.openxmlformats.org/drawingml/2006/main">
                        <a:graphicData uri="http://schemas.microsoft.com/office/word/2010/wordprocessingShape">
                          <wps:wsp>
                            <wps:cNvSpPr txBox="1"/>
                            <wps:spPr>
                              <a:xfrm>
                                <a:off x="0" y="0"/>
                                <a:ext cx="139700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3333"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175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NUMBER OF</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1883"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  ​ ​ ​</w:t>
            </w:r>
          </w:p>
        </w:tc>
        <w:tc>
          <w:tcPr>
            <w:tcW w:w="2200" w:type="dxa"/>
            <w:tcBorders/>
            <w:vAlign w:val="center"/>
          </w:tcPr>
          <w:p>
            <w:pPr>
              <w:pStyle w:val="TableContents"/>
              <w:bidi w:val="0"/>
              <w:spacing w:lineRule="auto" w:line="285" w:before="0" w:after="0"/>
              <w:ind w:left="0" w:right="0" w:hanging="0"/>
              <w:jc w:val="center"/>
              <w:rPr>
                <w:color w:val="4B4F54"/>
              </w:rPr>
            </w:pPr>
            <w:r>
              <w:rPr>
                <w:color w:val="4B4F54"/>
              </w:rPr>
              <w:t>​</w:t>
            </w:r>
          </w:p>
        </w:tc>
      </w:tr>
      <w:tr>
        <w:trPr/>
        <w:tc>
          <w:tcPr>
            <w:tcW w:w="3333"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75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SECURITIES TO BE</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883"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b/>
                <w:color w:val="4B4F54"/>
                <w:sz w:val="16"/>
              </w:rPr>
              <w:t>WEIGHTED</w:t>
            </w:r>
            <w:r>
              <w:rPr>
                <w:rFonts w:ascii="Arial;Helvetica;sans-serif" w:hAnsi="Arial;Helvetica;sans-serif"/>
                <w:color w:val="4B4F54"/>
                <w:sz w:val="16"/>
              </w:rPr>
              <w:noBreakHyphen/>
            </w:r>
            <w:r>
              <w:rPr>
                <w:rFonts w:ascii="Arial;Helvetica;sans-serif" w:hAnsi="Arial;Helvetica;sans-serif"/>
                <w:b/>
                <w:color w:val="4B4F54"/>
                <w:sz w:val="16"/>
              </w:rPr>
              <w:t>AVERAGE</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00"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NUMBER OF SECURITIES</w:t>
            </w:r>
          </w:p>
        </w:tc>
      </w:tr>
      <w:tr>
        <w:trPr/>
        <w:tc>
          <w:tcPr>
            <w:tcW w:w="3333"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75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ISSUED UPON</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883"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EXERCISE PRICE</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00"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REMAINING AVAILABLE FOR</w:t>
            </w:r>
          </w:p>
        </w:tc>
      </w:tr>
      <w:tr>
        <w:trPr/>
        <w:tc>
          <w:tcPr>
            <w:tcW w:w="3333"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75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EXERCISE OF</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883"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OF OUTSTANDING</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00"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FUTURE ISSUANCE UNDER</w:t>
            </w:r>
          </w:p>
        </w:tc>
      </w:tr>
      <w:tr>
        <w:trPr/>
        <w:tc>
          <w:tcPr>
            <w:tcW w:w="3333"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75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OUTSTANDING OPTIONS,</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883"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OPTIONS, WARRANTS</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00"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EQUITY COMPENSATION PLANS</w:t>
            </w:r>
          </w:p>
        </w:tc>
      </w:tr>
      <w:tr>
        <w:trPr/>
        <w:tc>
          <w:tcPr>
            <w:tcW w:w="3333" w:type="dxa"/>
            <w:tcBorders/>
            <w:vAlign w:val="center"/>
          </w:tcPr>
          <w:p>
            <w:pPr>
              <w:pStyle w:val="TableContents"/>
              <w:bidi w:val="0"/>
              <w:spacing w:lineRule="auto" w:line="285" w:before="0" w:after="0"/>
              <w:ind w:left="0" w:right="0" w:hanging="0"/>
              <w:jc w:val="both"/>
              <w:rPr>
                <w:color w:val="4B4F54"/>
              </w:rPr>
            </w:pPr>
            <w:r>
              <w:rPr>
                <w:color w:val="4B4F54"/>
              </w:rPr>
              <w:t>​</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751"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WARRANTS AND RIGHTS</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883"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AND RIGHTS</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00" w:type="dxa"/>
            <w:tcBorders/>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(EXCLUDING SECURITIES</w:t>
            </w:r>
          </w:p>
        </w:tc>
      </w:tr>
      <w:tr>
        <w:trPr/>
        <w:tc>
          <w:tcPr>
            <w:tcW w:w="3333" w:type="dxa"/>
            <w:tcBorders>
              <w:bottom w:val="single" w:sz="12" w:space="0" w:color="ECA44A"/>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color w:val="4B4F54"/>
                <w:sz w:val="16"/>
              </w:rPr>
            </w:pPr>
            <w:r>
              <w:rPr>
                <w:rFonts w:ascii="Arial;Helvetica;sans-serif" w:hAnsi="Arial;Helvetica;sans-serif"/>
                <w:b/>
                <w:color w:val="4B4F54"/>
                <w:sz w:val="16"/>
              </w:rPr>
              <w:t>PLAN CATEGORY</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75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(A)</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1883"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4B4F54"/>
                <w:sz w:val="16"/>
              </w:rPr>
            </w:pPr>
            <w:r>
              <w:rPr>
                <w:rFonts w:ascii="Arial;Helvetica;sans-serif" w:hAnsi="Arial;Helvetica;sans-serif"/>
                <w:b/>
                <w:color w:val="4B4F54"/>
                <w:sz w:val="16"/>
              </w:rPr>
              <w:t>(B) (U.S.$)</w:t>
            </w:r>
          </w:p>
        </w:tc>
        <w:tc>
          <w:tcPr>
            <w:tcW w:w="346" w:type="dxa"/>
            <w:tcBorders/>
            <w:vAlign w:val="center"/>
          </w:tcPr>
          <w:p>
            <w:pPr>
              <w:pStyle w:val="TableContents"/>
              <w:bidi w:val="0"/>
              <w:spacing w:lineRule="auto" w:line="285" w:before="0" w:after="0"/>
              <w:ind w:left="0" w:right="0" w:hanging="0"/>
              <w:jc w:val="center"/>
              <w:rPr>
                <w:color w:val="4B4F54"/>
              </w:rPr>
            </w:pPr>
            <w:r>
              <w:rPr>
                <w:color w:val="4B4F54"/>
              </w:rPr>
              <w:t>​</w:t>
            </w:r>
          </w:p>
        </w:tc>
        <w:tc>
          <w:tcPr>
            <w:tcW w:w="2200" w:type="dxa"/>
            <w:tcBorders>
              <w:bottom w:val="single" w:sz="12" w:space="0" w:color="ECA44A"/>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6"/>
              </w:rPr>
            </w:pPr>
            <w:r>
              <w:rPr>
                <w:rFonts w:ascii="Arial;Helvetica;sans-serif" w:hAnsi="Arial;Helvetica;sans-serif"/>
                <w:b/>
                <w:color w:val="4B4F54"/>
                <w:sz w:val="16"/>
              </w:rPr>
              <w:t>REFLECTED IN COLUMN (A)) (C)</w:t>
            </w:r>
            <w:r>
              <w:rPr>
                <w:rFonts w:ascii="Arial;Helvetica;sans-serif" w:hAnsi="Arial;Helvetica;sans-serif"/>
                <w:b/>
                <w:color w:val="4B4F54"/>
                <w:sz w:val="12"/>
              </w:rPr>
              <w:t>(2)</w:t>
            </w:r>
          </w:p>
        </w:tc>
      </w:tr>
      <w:tr>
        <w:trPr/>
        <w:tc>
          <w:tcPr>
            <w:tcW w:w="3333" w:type="dxa"/>
            <w:tcBorders>
              <w:bottom w:val="single" w:sz="2" w:space="0" w:color="D9D9D9"/>
            </w:tcBorders>
            <w:tcMar>
              <w:bottom w:w="28" w:type="dxa"/>
            </w:tcMar>
            <w:vAlign w:val="center"/>
          </w:tcPr>
          <w:p>
            <w:pPr>
              <w:pStyle w:val="TableContents"/>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Equity compensation plans approved by security holders</w:t>
            </w:r>
            <w:r>
              <w:rPr>
                <w:rFonts w:ascii="Arial;Helvetica;sans-serif" w:hAnsi="Arial;Helvetica;sans-serif"/>
                <w:sz w:val="15"/>
              </w:rPr>
              <w:t>(1)</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75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4,052,328</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88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9.54</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2200"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54,405,396</w:t>
            </w:r>
          </w:p>
        </w:tc>
      </w:tr>
      <w:tr>
        <w:trPr/>
        <w:tc>
          <w:tcPr>
            <w:tcW w:w="333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Equity compensation plans not approved by security holders</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75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88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2200"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pPr>
            <w:r>
              <w:rPr/>
              <w:t>—</w:t>
            </w:r>
          </w:p>
        </w:tc>
      </w:tr>
      <w:tr>
        <w:trPr/>
        <w:tc>
          <w:tcPr>
            <w:tcW w:w="333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Total</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751"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4,052,328</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88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9.54</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2200" w:type="dxa"/>
            <w:tcBorders>
              <w:bottom w:val="single" w:sz="2" w:space="0" w:color="D9D9D9"/>
            </w:tcBorders>
            <w:tcMar>
              <w:bottom w:w="28" w:type="dxa"/>
            </w:tcMar>
            <w:vAlign w:val="center"/>
          </w:tcPr>
          <w:p>
            <w:pPr>
              <w:pStyle w:val="TableContents"/>
              <w:bidi w:val="0"/>
              <w:spacing w:lineRule="auto" w:line="285" w:before="0" w:after="0"/>
              <w:ind w:left="0" w:right="60" w:hanging="0"/>
              <w:jc w:val="right"/>
              <w:rPr>
                <w:rFonts w:ascii="Arial;Helvetica;sans-serif" w:hAnsi="Arial;Helvetica;sans-serif"/>
                <w:sz w:val="20"/>
              </w:rPr>
            </w:pPr>
            <w:r>
              <w:rPr>
                <w:rFonts w:ascii="Arial;Helvetica;sans-serif" w:hAnsi="Arial;Helvetica;sans-serif"/>
                <w:sz w:val="20"/>
              </w:rPr>
              <w:t>54,405,396</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08"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We may also grant restricted share units and other forms of share-based awards under our long-term incentive plans previously approved by our shareholders. At December 31, 2025, we had 37,335,084 shares available for future issuance pursuant to grants of restricted share units. </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02"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 February 2026, we granted share-based awards to our employees, following which we had 29,923,470 shares remaining available under our existing authorization to grant future share-based awards under our long-term incentive plan.</w:t>
            </w:r>
          </w:p>
        </w:tc>
      </w:tr>
    </w:tbl>
    <w:p>
      <w:pPr>
        <w:pStyle w:val="TextBody"/>
        <w:bidi w:val="0"/>
        <w:spacing w:lineRule="auto" w:line="285" w:before="0" w:after="0"/>
        <w:ind w:left="0" w:right="360" w:hanging="0"/>
        <w:jc w:val="both"/>
        <w:rPr/>
      </w:pPr>
      <w:r>
        <w:rPr/>
        <w:t>​</w:t>
      </w:r>
    </w:p>
    <w:p>
      <w:pPr>
        <w:pStyle w:val="TextBody"/>
        <w:bidi w:val="0"/>
        <w:spacing w:lineRule="auto" w:line="285" w:before="0" w:after="0"/>
        <w:ind w:left="0" w:right="36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P-114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rFonts w:ascii="Arial;Helvetica;sans-serif" w:hAnsi="Arial;Helvetica;sans-serif"/>
          <w:b/>
          <w:color w:val="ECA44A"/>
          <w:sz w:val="40"/>
        </w:rPr>
      </w:pPr>
      <w:bookmarkStart w:id="334" w:name="OTHERMATTERS"/>
      <w:bookmarkStart w:id="335" w:name="_624b929d_0714_4448_951c_3c89c69e0fe8"/>
      <w:bookmarkEnd w:id="334"/>
      <w:bookmarkEnd w:id="335"/>
      <w:r>
        <w:rPr>
          <w:rFonts w:ascii="Arial;Helvetica;sans-serif" w:hAnsi="Arial;Helvetica;sans-serif"/>
          <w:b/>
          <w:color w:val="ECA44A"/>
          <w:sz w:val="40"/>
        </w:rPr>
        <w:t>OTHER MATTERS</w:t>
      </w:r>
    </w:p>
    <w:p>
      <w:pPr>
        <w:pStyle w:val="TextBody"/>
        <w:pBdr/>
        <w:bidi w:val="0"/>
        <w:spacing w:lineRule="auto" w:line="285" w:before="0" w:after="200"/>
        <w:ind w:left="0" w:right="0" w:hanging="220"/>
        <w:jc w:val="both"/>
        <w:rPr>
          <w:rFonts w:ascii="Arial;Helvetica;sans-serif" w:hAnsi="Arial;Helvetica;sans-serif"/>
          <w:sz w:val="32"/>
        </w:rPr>
      </w:pPr>
      <w:r>
        <w:rPr>
          <w:rFonts w:ascii="Arial;Helvetica;sans-serif" w:hAnsi="Arial;Helvetica;sans-serif"/>
          <w:sz w:val="32"/>
        </w:rPr>
        <w:t>Compensation Committee Interlocks and Insider Participation</w:t>
      </w:r>
    </w:p>
    <w:p>
      <w:pPr>
        <w:pStyle w:val="TextBody"/>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The members of the Compensation Committee of the Board of Directors during fiscal year 2025 were Glyn A. Barker, Chair, Vanessa C.L. Chang and Frederico F. Curado. There are no matters relating to interlocks or insider participation that we are required to report.</w:t>
      </w:r>
    </w:p>
    <w:p>
      <w:pPr>
        <w:pStyle w:val="TextBody"/>
        <w:pBdr/>
        <w:bidi w:val="0"/>
        <w:spacing w:lineRule="auto" w:line="285" w:before="0" w:after="200"/>
        <w:ind w:left="0" w:right="0" w:hanging="220"/>
        <w:jc w:val="both"/>
        <w:rPr>
          <w:rFonts w:ascii="Arial;Helvetica;sans-serif" w:hAnsi="Arial;Helvetica;sans-serif"/>
          <w:sz w:val="32"/>
        </w:rPr>
      </w:pPr>
      <w:r>
        <w:rPr>
          <w:rFonts w:ascii="Arial;Helvetica;sans-serif" w:hAnsi="Arial;Helvetica;sans-serif"/>
          <w:sz w:val="32"/>
        </w:rPr>
        <w:t>Householding</w:t>
      </w:r>
    </w:p>
    <w:p>
      <w:pPr>
        <w:pStyle w:val="TextBody"/>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The SEC permits us, under certain circumstances, to send a single set of the Notice, proxy materials, and annual reports to any household at which two or more shareholders reside if they appear to be members of the same family. This procedure, referred to as householding, reduces the volume of duplicate information shareholders receive and reduces mailing and printing expenses.</w:t>
      </w:r>
    </w:p>
    <w:p>
      <w:pPr>
        <w:pStyle w:val="TextBody"/>
        <w:bidi w:val="0"/>
        <w:spacing w:lineRule="auto" w:line="285" w:before="120" w:after="120"/>
        <w:ind w:left="0" w:right="0" w:hanging="0"/>
        <w:jc w:val="both"/>
        <w:rPr>
          <w:rFonts w:ascii="Arial;Helvetica;sans-serif" w:hAnsi="Arial;Helvetica;sans-serif"/>
          <w:sz w:val="20"/>
        </w:rPr>
      </w:pPr>
      <w:r>
        <w:rPr>
          <w:rFonts w:ascii="Arial;Helvetica;sans-serif" w:hAnsi="Arial;Helvetica;sans-serif"/>
          <w:sz w:val="20"/>
        </w:rPr>
        <w:t>In order to take advantage of this opportunity, we have delivered only one copy of the Notice or, if you previously requested to receive paper proxy materials by mail, one proxy statement and annual report to shareholders who share an address (unless we received contrary instructions from one or more of the affected shareholders prior to the mailing date). However, if any such shareholder residing at such an address wishes to receive a separate copy of any of these documents either now or in the future, or if any such shareholder who elected to continue to receive separate copies wishes to receive a single copy in the future, that shareholder should send a request in writing to Investor Relations at our offices in the United States, at 1414 Enclave Parkway, Houston, Texas 77077 or by calling +1 (713) 232-7500. We will deliver, promptly upon written or oral request to Investor Relations, a separate copy of the Notice, proxy materials or annual report, as applicable, to a shareholder at a shared address to which a single copy of the documents was delivered.</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 number of brokerage firms have instituted householding. If your family or others with a shared address have one or more “street name” accounts under which you beneficially own shares, you may have received householding information from your broker/dealer, financial institution or other nominee in the past. Please contact the holder of record directly if you have questions, require additional copies of the proxy materials or wish to revoke your decision to household and thereby receive multiple copies.</w:t>
      </w:r>
    </w:p>
    <w:p>
      <w:pPr>
        <w:pStyle w:val="TextBody"/>
        <w:pBdr/>
        <w:bidi w:val="0"/>
        <w:spacing w:lineRule="auto" w:line="285" w:before="0" w:after="200"/>
        <w:ind w:left="0" w:right="0" w:hanging="220"/>
        <w:jc w:val="both"/>
        <w:rPr>
          <w:rFonts w:ascii="Arial;Helvetica;sans-serif" w:hAnsi="Arial;Helvetica;sans-serif"/>
          <w:sz w:val="32"/>
        </w:rPr>
      </w:pPr>
      <w:r>
        <w:rPr>
          <w:rFonts w:ascii="Arial;Helvetica;sans-serif" w:hAnsi="Arial;Helvetica;sans-serif"/>
          <w:sz w:val="32"/>
        </w:rPr>
        <w:t>Proposals of Shareholders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i/>
          <w:sz w:val="20"/>
        </w:rPr>
        <w:t>Shareholder Proposals in the Proxy Statement.</w:t>
      </w:r>
      <w:r>
        <w:rPr>
          <w:rFonts w:ascii="Arial;Helvetica;sans-serif" w:hAnsi="Arial;Helvetica;sans-serif"/>
          <w:sz w:val="20"/>
        </w:rPr>
        <w:t xml:space="preserve"> Rule 14a-8 under the Exchange Act addresses when a company must include a shareholder’s proposal in its proxy statement and identify the proposal in its form of proxy when the company holds an annual or special meeting of shareholders. Under Rule 14a-8, in order for your proposals to be considered for inclusion in the proxy statement and proxy card relating to our 2026 Annual General Meeting, your proposals must be received at our principal executive offices c/o Transocean Ltd., Turmstrasse 30, 6312 Steinhausen, Switzerland by no later than 5:00 p.m. Swiss time on December 1, 2026. However, if the date of the 2027 Annual General Meeting changes by more than 30 days from the anniversary of the 2026 Annual General Meeting, the deadline is a reasonable time before we begin to print and mail our proxy materials. We will notify you of this deadline in a Quarterly Report on Form 10-Q, in a Current Report on Form 8-K or in another communication to you. Shareholder proposals must also be otherwise eligible for inclusion.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i/>
          <w:sz w:val="20"/>
        </w:rPr>
        <w:t>Shareholder Proposals and Nominations for Directors to be Presented at Meetings.</w:t>
      </w:r>
      <w:r>
        <w:rPr>
          <w:rFonts w:ascii="Arial;Helvetica;sans-serif" w:hAnsi="Arial;Helvetica;sans-serif"/>
          <w:sz w:val="20"/>
        </w:rPr>
        <w:t xml:space="preserve"> If you desire to bring a matter before an annual general meeting and the proposal is submitted outside the process of Rule 14a-8, you must follow the procedures set forth in our Articles of Association. Our Articles of Association provide generally that, if you desire to propose any business at an annual general meeting (including the nomination of any director), you must give us written notice at least 30 calendar days prior to the anniversary date of the proxy statement in connection with Transocean’s last annual general meeting; provided, however, that if the date of the annual general meeting is 30 calendar days before or after the anniversary date of the last annual general meeting, such request must instead be made by the tenth day following the date on which we have made public disclosure of the date of the annual general meeting. The deadline under our Articles of Association for submitting proposals will be 5:00 p.m. Swiss time on March 1, 2027, for the 2027 Annual General Meeting unless it is more than 30 calendar days before or after May 22, 2027.</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P-115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955" w:type="dxa"/>
        <w:jc w:val="left"/>
        <w:tblInd w:w="0" w:type="dxa"/>
        <w:tblLayout w:type="fixed"/>
        <w:tblCellMar>
          <w:top w:w="0" w:type="dxa"/>
          <w:left w:w="0" w:type="dxa"/>
          <w:bottom w:w="0" w:type="dxa"/>
          <w:right w:w="0" w:type="dxa"/>
        </w:tblCellMar>
      </w:tblPr>
      <w:tblGrid>
        <w:gridCol w:w="1801"/>
        <w:gridCol w:w="154"/>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80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OTHER MATTERS</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 order for the notice to be considered timely under Rule 14a-4(c) of the Exchange Act, proposals must be received no later than 5:00 p.m. Swiss time on February 14, 2027. The request must specify the relevant agenda items and motions, together with evidence of the required shareholdings recorded in the share register, as well as any other information required to be included in a proxy statement pursuant to the rules of the SEC.</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If you desire to nominate directors to be presented at an annual general meeting, you must give us written notice within the time period described in the preceding paragraphs. If you desire to nominate directors to be presented at an extraordinary general meeting at which the Board of Directors has determined that directors will be elected, you must give us written notice by the close of business on the tenth day following our public disclosure of the meeting date. Notice for the nomination of directors at any general meeting must set forth:</w:t>
      </w:r>
    </w:p>
    <w:p>
      <w:pPr>
        <w:pStyle w:val="TextBody"/>
        <w:bidi w:val="0"/>
        <w:spacing w:lineRule="auto" w:line="285" w:before="0" w:after="200"/>
        <w:ind w:left="0" w:right="0" w:hanging="0"/>
        <w:jc w:val="both"/>
        <w:rPr/>
      </w:pPr>
      <w:r>
        <w:rPr/>
        <w:t>​</w:t>
      </w:r>
    </w:p>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Your name and address and the name and address of the person or persons to be nominated;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representation that you are a holder of record of our shares entitled to vote at the meeting or, if the record date for the meeting is subsequent to the date required for that shareholder notice, a representation that you are a holder of record at the time of the notice and intend to be a holder of record on the date of the meeting and; in either case, setting forth the class and number of shares so held, including shares held beneficially;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representation that you intend to appear in person (if permitted) or by proxy as a holder of record at the meeting to nominate the person or persons specified in the notice;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description of all arrangements or understandings between you and each nominee you propose and any other person or persons under which the nomination or nominations are to be made by you;</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other information regarding each nominee you propose that would be required to be included in a proxy statement filed pursuant to the proxy rules of the SEC; and</w:t>
            </w:r>
          </w:p>
        </w:tc>
      </w:tr>
    </w:tbl>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consent of each nominee to serve as a director if so elected.</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In addition to satisfying the foregoing requirements under our Articles of Association, to comply with the universal proxy rules under Rule 14a-19 of the Exchange Act, shareholders who intend to solicit proxies in support of director nominees other than the Company’s nominees must provide notice that sets forth the information required by Rule 14a-19 of the Exchange Act no later than March 23, 2027.</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Board of Directors may refuse to transact any business you propose or to acknowledge your nomination of any person if you fail to comply with the foregoing procedures. You may obtain a copy of our Articles of Association and Organizational Regulations, in which these procedures are set forth, upon written request to our Corporate Secretary, Transocean Ltd., Turmstrasse 30, 6312 Steinhausen, Switzerland.</w:t>
      </w:r>
    </w:p>
    <w:p>
      <w:pPr>
        <w:pStyle w:val="TextBody"/>
        <w:pBdr/>
        <w:bidi w:val="0"/>
        <w:spacing w:lineRule="auto" w:line="285" w:before="0" w:after="200"/>
        <w:ind w:left="0" w:right="0" w:hanging="216"/>
        <w:jc w:val="both"/>
        <w:rPr>
          <w:rFonts w:ascii="Arial;Helvetica;sans-serif" w:hAnsi="Arial;Helvetica;sans-serif"/>
          <w:sz w:val="32"/>
        </w:rPr>
      </w:pPr>
      <w:r>
        <w:rPr>
          <w:rFonts w:ascii="Arial;Helvetica;sans-serif" w:hAnsi="Arial;Helvetica;sans-serif"/>
          <w:sz w:val="32"/>
        </w:rPr>
        <w:t>Cost of Solicitation</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The accompanying proxy is being solicited on behalf of the Board of Directors. The expenses of preparing, printing and mailing the proxy and the materials used in the solicitation will be borne by us. We have retained Georgeson LLC for a fee of $20,000, plus expenses, to aid in the solicitation of proxies. Proxies may be solicited by personal interview, mail, telephone, facsimile, internet or other means of electronic distribution by our directors, officers and employees, who will not receive additional compensation for those services. Arrangements also may be made with brokerage houses and other custodians, nominees and fiduciaries for the forwarding of solicitation materials to the beneficial owners of shares held by those persons, and we will reimburse them for reasonable expenses incurred by them in connection with the forwarding of solicitation materials.</w:t>
      </w:r>
    </w:p>
    <w:p>
      <w:pPr>
        <w:pStyle w:val="TextBody"/>
        <w:pBdr/>
        <w:bidi w:val="0"/>
        <w:spacing w:lineRule="auto" w:line="285" w:before="0" w:after="200"/>
        <w:ind w:left="0" w:right="0" w:hanging="220"/>
        <w:jc w:val="both"/>
        <w:rPr>
          <w:rFonts w:ascii="Arial;Helvetica;sans-serif" w:hAnsi="Arial;Helvetica;sans-serif"/>
          <w:sz w:val="32"/>
        </w:rPr>
      </w:pPr>
      <w:r>
        <w:rPr>
          <w:rFonts w:ascii="Arial;Helvetica;sans-serif" w:hAnsi="Arial;Helvetica;sans-serif"/>
          <w:sz w:val="32"/>
        </w:rPr>
        <w:t>Forward-Looking Statements</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The statements included in this proxy statement, including in the letter to shareholders and in the section entitled Compensation Discussion and Analysis—Executive Summary, regarding future financial performance, results of operations, liquidity, stacking of assets and the market and other statements that are not historical facts are forward-looking statements within the meaning of Section 27A of the Securities Act of 1933 and Section 21E of the Exchange Act. Forward-looking statements are subject to numerous risks, uncertainties and assumptions, including, but not limited to, the future prices of oil and gas, operating hazards and delays, actions by customers </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P-116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336" w:name="_b87bac86_c548_4802_b34e_c9f7911f539a"/>
      <w:bookmarkStart w:id="337" w:name="_b87bac86_c548_4802_b34e_c9f7911f539a"/>
      <w:bookmarkEnd w:id="337"/>
    </w:p>
    <w:tbl>
      <w:tblPr>
        <w:tblW w:w="1955" w:type="dxa"/>
        <w:jc w:val="left"/>
        <w:tblInd w:w="0" w:type="dxa"/>
        <w:tblLayout w:type="fixed"/>
        <w:tblCellMar>
          <w:top w:w="0" w:type="dxa"/>
          <w:left w:w="0" w:type="dxa"/>
          <w:bottom w:w="0" w:type="dxa"/>
          <w:right w:w="0" w:type="dxa"/>
        </w:tblCellMar>
      </w:tblPr>
      <w:tblGrid>
        <w:gridCol w:w="124"/>
        <w:gridCol w:w="1831"/>
      </w:tblGrid>
      <w:tr>
        <w:trPr/>
        <w:tc>
          <w:tcPr>
            <w:tcW w:w="124" w:type="dxa"/>
            <w:tcBorders/>
            <w:vAlign w:val="center"/>
          </w:tcPr>
          <w:p>
            <w:pPr>
              <w:pStyle w:val="TableContents"/>
              <w:bidi w:val="0"/>
              <w:spacing w:lineRule="auto" w:line="285" w:before="0" w:after="0"/>
              <w:ind w:left="0" w:right="0" w:hanging="0"/>
              <w:jc w:val="both"/>
              <w:rPr/>
            </w:pPr>
            <w:r>
              <w:rPr/>
              <w:t>​</w:t>
            </w:r>
          </w:p>
        </w:tc>
        <w:tc>
          <w:tcPr>
            <w:tcW w:w="183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83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OTHER MATTERS</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and other third parties, conditions in the drilling industry and in the capital markets and those described under “Item 1A. Risk Factors” of our annual report on Form 10-K for the year ended December 31, 2025, and in our other filings with the SEC. Should one or more of these risks or uncertainties materialize (or the other consequences of such a development worsen), or should underlying assumptions prove incorrect, actual results may vary materially from those indicated or expressed or implied by such forward-looking statements. 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pStyle w:val="TextBody"/>
        <w:bidi w:val="0"/>
        <w:spacing w:lineRule="auto" w:line="285" w:before="0" w:after="20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P-117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ECA44A"/>
          <w:sz w:val="40"/>
        </w:rPr>
      </w:pPr>
      <w:bookmarkStart w:id="338" w:name="APPENDIXA"/>
      <w:bookmarkStart w:id="339" w:name="_a15dcd04_24fc_4ba5_8906_266bbb1ea692"/>
      <w:bookmarkEnd w:id="338"/>
      <w:bookmarkEnd w:id="339"/>
      <w:r>
        <w:rPr>
          <w:rFonts w:ascii="Arial;Helvetica;sans-serif" w:hAnsi="Arial;Helvetica;sans-serif"/>
          <w:b/>
          <w:color w:val="ECA44A"/>
          <w:sz w:val="40"/>
        </w:rPr>
        <w:t>APPENDIX A</w:t>
      </w:r>
    </w:p>
    <w:p>
      <w:pPr>
        <w:pStyle w:val="TextBody"/>
        <w:bidi w:val="0"/>
        <w:spacing w:lineRule="auto" w:line="285" w:before="0" w:after="0"/>
        <w:ind w:left="0" w:right="0" w:hanging="0"/>
        <w:jc w:val="both"/>
        <w:rPr>
          <w:rFonts w:ascii="Arial;Helvetica;sans-serif" w:hAnsi="Arial;Helvetica;sans-serif"/>
          <w:b/>
          <w:sz w:val="20"/>
        </w:rPr>
      </w:pPr>
      <w:r>
        <w:rPr>
          <w:rFonts w:ascii="Arial;Helvetica;sans-serif" w:hAnsi="Arial;Helvetica;sans-serif"/>
          <w:b/>
          <w:sz w:val="20"/>
        </w:rPr>
        <w:t>TRANSOCEAN LTD. AND SUBSIDIARIES</w:t>
      </w:r>
    </w:p>
    <w:p>
      <w:pPr>
        <w:pStyle w:val="TextBody"/>
        <w:bidi w:val="0"/>
        <w:spacing w:lineRule="auto" w:line="285" w:before="0" w:after="0"/>
        <w:ind w:left="0" w:right="0" w:hanging="0"/>
        <w:jc w:val="both"/>
        <w:rPr>
          <w:rFonts w:ascii="Arial;Helvetica;sans-serif" w:hAnsi="Arial;Helvetica;sans-serif"/>
          <w:b/>
          <w:sz w:val="20"/>
        </w:rPr>
      </w:pPr>
      <w:r>
        <w:rPr>
          <w:rFonts w:ascii="Arial;Helvetica;sans-serif" w:hAnsi="Arial;Helvetica;sans-serif"/>
          <w:b/>
          <w:sz w:val="20"/>
        </w:rPr>
        <w:t>NON-GAAP FINANCIAL MEASURES AND RECONCILIATIONS</w:t>
      </w:r>
    </w:p>
    <w:p>
      <w:pPr>
        <w:pStyle w:val="TextBody"/>
        <w:bidi w:val="0"/>
        <w:spacing w:lineRule="auto" w:line="285" w:before="0" w:after="0"/>
        <w:ind w:left="0" w:right="0" w:hanging="0"/>
        <w:jc w:val="both"/>
        <w:rPr>
          <w:rFonts w:ascii="Arial;Helvetica;sans-serif" w:hAnsi="Arial;Helvetica;sans-serif"/>
          <w:b/>
          <w:sz w:val="20"/>
        </w:rPr>
      </w:pPr>
      <w:r>
        <w:rPr>
          <w:rFonts w:ascii="Arial;Helvetica;sans-serif" w:hAnsi="Arial;Helvetica;sans-serif"/>
          <w:b/>
          <w:sz w:val="20"/>
        </w:rPr>
        <w:t>EARNINGS BEFORE INTEREST, TAXES, DEPRECIATION AND AMORTIZATION AND RELATED MARGINS</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(in millions, except percentages)</w:t>
      </w:r>
    </w:p>
    <w:p>
      <w:pPr>
        <w:pStyle w:val="TextBody"/>
        <w:bidi w:val="0"/>
        <w:spacing w:lineRule="auto" w:line="285" w:before="0" w:after="0"/>
        <w:ind w:left="0" w:right="0" w:hanging="0"/>
        <w:jc w:val="both"/>
        <w:rPr/>
      </w:pPr>
      <w:r>
        <w:rPr/>
        <w:t>​</w:t>
      </w:r>
    </w:p>
    <w:tbl>
      <w:tblPr>
        <w:tblW w:w="6109" w:type="dxa"/>
        <w:jc w:val="left"/>
        <w:tblInd w:w="0" w:type="dxa"/>
        <w:tblLayout w:type="fixed"/>
        <w:tblCellMar>
          <w:top w:w="0" w:type="dxa"/>
          <w:left w:w="0" w:type="dxa"/>
          <w:bottom w:w="0" w:type="dxa"/>
          <w:right w:w="0" w:type="dxa"/>
        </w:tblCellMar>
      </w:tblPr>
      <w:tblGrid>
        <w:gridCol w:w="3586"/>
        <w:gridCol w:w="346"/>
        <w:gridCol w:w="453"/>
        <w:gridCol w:w="1393"/>
        <w:gridCol w:w="331"/>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277110" cy="175260"/>
                      <wp:effectExtent l="0" t="0" r="0" b="0"/>
                      <wp:wrapNone/>
                      <wp:docPr id="396" name="Frame264"/>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7"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87655" cy="175260"/>
                      <wp:effectExtent l="0" t="0" r="0" b="0"/>
                      <wp:wrapNone/>
                      <wp:docPr id="398" name="Frame266"/>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1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884555" cy="175260"/>
                      <wp:effectExtent l="0" t="0" r="0" b="0"/>
                      <wp:wrapNone/>
                      <wp:docPr id="399" name="Frame267"/>
                      <a:graphic xmlns:a="http://schemas.openxmlformats.org/drawingml/2006/main">
                        <a:graphicData uri="http://schemas.microsoft.com/office/word/2010/wordprocessingShape">
                          <wps:wsp>
                            <wps:cNvSpPr txBox="1"/>
                            <wps:spPr>
                              <a:xfrm>
                                <a:off x="0" y="0"/>
                                <a:ext cx="88455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10185" cy="175260"/>
                      <wp:effectExtent l="0" t="0" r="0" b="0"/>
                      <wp:wrapNone/>
                      <wp:docPr id="400" name="Frame26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358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84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Year ended</w:t>
            </w:r>
          </w:p>
        </w:tc>
        <w:tc>
          <w:tcPr>
            <w:tcW w:w="331" w:type="dxa"/>
            <w:tcBorders/>
            <w:vAlign w:val="center"/>
          </w:tcPr>
          <w:p>
            <w:pPr>
              <w:pStyle w:val="TableContents"/>
              <w:bidi w:val="0"/>
              <w:spacing w:lineRule="auto" w:line="285" w:before="0" w:after="0"/>
              <w:ind w:left="0" w:right="0" w:hanging="0"/>
              <w:jc w:val="center"/>
              <w:rPr/>
            </w:pPr>
            <w:r>
              <w:rPr/>
              <w:t> </w:t>
            </w:r>
          </w:p>
        </w:tc>
      </w:tr>
      <w:tr>
        <w:trPr/>
        <w:tc>
          <w:tcPr>
            <w:tcW w:w="358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846" w:type="dxa"/>
            <w:gridSpan w:val="2"/>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December 31, 2025</w:t>
            </w:r>
          </w:p>
        </w:tc>
        <w:tc>
          <w:tcPr>
            <w:tcW w:w="33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pPr>
            <w:r>
              <w:rPr/>
              <w:t> </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sz w:val="20"/>
              </w:rPr>
            </w:pPr>
            <w:r>
              <w:rPr>
                <w:rFonts w:ascii="Arial;Helvetica;sans-serif" w:hAnsi="Arial;Helvetica;sans-serif"/>
                <w:b/>
                <w:sz w:val="20"/>
              </w:rPr>
              <w:t>Contract drilling revenues</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3,695</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sz w:val="20"/>
              </w:rPr>
            </w:pPr>
            <w:r>
              <w:rPr>
                <w:rFonts w:ascii="Arial;Helvetica;sans-serif" w:hAnsi="Arial;Helvetica;sans-serif"/>
                <w:b/>
                <w:sz w:val="20"/>
              </w:rPr>
              <w:t>Net loss</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(2,915)</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Interest expense, net of interest income</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515</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Income tax benefit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(33)</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Depreciation and amortization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 </w:t>
            </w:r>
          </w:p>
        </w:tc>
        <w:tc>
          <w:tcPr>
            <w:tcW w:w="13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659</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sz w:val="20"/>
              </w:rPr>
            </w:pPr>
            <w:r>
              <w:rPr>
                <w:rFonts w:ascii="Arial;Helvetica;sans-serif" w:hAnsi="Arial;Helvetica;sans-serif"/>
                <w:b/>
                <w:sz w:val="20"/>
              </w:rPr>
              <w:t>EBITDA</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(1,774)</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Restructuring costs</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Loss on impairment of assets</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3,049</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Gain on disposal of assets, net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Gain on retirement of debt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Loss on conversion of debt to equity</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 </w:t>
            </w:r>
          </w:p>
        </w:tc>
        <w:tc>
          <w:tcPr>
            <w:tcW w:w="13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99</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sz w:val="20"/>
              </w:rPr>
            </w:pPr>
            <w:r>
              <w:rPr>
                <w:rFonts w:ascii="Arial;Helvetica;sans-serif" w:hAnsi="Arial;Helvetica;sans-serif"/>
                <w:b/>
                <w:sz w:val="20"/>
              </w:rPr>
              <w:t>Adjusted EBITDA</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3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b/>
                <w:sz w:val="20"/>
              </w:rPr>
            </w:pPr>
            <w:r>
              <w:rPr>
                <w:rFonts w:ascii="Arial;Helvetica;sans-serif" w:hAnsi="Arial;Helvetica;sans-serif"/>
                <w:b/>
                <w:sz w:val="20"/>
              </w:rPr>
              <w:t>1,370</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Loss Margin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(73.5)</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EBITDA Margin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(44.8)</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Adjusted EBITDA Margin</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 </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34.6</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12" w:space="0" w:color="005670"/>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12" w:space="0" w:color="005670"/>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12" w:space="0" w:color="005670"/>
            </w:tcBorders>
            <w:tcMar>
              <w:bottom w:w="28" w:type="dxa"/>
            </w:tcMar>
            <w:vAlign w:val="center"/>
          </w:tcPr>
          <w:p>
            <w:pPr>
              <w:pStyle w:val="TableContents"/>
              <w:bidi w:val="0"/>
              <w:spacing w:lineRule="auto" w:line="285" w:before="0" w:after="0"/>
              <w:ind w:left="0" w:right="0" w:hanging="0"/>
              <w:jc w:val="both"/>
              <w:rPr/>
            </w:pPr>
            <w:r>
              <w:rPr/>
              <w:t>​</w:t>
            </w:r>
          </w:p>
        </w:tc>
        <w:tc>
          <w:tcPr>
            <w:tcW w:w="1393" w:type="dxa"/>
            <w:tcBorders>
              <w:bottom w:val="single" w:sz="12" w:space="0" w:color="005670"/>
            </w:tcBorders>
            <w:tcMar>
              <w:bottom w:w="28" w:type="dxa"/>
            </w:tcMar>
            <w:vAlign w:val="center"/>
          </w:tcPr>
          <w:p>
            <w:pPr>
              <w:pStyle w:val="TableContents"/>
              <w:bidi w:val="0"/>
              <w:spacing w:lineRule="auto" w:line="285" w:before="0" w:after="0"/>
              <w:ind w:left="0" w:right="0" w:hanging="0"/>
              <w:jc w:val="both"/>
              <w:rPr/>
            </w:pPr>
            <w:r>
              <w:rPr/>
              <w:t>​</w:t>
            </w:r>
          </w:p>
        </w:tc>
        <w:tc>
          <w:tcPr>
            <w:tcW w:w="331" w:type="dxa"/>
            <w:tcBorders>
              <w:bottom w:val="single" w:sz="12" w:space="0" w:color="005670"/>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453" w:type="dxa"/>
            <w:tcBorders/>
            <w:vAlign w:val="center"/>
          </w:tcPr>
          <w:p>
            <w:pPr>
              <w:pStyle w:val="TableContents"/>
              <w:bidi w:val="0"/>
              <w:spacing w:lineRule="auto" w:line="285" w:before="0" w:after="0"/>
              <w:ind w:left="0" w:right="0" w:hanging="0"/>
              <w:jc w:val="both"/>
              <w:rPr/>
            </w:pPr>
            <w:r>
              <w:rPr/>
              <w:t>​</w:t>
            </w:r>
          </w:p>
        </w:tc>
        <w:tc>
          <w:tcPr>
            <w:tcW w:w="1393" w:type="dxa"/>
            <w:tcBorders/>
            <w:vAlign w:val="center"/>
          </w:tcPr>
          <w:p>
            <w:pPr>
              <w:pStyle w:val="TableContents"/>
              <w:bidi w:val="0"/>
              <w:spacing w:lineRule="auto" w:line="285" w:before="0" w:after="0"/>
              <w:ind w:left="0" w:right="0" w:hanging="0"/>
              <w:jc w:val="both"/>
              <w:rPr/>
            </w:pPr>
            <w:r>
              <w:rPr/>
              <w:t>​</w:t>
            </w:r>
          </w:p>
        </w:tc>
        <w:tc>
          <w:tcPr>
            <w:tcW w:w="331" w:type="dxa"/>
            <w:tcBorders/>
            <w:vAlign w:val="center"/>
          </w:tcPr>
          <w:p>
            <w:pPr>
              <w:pStyle w:val="TableContents"/>
              <w:bidi w:val="0"/>
              <w:spacing w:lineRule="auto" w:line="285" w:before="0" w:after="0"/>
              <w:ind w:left="0" w:right="0" w:hanging="0"/>
              <w:jc w:val="both"/>
              <w:rPr/>
            </w:pPr>
            <w:r>
              <w:rPr/>
              <w:t>​</w:t>
            </w:r>
          </w:p>
        </w:tc>
      </w:tr>
      <w:tr>
        <w:trPr/>
        <w:tc>
          <w:tcPr>
            <w:tcW w:w="358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453" w:type="dxa"/>
            <w:tcBorders/>
            <w:vAlign w:val="center"/>
          </w:tcPr>
          <w:p>
            <w:pPr>
              <w:pStyle w:val="TableContents"/>
              <w:bidi w:val="0"/>
              <w:spacing w:lineRule="auto" w:line="285" w:before="0" w:after="0"/>
              <w:ind w:left="0" w:right="0" w:hanging="0"/>
              <w:jc w:val="both"/>
              <w:rPr/>
            </w:pPr>
            <w:r>
              <w:rPr/>
              <w:t>​</w:t>
            </w:r>
          </w:p>
        </w:tc>
        <w:tc>
          <w:tcPr>
            <w:tcW w:w="1393" w:type="dxa"/>
            <w:tcBorders/>
            <w:vAlign w:val="center"/>
          </w:tcPr>
          <w:p>
            <w:pPr>
              <w:pStyle w:val="TableContents"/>
              <w:bidi w:val="0"/>
              <w:spacing w:lineRule="auto" w:line="285" w:before="0" w:after="0"/>
              <w:ind w:left="0" w:right="0" w:hanging="0"/>
              <w:jc w:val="both"/>
              <w:rPr/>
            </w:pPr>
            <w:r>
              <w:rPr/>
              <w:t>​</w:t>
            </w:r>
          </w:p>
        </w:tc>
        <w:tc>
          <w:tcPr>
            <w:tcW w:w="331" w:type="dxa"/>
            <w:tcBorders/>
            <w:vAlign w:val="center"/>
          </w:tcPr>
          <w:p>
            <w:pPr>
              <w:pStyle w:val="TableContents"/>
              <w:bidi w:val="0"/>
              <w:spacing w:lineRule="auto" w:line="285" w:before="0" w:after="0"/>
              <w:ind w:left="0" w:right="0" w:hanging="0"/>
              <w:jc w:val="both"/>
              <w:rPr/>
            </w:pPr>
            <w:r>
              <w:rPr/>
              <w:t>​</w:t>
            </w:r>
          </w:p>
        </w:tc>
      </w:tr>
      <w:tr>
        <w:trPr/>
        <w:tc>
          <w:tcPr>
            <w:tcW w:w="358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453" w:type="dxa"/>
            <w:tcBorders/>
            <w:vAlign w:val="center"/>
          </w:tcPr>
          <w:p>
            <w:pPr>
              <w:pStyle w:val="TableContents"/>
              <w:bidi w:val="0"/>
              <w:spacing w:lineRule="auto" w:line="285" w:before="0" w:after="0"/>
              <w:ind w:left="0" w:right="0" w:hanging="0"/>
              <w:jc w:val="both"/>
              <w:rPr/>
            </w:pPr>
            <w:r>
              <w:rPr/>
              <w:t>​</w:t>
            </w:r>
          </w:p>
        </w:tc>
        <w:tc>
          <w:tcPr>
            <w:tcW w:w="1393" w:type="dxa"/>
            <w:tcBorders/>
            <w:vAlign w:val="center"/>
          </w:tcPr>
          <w:p>
            <w:pPr>
              <w:pStyle w:val="TableContents"/>
              <w:bidi w:val="0"/>
              <w:spacing w:lineRule="auto" w:line="285" w:before="0" w:after="0"/>
              <w:ind w:left="0" w:right="0" w:hanging="0"/>
              <w:jc w:val="both"/>
              <w:rPr/>
            </w:pPr>
            <w:r>
              <w:rPr/>
              <w:t>​</w:t>
            </w:r>
          </w:p>
        </w:tc>
        <w:tc>
          <w:tcPr>
            <w:tcW w:w="331" w:type="dxa"/>
            <w:tcBorders/>
            <w:vAlign w:val="center"/>
          </w:tcPr>
          <w:p>
            <w:pPr>
              <w:pStyle w:val="TableContents"/>
              <w:bidi w:val="0"/>
              <w:spacing w:lineRule="auto" w:line="285" w:before="0" w:after="0"/>
              <w:ind w:left="0" w:right="0" w:hanging="0"/>
              <w:jc w:val="both"/>
              <w:rPr/>
            </w:pPr>
            <w:r>
              <w:rPr/>
              <w:t>​</w:t>
            </w:r>
          </w:p>
        </w:tc>
      </w:tr>
      <w:tr>
        <w:trPr/>
        <w:tc>
          <w:tcPr>
            <w:tcW w:w="3586" w:type="dxa"/>
            <w:tcBorders/>
            <w:vAlign w:val="center"/>
          </w:tcPr>
          <w:p>
            <w:pPr>
              <w:pStyle w:val="TableContents"/>
              <w:bidi w:val="0"/>
              <w:spacing w:lineRule="auto" w:line="285" w:before="0" w:after="0"/>
              <w:ind w:left="0" w:right="0" w:hanging="0"/>
              <w:jc w:val="both"/>
              <w:rPr>
                <w:rFonts w:ascii="Arial;Helvetica;sans-serif" w:hAnsi="Arial;Helvetica;sans-serif"/>
                <w:b/>
                <w:sz w:val="20"/>
              </w:rPr>
            </w:pPr>
            <w:r>
              <w:rPr>
                <w:rFonts w:ascii="Arial;Helvetica;sans-serif" w:hAnsi="Arial;Helvetica;sans-serif"/>
                <w:b/>
                <w:sz w:val="20"/>
              </w:rPr>
              <w:t>FREE CASH FLOW</w:t>
            </w:r>
          </w:p>
        </w:tc>
        <w:tc>
          <w:tcPr>
            <w:tcW w:w="346" w:type="dxa"/>
            <w:tcBorders/>
            <w:vAlign w:val="center"/>
          </w:tcPr>
          <w:p>
            <w:pPr>
              <w:pStyle w:val="TableContents"/>
              <w:bidi w:val="0"/>
              <w:spacing w:lineRule="auto" w:line="285" w:before="0" w:after="0"/>
              <w:ind w:left="0" w:right="0" w:hanging="0"/>
              <w:jc w:val="both"/>
              <w:rPr/>
            </w:pPr>
            <w:r>
              <w:rPr/>
              <w:t>​</w:t>
            </w:r>
          </w:p>
        </w:tc>
        <w:tc>
          <w:tcPr>
            <w:tcW w:w="453" w:type="dxa"/>
            <w:tcBorders/>
            <w:vAlign w:val="center"/>
          </w:tcPr>
          <w:p>
            <w:pPr>
              <w:pStyle w:val="TableContents"/>
              <w:bidi w:val="0"/>
              <w:spacing w:lineRule="auto" w:line="285" w:before="0" w:after="0"/>
              <w:ind w:left="0" w:right="0" w:hanging="0"/>
              <w:jc w:val="both"/>
              <w:rPr/>
            </w:pPr>
            <w:r>
              <w:rPr/>
              <w:t>​</w:t>
            </w:r>
          </w:p>
        </w:tc>
        <w:tc>
          <w:tcPr>
            <w:tcW w:w="1393" w:type="dxa"/>
            <w:tcBorders/>
            <w:vAlign w:val="center"/>
          </w:tcPr>
          <w:p>
            <w:pPr>
              <w:pStyle w:val="TableContents"/>
              <w:bidi w:val="0"/>
              <w:spacing w:lineRule="auto" w:line="285" w:before="0" w:after="0"/>
              <w:ind w:left="0" w:right="0" w:hanging="0"/>
              <w:jc w:val="both"/>
              <w:rPr/>
            </w:pPr>
            <w:r>
              <w:rPr/>
              <w:t>​</w:t>
            </w:r>
          </w:p>
        </w:tc>
        <w:tc>
          <w:tcPr>
            <w:tcW w:w="331" w:type="dxa"/>
            <w:tcBorders/>
            <w:vAlign w:val="center"/>
          </w:tcPr>
          <w:p>
            <w:pPr>
              <w:pStyle w:val="TableContents"/>
              <w:bidi w:val="0"/>
              <w:spacing w:lineRule="auto" w:line="285" w:before="0" w:after="0"/>
              <w:ind w:left="0" w:right="0" w:hanging="0"/>
              <w:jc w:val="both"/>
              <w:rPr/>
            </w:pPr>
            <w:r>
              <w:rPr/>
              <w:t>​</w:t>
            </w:r>
          </w:p>
        </w:tc>
      </w:tr>
      <w:tr>
        <w:trPr/>
        <w:tc>
          <w:tcPr>
            <w:tcW w:w="358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(in millions)</w:t>
            </w:r>
          </w:p>
        </w:tc>
        <w:tc>
          <w:tcPr>
            <w:tcW w:w="346" w:type="dxa"/>
            <w:tcBorders/>
            <w:vAlign w:val="center"/>
          </w:tcPr>
          <w:p>
            <w:pPr>
              <w:pStyle w:val="TableContents"/>
              <w:bidi w:val="0"/>
              <w:spacing w:lineRule="auto" w:line="285" w:before="0" w:after="0"/>
              <w:ind w:left="0" w:right="0" w:hanging="0"/>
              <w:jc w:val="both"/>
              <w:rPr/>
            </w:pPr>
            <w:r>
              <w:rPr/>
              <w:t>​</w:t>
            </w:r>
          </w:p>
        </w:tc>
        <w:tc>
          <w:tcPr>
            <w:tcW w:w="453" w:type="dxa"/>
            <w:tcBorders/>
            <w:vAlign w:val="center"/>
          </w:tcPr>
          <w:p>
            <w:pPr>
              <w:pStyle w:val="TableContents"/>
              <w:bidi w:val="0"/>
              <w:spacing w:lineRule="auto" w:line="285" w:before="0" w:after="0"/>
              <w:ind w:left="0" w:right="0" w:hanging="0"/>
              <w:jc w:val="both"/>
              <w:rPr/>
            </w:pPr>
            <w:r>
              <w:rPr/>
              <w:t>​</w:t>
            </w:r>
          </w:p>
        </w:tc>
        <w:tc>
          <w:tcPr>
            <w:tcW w:w="1393" w:type="dxa"/>
            <w:tcBorders/>
            <w:vAlign w:val="center"/>
          </w:tcPr>
          <w:p>
            <w:pPr>
              <w:pStyle w:val="TableContents"/>
              <w:bidi w:val="0"/>
              <w:spacing w:lineRule="auto" w:line="285" w:before="0" w:after="0"/>
              <w:ind w:left="0" w:right="0" w:hanging="0"/>
              <w:jc w:val="both"/>
              <w:rPr/>
            </w:pPr>
            <w:r>
              <w:rPr/>
              <w:t>​</w:t>
            </w:r>
          </w:p>
        </w:tc>
        <w:tc>
          <w:tcPr>
            <w:tcW w:w="331" w:type="dxa"/>
            <w:tcBorders/>
            <w:vAlign w:val="center"/>
          </w:tcPr>
          <w:p>
            <w:pPr>
              <w:pStyle w:val="TableContents"/>
              <w:bidi w:val="0"/>
              <w:spacing w:lineRule="auto" w:line="285" w:before="0" w:after="0"/>
              <w:ind w:left="0" w:right="0" w:hanging="0"/>
              <w:jc w:val="both"/>
              <w:rPr/>
            </w:pPr>
            <w:r>
              <w:rPr/>
              <w:t>​</w:t>
            </w:r>
          </w:p>
        </w:tc>
      </w:tr>
      <w:tr>
        <w:trPr/>
        <w:tc>
          <w:tcPr>
            <w:tcW w:w="358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453" w:type="dxa"/>
            <w:tcBorders/>
            <w:vAlign w:val="center"/>
          </w:tcPr>
          <w:p>
            <w:pPr>
              <w:pStyle w:val="TableContents"/>
              <w:bidi w:val="0"/>
              <w:spacing w:lineRule="auto" w:line="285" w:before="0" w:after="0"/>
              <w:ind w:left="0" w:right="0" w:hanging="0"/>
              <w:jc w:val="both"/>
              <w:rPr/>
            </w:pPr>
            <w:r>
              <w:rPr/>
              <w:t>​</w:t>
            </w:r>
          </w:p>
        </w:tc>
        <w:tc>
          <w:tcPr>
            <w:tcW w:w="1393" w:type="dxa"/>
            <w:tcBorders/>
            <w:vAlign w:val="center"/>
          </w:tcPr>
          <w:p>
            <w:pPr>
              <w:pStyle w:val="TableContents"/>
              <w:bidi w:val="0"/>
              <w:spacing w:lineRule="auto" w:line="285" w:before="0" w:after="0"/>
              <w:ind w:left="0" w:right="0" w:hanging="0"/>
              <w:jc w:val="both"/>
              <w:rPr/>
            </w:pPr>
            <w:r>
              <w:rPr/>
              <w:t>​</w:t>
            </w:r>
          </w:p>
        </w:tc>
        <w:tc>
          <w:tcPr>
            <w:tcW w:w="331" w:type="dxa"/>
            <w:tcBorders/>
            <w:vAlign w:val="center"/>
          </w:tcPr>
          <w:p>
            <w:pPr>
              <w:pStyle w:val="TableContents"/>
              <w:bidi w:val="0"/>
              <w:spacing w:lineRule="auto" w:line="285" w:before="0" w:after="0"/>
              <w:ind w:left="0" w:right="0" w:hanging="0"/>
              <w:jc w:val="both"/>
              <w:rPr/>
            </w:pPr>
            <w:r>
              <w:rPr/>
              <w:t>​</w:t>
            </w:r>
          </w:p>
        </w:tc>
      </w:tr>
      <w:tr>
        <w:trPr/>
        <w:tc>
          <w:tcPr>
            <w:tcW w:w="358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2177" w:type="dxa"/>
            <w:gridSpan w:val="3"/>
            <w:tcBorders/>
            <w:vAlign w:val="center"/>
          </w:tcPr>
          <w:p>
            <w:pPr>
              <w:pStyle w:val="TableContents"/>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Year ended</w:t>
            </w:r>
          </w:p>
        </w:tc>
      </w:tr>
      <w:tr>
        <w:trPr/>
        <w:tc>
          <w:tcPr>
            <w:tcW w:w="358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1846" w:type="dxa"/>
            <w:gridSpan w:val="2"/>
            <w:tcBorders>
              <w:bottom w:val="single" w:sz="12" w:space="0" w:color="ECA44A"/>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December 31, 2025</w:t>
            </w:r>
          </w:p>
        </w:tc>
        <w:tc>
          <w:tcPr>
            <w:tcW w:w="331" w:type="dxa"/>
            <w:tcBorders>
              <w:bottom w:val="single" w:sz="12" w:space="0" w:color="ECA44A"/>
            </w:tcBorders>
            <w:tcMar>
              <w:bottom w:w="28" w:type="dxa"/>
            </w:tcMar>
            <w:vAlign w:val="center"/>
          </w:tcPr>
          <w:p>
            <w:pPr>
              <w:pStyle w:val="TableContents"/>
              <w:bidi w:val="0"/>
              <w:spacing w:lineRule="auto" w:line="285" w:before="0" w:after="0"/>
              <w:ind w:left="0" w:right="0" w:hanging="0"/>
              <w:jc w:val="center"/>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Cash provided by operating activities</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749</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Capital expenditures</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13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(123)</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b/>
                <w:sz w:val="20"/>
              </w:rPr>
            </w:pPr>
            <w:r>
              <w:rPr>
                <w:rFonts w:ascii="Arial;Helvetica;sans-serif" w:hAnsi="Arial;Helvetica;sans-serif"/>
                <w:b/>
                <w:sz w:val="20"/>
              </w:rPr>
              <w:t>Free Cash Flow</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t>
            </w:r>
          </w:p>
        </w:tc>
        <w:tc>
          <w:tcPr>
            <w:tcW w:w="13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b/>
                <w:sz w:val="20"/>
              </w:rPr>
            </w:pPr>
            <w:r>
              <w:rPr>
                <w:rFonts w:ascii="Arial;Helvetica;sans-serif" w:hAnsi="Arial;Helvetica;sans-serif"/>
                <w:b/>
                <w:sz w:val="20"/>
              </w:rPr>
              <w:t>626</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1393"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c>
          <w:tcPr>
            <w:tcW w:w="331" w:type="dxa"/>
            <w:tcBorders>
              <w:bottom w:val="single" w:sz="2" w:space="0" w:color="D9D9D9"/>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bottom w:val="single" w:sz="12" w:space="0" w:color="005670"/>
            </w:tcBorders>
            <w:tcMar>
              <w:bottom w:w="28" w:type="dxa"/>
            </w:tcMar>
            <w:vAlign w:val="center"/>
          </w:tcPr>
          <w:p>
            <w:pPr>
              <w:pStyle w:val="TableContents"/>
              <w:bidi w:val="0"/>
              <w:spacing w:lineRule="auto" w:line="285" w:before="0" w:after="0"/>
              <w:ind w:left="0" w:right="0" w:hanging="0"/>
              <w:jc w:val="both"/>
              <w:rPr/>
            </w:pPr>
            <w:r>
              <w:rPr/>
              <w:t>​</w:t>
            </w:r>
          </w:p>
        </w:tc>
        <w:tc>
          <w:tcPr>
            <w:tcW w:w="346" w:type="dxa"/>
            <w:tcBorders>
              <w:bottom w:val="single" w:sz="12" w:space="0" w:color="005670"/>
            </w:tcBorders>
            <w:tcMar>
              <w:bottom w:w="28" w:type="dxa"/>
            </w:tcMar>
            <w:vAlign w:val="center"/>
          </w:tcPr>
          <w:p>
            <w:pPr>
              <w:pStyle w:val="TableContents"/>
              <w:bidi w:val="0"/>
              <w:spacing w:lineRule="auto" w:line="285" w:before="0" w:after="0"/>
              <w:ind w:left="0" w:right="0" w:hanging="0"/>
              <w:jc w:val="both"/>
              <w:rPr/>
            </w:pPr>
            <w:r>
              <w:rPr/>
              <w:t>​</w:t>
            </w:r>
          </w:p>
        </w:tc>
        <w:tc>
          <w:tcPr>
            <w:tcW w:w="453" w:type="dxa"/>
            <w:tcBorders>
              <w:bottom w:val="single" w:sz="12" w:space="0" w:color="005670"/>
            </w:tcBorders>
            <w:tcMar>
              <w:bottom w:w="28" w:type="dxa"/>
            </w:tcMar>
            <w:vAlign w:val="center"/>
          </w:tcPr>
          <w:p>
            <w:pPr>
              <w:pStyle w:val="TableContents"/>
              <w:bidi w:val="0"/>
              <w:spacing w:lineRule="auto" w:line="285" w:before="0" w:after="0"/>
              <w:ind w:left="0" w:right="0" w:hanging="0"/>
              <w:jc w:val="both"/>
              <w:rPr/>
            </w:pPr>
            <w:r>
              <w:rPr/>
              <w:t>​</w:t>
            </w:r>
          </w:p>
        </w:tc>
        <w:tc>
          <w:tcPr>
            <w:tcW w:w="1393" w:type="dxa"/>
            <w:tcBorders>
              <w:bottom w:val="single" w:sz="12" w:space="0" w:color="005670"/>
            </w:tcBorders>
            <w:tcMar>
              <w:bottom w:w="28" w:type="dxa"/>
            </w:tcMar>
            <w:vAlign w:val="center"/>
          </w:tcPr>
          <w:p>
            <w:pPr>
              <w:pStyle w:val="TableContents"/>
              <w:bidi w:val="0"/>
              <w:spacing w:lineRule="auto" w:line="285" w:before="0" w:after="0"/>
              <w:ind w:left="0" w:right="0" w:hanging="0"/>
              <w:jc w:val="both"/>
              <w:rPr/>
            </w:pPr>
            <w:r>
              <w:rPr/>
              <w:t>​</w:t>
            </w:r>
          </w:p>
        </w:tc>
        <w:tc>
          <w:tcPr>
            <w:tcW w:w="331" w:type="dxa"/>
            <w:tcBorders>
              <w:bottom w:val="single" w:sz="12" w:space="0" w:color="005670"/>
            </w:tcBorders>
            <w:tcMar>
              <w:bottom w:w="28" w:type="dxa"/>
            </w:tcMar>
            <w:vAlign w:val="center"/>
          </w:tcPr>
          <w:p>
            <w:pPr>
              <w:pStyle w:val="TableContents"/>
              <w:bidi w:val="0"/>
              <w:spacing w:lineRule="auto" w:line="285" w:before="0" w:after="0"/>
              <w:ind w:left="0" w:right="0" w:hanging="0"/>
              <w:jc w:val="both"/>
              <w:rPr/>
            </w:pPr>
            <w:r>
              <w:rPr/>
              <w:t>​</w:t>
            </w:r>
          </w:p>
        </w:tc>
      </w:tr>
      <w:tr>
        <w:trPr/>
        <w:tc>
          <w:tcPr>
            <w:tcW w:w="3586" w:type="dxa"/>
            <w:tcBorders/>
            <w:vAlign w:val="center"/>
          </w:tcPr>
          <w:p>
            <w:pPr>
              <w:pStyle w:val="TableContents"/>
              <w:bidi w:val="0"/>
              <w:spacing w:lineRule="auto" w:line="285" w:before="0" w:after="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w:t>
            </w:r>
          </w:p>
        </w:tc>
        <w:tc>
          <w:tcPr>
            <w:tcW w:w="453" w:type="dxa"/>
            <w:tcBorders/>
            <w:vAlign w:val="center"/>
          </w:tcPr>
          <w:p>
            <w:pPr>
              <w:pStyle w:val="TableContents"/>
              <w:bidi w:val="0"/>
              <w:spacing w:lineRule="auto" w:line="285" w:before="0" w:after="0"/>
              <w:ind w:left="0" w:right="0" w:hanging="0"/>
              <w:jc w:val="both"/>
              <w:rPr/>
            </w:pPr>
            <w:r>
              <w:rPr/>
              <w:t>​</w:t>
            </w:r>
          </w:p>
        </w:tc>
        <w:tc>
          <w:tcPr>
            <w:tcW w:w="1393" w:type="dxa"/>
            <w:tcBorders/>
            <w:vAlign w:val="center"/>
          </w:tcPr>
          <w:p>
            <w:pPr>
              <w:pStyle w:val="TableContents"/>
              <w:bidi w:val="0"/>
              <w:spacing w:lineRule="auto" w:line="285" w:before="0" w:after="0"/>
              <w:ind w:left="0" w:right="0" w:hanging="0"/>
              <w:jc w:val="both"/>
              <w:rPr/>
            </w:pPr>
            <w:r>
              <w:rPr/>
              <w:t>​</w:t>
            </w:r>
          </w:p>
        </w:tc>
        <w:tc>
          <w:tcPr>
            <w:tcW w:w="331" w:type="dxa"/>
            <w:tcBorders/>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APA-1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rFonts w:ascii="Arial;Helvetica;sans-serif" w:hAnsi="Arial;Helvetica;sans-serif"/>
          <w:b/>
          <w:color w:val="ECA44A"/>
          <w:sz w:val="40"/>
        </w:rPr>
      </w:pPr>
      <w:bookmarkStart w:id="340" w:name="APPENDIXB"/>
      <w:bookmarkStart w:id="341" w:name="_0b6ede2b_cd6b_4c62_beec_fe7d85ba3c10"/>
      <w:bookmarkEnd w:id="340"/>
      <w:bookmarkEnd w:id="341"/>
      <w:r>
        <w:rPr>
          <w:rFonts w:ascii="Arial;Helvetica;sans-serif" w:hAnsi="Arial;Helvetica;sans-serif"/>
          <w:b/>
          <w:color w:val="ECA44A"/>
          <w:sz w:val="40"/>
        </w:rPr>
        <w:t>APPENDIX B</w:t>
      </w:r>
    </w:p>
    <w:p>
      <w:pPr>
        <w:pStyle w:val="TextBody"/>
        <w:bidi w:val="0"/>
        <w:spacing w:lineRule="auto" w:line="285" w:before="0" w:after="0"/>
        <w:ind w:left="0" w:right="0" w:hanging="0"/>
        <w:jc w:val="both"/>
        <w:rPr>
          <w:rFonts w:ascii="Arial;Helvetica;sans-serif" w:hAnsi="Arial;Helvetica;sans-serif"/>
          <w:b/>
          <w:sz w:val="32"/>
        </w:rPr>
      </w:pPr>
      <w:r>
        <w:rPr>
          <w:rFonts w:ascii="Arial;Helvetica;sans-serif" w:hAnsi="Arial;Helvetica;sans-serif"/>
          <w:b/>
          <w:sz w:val="32"/>
        </w:rPr>
        <w:t>2025 Swiss Non-Financial Matters Report</w:t>
      </w:r>
    </w:p>
    <w:p>
      <w:pPr>
        <w:pStyle w:val="TextBody"/>
        <w:bidi w:val="0"/>
        <w:spacing w:lineRule="auto" w:line="285" w:before="0" w:after="160"/>
        <w:ind w:left="0" w:right="0" w:hanging="0"/>
        <w:jc w:val="both"/>
        <w:rPr/>
      </w:pPr>
      <w:r>
        <w:rPr/>
        <w:t>​</w:t>
      </w:r>
      <w:r>
        <w:rPr>
          <w:rFonts w:ascii="Arial;Helvetica;sans-serif" w:hAnsi="Arial;Helvetica;sans-serif"/>
          <w:i/>
          <w:sz w:val="20"/>
        </w:rPr>
        <w:br/>
        <w:t>This Swiss Non-Financial Matters Report (“Report”) was prepared in accordance with the requirements of Article 964b of the Swiss Code of Obligations (“CO”) for Transocean Ltd. and its subsidiaries (collectively, “Transocean,” the “Company,” “we,” “us” or “our”). As permitted by the Swiss Ordinance on Climate Matters (the “Ordinance”), the Company does not align with a climate concept as defined by Article 2 para. 2 letter b of the Ordinance, limiting its reporting to environmental matters pursuant to Article 964b para. 1 CO. This is because, among other things, the Company does not have specified quantitative targets for emissions reductions. However, in line with Article 964b CO and the environmental-related disclosure requirements applicable to non-financial matters, we describe our practices and due diligence with respect to climate change, the measures we take to implement these practices, the main climate-related risks arising from our own activities and, where relevant, from our business relationships, how we manage those risks and the main indicators we use to monitor our climate-related performance.”</w:t>
      </w:r>
    </w:p>
    <w:p>
      <w:pPr>
        <w:pStyle w:val="TextBody"/>
        <w:bidi w:val="0"/>
        <w:spacing w:lineRule="auto" w:line="285" w:before="0" w:after="200"/>
        <w:ind w:left="0" w:right="0" w:hanging="0"/>
        <w:jc w:val="both"/>
        <w:rPr>
          <w:rFonts w:ascii="Arial;Helvetica;sans-serif" w:hAnsi="Arial;Helvetica;sans-serif"/>
          <w:b/>
          <w:color w:val="005670"/>
          <w:sz w:val="28"/>
        </w:rPr>
      </w:pPr>
      <w:r>
        <w:rPr>
          <w:rFonts w:ascii="Arial;Helvetica;sans-serif" w:hAnsi="Arial;Helvetica;sans-serif"/>
          <w:b/>
          <w:color w:val="005670"/>
          <w:sz w:val="28"/>
        </w:rPr>
        <w:t>Our Business and Business Model</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Transocean is a leading international provider of offshore contract drilling services for oil and gas wells. As of February 19, 2026, we owned or had partial ownership interests in and operated 27 mobile offshore drilling units, consisting of 20 ultra-deepwater floaters and seven harsh environment floaters.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We provide, as our primary business, contract drilling services in a single operating segment, which involves contracting our mobile offshore drilling rigs, related equipment, and professional work crews to drill oil and gas wells. We specialize in technically demanding regions of the global offshore drilling business with a particular focus on ultra-deepwater and harsh environment drilling services. Our drilling fleet is one of the most versatile fleets in the world, consisting of drillships and semisubmersible floaters used in support of offshore drilling activities and offshore support services on a worldwide basis.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Transocean Ltd. is a Swiss corporation with its registered office in Steinhausen, Canton of Zug, and with principal executive offices located at Turmstrasse 30, 6312 Steinhausen, Switzerland. The Company’s shares are listed on the New York Stock Exchange under the ticker symbol “RIG.” For information about the revenues, operating income, assets and other information related to our business and the geographic areas in which we operate, please see the Company’s latest annual report on Form 10-K, available at https://investor.deepwater.com/sec-filings.</w:t>
      </w:r>
    </w:p>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sz w:val="24"/>
        </w:rPr>
      </w:pPr>
      <w:r>
        <w:rPr>
          <w:rFonts w:ascii="Arial;Helvetica;sans-serif" w:hAnsi="Arial;Helvetica;sans-serif"/>
          <w:b/>
          <w:sz w:val="24"/>
        </w:rPr>
        <w:t xml:space="preserve">Topics Covered by this Report </w:t>
      </w:r>
    </w:p>
    <w:p>
      <w:pPr>
        <w:pStyle w:val="TextBody"/>
        <w:bidi w:val="0"/>
        <w:spacing w:lineRule="auto" w:line="285" w:before="0" w:after="160"/>
        <w:ind w:left="0" w:right="0" w:hanging="0"/>
        <w:jc w:val="left"/>
        <w:rPr>
          <w:rFonts w:ascii="Arial;Helvetica;sans-serif" w:hAnsi="Arial;Helvetica;sans-serif"/>
          <w:sz w:val="20"/>
        </w:rPr>
      </w:pPr>
      <w:r>
        <w:rPr>
          <w:rFonts w:ascii="Arial;Helvetica;sans-serif" w:hAnsi="Arial;Helvetica;sans-serif"/>
          <w:sz w:val="20"/>
        </w:rPr>
        <w:t xml:space="preserve">Pursuant to CO 964b, the Company prepared this Report covering the following required non-financial matters (collectively, “Swiss Non-Financial Matters”): </w:t>
      </w:r>
    </w:p>
    <w:tbl>
      <w:tblPr>
        <w:tblW w:w="10191" w:type="dxa"/>
        <w:jc w:val="left"/>
        <w:tblInd w:w="0" w:type="dxa"/>
        <w:tblLayout w:type="fixed"/>
        <w:tblCellMar>
          <w:top w:w="28" w:type="dxa"/>
          <w:left w:w="28" w:type="dxa"/>
          <w:bottom w:w="28" w:type="dxa"/>
          <w:right w:w="28" w:type="dxa"/>
        </w:tblCellMar>
      </w:tblPr>
      <w:tblGrid>
        <w:gridCol w:w="124"/>
        <w:gridCol w:w="256"/>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Matters, other than climate matters, for which the Company currently does not pursue a concept</w:t>
            </w:r>
          </w:p>
        </w:tc>
      </w:tr>
    </w:tbl>
    <w:tbl>
      <w:tblPr>
        <w:tblW w:w="1791" w:type="dxa"/>
        <w:jc w:val="left"/>
        <w:tblInd w:w="0" w:type="dxa"/>
        <w:tblLayout w:type="fixed"/>
        <w:tblCellMar>
          <w:top w:w="28" w:type="dxa"/>
          <w:left w:w="28" w:type="dxa"/>
          <w:bottom w:w="28" w:type="dxa"/>
          <w:right w:w="28" w:type="dxa"/>
        </w:tblCellMar>
      </w:tblPr>
      <w:tblGrid>
        <w:gridCol w:w="124"/>
        <w:gridCol w:w="256"/>
        <w:gridCol w:w="1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14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Social Matters</w:t>
            </w:r>
          </w:p>
        </w:tc>
      </w:tr>
    </w:tbl>
    <w:tbl>
      <w:tblPr>
        <w:tblW w:w="2121" w:type="dxa"/>
        <w:jc w:val="left"/>
        <w:tblInd w:w="0" w:type="dxa"/>
        <w:tblLayout w:type="fixed"/>
        <w:tblCellMar>
          <w:top w:w="28" w:type="dxa"/>
          <w:left w:w="28" w:type="dxa"/>
          <w:bottom w:w="28" w:type="dxa"/>
          <w:right w:w="28" w:type="dxa"/>
        </w:tblCellMar>
      </w:tblPr>
      <w:tblGrid>
        <w:gridCol w:w="124"/>
        <w:gridCol w:w="256"/>
        <w:gridCol w:w="1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17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Employee Matters</w:t>
            </w:r>
          </w:p>
        </w:tc>
      </w:tr>
    </w:tbl>
    <w:tbl>
      <w:tblPr>
        <w:tblW w:w="2481" w:type="dxa"/>
        <w:jc w:val="left"/>
        <w:tblInd w:w="0" w:type="dxa"/>
        <w:tblLayout w:type="fixed"/>
        <w:tblCellMar>
          <w:top w:w="28" w:type="dxa"/>
          <w:left w:w="28" w:type="dxa"/>
          <w:bottom w:w="28" w:type="dxa"/>
          <w:right w:w="28" w:type="dxa"/>
        </w:tblCellMar>
      </w:tblPr>
      <w:tblGrid>
        <w:gridCol w:w="124"/>
        <w:gridCol w:w="256"/>
        <w:gridCol w:w="2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21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Human Rights Matters</w:t>
            </w:r>
          </w:p>
        </w:tc>
      </w:tr>
    </w:tbl>
    <w:tbl>
      <w:tblPr>
        <w:tblW w:w="2541" w:type="dxa"/>
        <w:jc w:val="left"/>
        <w:tblInd w:w="0" w:type="dxa"/>
        <w:tblLayout w:type="fixed"/>
        <w:tblCellMar>
          <w:top w:w="28" w:type="dxa"/>
          <w:left w:w="28" w:type="dxa"/>
          <w:bottom w:w="28" w:type="dxa"/>
          <w:right w:w="28" w:type="dxa"/>
        </w:tblCellMar>
      </w:tblPr>
      <w:tblGrid>
        <w:gridCol w:w="124"/>
        <w:gridCol w:w="256"/>
        <w:gridCol w:w="2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21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Anti-Corruption Matters</w:t>
            </w:r>
          </w:p>
        </w:tc>
      </w:tr>
    </w:tbl>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APB-1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475" w:type="dxa"/>
        <w:jc w:val="left"/>
        <w:tblInd w:w="0" w:type="dxa"/>
        <w:tblLayout w:type="fixed"/>
        <w:tblCellMar>
          <w:top w:w="0" w:type="dxa"/>
          <w:left w:w="0" w:type="dxa"/>
          <w:bottom w:w="0" w:type="dxa"/>
          <w:right w:w="0" w:type="dxa"/>
        </w:tblCellMar>
      </w:tblPr>
      <w:tblGrid>
        <w:gridCol w:w="1321"/>
        <w:gridCol w:w="154"/>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32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APPENDIX B</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pPr>
      <w:bookmarkStart w:id="342" w:name="_Toc156853308"/>
      <w:bookmarkEnd w:id="342"/>
      <w:r>
        <w:rPr/>
        <w:t>​</w:t>
      </w:r>
    </w:p>
    <w:p>
      <w:pPr>
        <w:pStyle w:val="TextBody"/>
        <w:bidi w:val="0"/>
        <w:spacing w:lineRule="auto" w:line="285" w:before="0" w:after="200"/>
        <w:ind w:left="0" w:right="0" w:hanging="0"/>
        <w:jc w:val="both"/>
        <w:rPr>
          <w:rFonts w:ascii="Arial;Helvetica;sans-serif" w:hAnsi="Arial;Helvetica;sans-serif"/>
          <w:b/>
          <w:sz w:val="20"/>
        </w:rPr>
      </w:pPr>
      <w:r>
        <w:rPr>
          <w:rFonts w:ascii="Arial;Helvetica;sans-serif" w:hAnsi="Arial;Helvetica;sans-serif"/>
          <w:b/>
          <w:sz w:val="24"/>
        </w:rPr>
        <w:t>Organization and Governance</w:t>
      </w:r>
      <w:r>
        <w:rPr>
          <w:rFonts w:ascii="Arial;Helvetica;sans-serif" w:hAnsi="Arial;Helvetica;sans-serif"/>
          <w:b/>
          <w:sz w:val="20"/>
        </w:rPr>
        <w:t xml:space="preserve"> – </w:t>
      </w:r>
      <w:r>
        <w:rPr>
          <w:rFonts w:ascii="Arial;Helvetica;sans-serif" w:hAnsi="Arial;Helvetica;sans-serif"/>
          <w:b/>
          <w:sz w:val="24"/>
        </w:rPr>
        <w:t>Swiss Non-Financial Matters</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The Board exercises overall oversight of the Company’s sustainability practices and initiatives and has delegated oversight to its committees as follows: </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Governance, Safety &amp; Environment (“GSE”) Committee is responsible for review and oversight of the Company’s sustainability programs, policies and practices that are relevant to the Company’s operations, performance, and strategic planning; and sustainability reporting that does not require third party assurance and does not otherwise fall within the scope of the Audit Committee's responsibilities.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Audit Committee is responsible for overseeing the reporting and assurance process for the Company’s sustainability disclosures, which require third party assurance.</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For detailed information on the specific responsibilities of the Board’s committees, please refer to the committee charters available at www.deepwater.com/investors/corporate-governance.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Transocean’s President and Chief Executive Officer (“CEO”) plays an essential role in the development and execution of the Company's sustainability strategies, initiatives, and opportunities. The Executive Vice President &amp; Chief Legal Officer (“CLO”) is the functional executive responsible for facilitating the Company’s sustainability strategies, coordination cross-functionally, and disclosures. Together, the CEO, CLO, and other executives integrate certain sustainability principles into the design of applicable business processes and activities, with the aim of creating a cohesive, adaptable approach toward sustainability that aligns with Company objectives. The CLO reports directly to the CEO, and he and his reports act as the primary liaison to the Board for sustainability matters.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Company’s Legal Compliance and Ethics (“LCE”) Department, under the supervision of the CLO and with oversight from the Audit Committee, is responsible for implementing standards and tools to promote ethical conduct at Transocean. The LCE Department oversees compliance with non-operational laws and regulations as well as all ethical guidelines.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Executive management is responsible for the day-to-day management of the risks the Company faces, while our Board, including through its various committees, is responsible for the oversight of the Company’s risk management. The Board oversees (1) the design, implementation and execution of risk management processes designed to support the Company’s corporate strategy and (2) steps designed, implemented and executed to foster a culture in which each employee understands his or her impact on the assessment and management of risk, his or her responsibility for acting within appropriate limits, and his or her ultimate accountability.</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The Company has an Enterprise Risk Management process and framework, which includes an Executive Risk Management Committee and a Risk Committee Working Group. The Executive Risk Management Committee is composed of members of senior management, including our CEO and other members of management in key functions of the Company. The Risk Committee Working Group is composed of representatives of all key functions of the Company. The duties of the Executive Risk Management Committee and the Risk Committee Working Group include the following: </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reviewing and approving</w:t>
            </w:r>
            <w:r>
              <w:rPr>
                <w:caps w:val="false"/>
                <w:smallCaps w:val="false"/>
              </w:rPr>
              <w:t xml:space="preserve"> </w:t>
            </w:r>
            <w:r>
              <w:rPr>
                <w:rFonts w:ascii="Arial;Helvetica;sans-serif" w:hAnsi="Arial;Helvetica;sans-serif"/>
                <w:b w:val="false"/>
                <w:i w:val="false"/>
                <w:caps w:val="false"/>
                <w:smallCaps w:val="false"/>
                <w:sz w:val="20"/>
              </w:rPr>
              <w:t xml:space="preserve">appropriate changes to the Company’s policies and procedures regarding Enterprise Risk Management;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identifying and assessing operational, commercial, strategic, financial, information security, cybersecurity, environmental, social, and governance (“ESG”), macroeconomic</w:t>
            </w:r>
            <w:r>
              <w:rPr>
                <w:caps w:val="false"/>
                <w:smallCaps w:val="false"/>
              </w:rPr>
              <w:t xml:space="preserve"> </w:t>
            </w:r>
            <w:r>
              <w:rPr>
                <w:rFonts w:ascii="Arial;Helvetica;sans-serif" w:hAnsi="Arial;Helvetica;sans-serif"/>
                <w:b w:val="false"/>
                <w:i w:val="false"/>
                <w:caps w:val="false"/>
                <w:smallCaps w:val="false"/>
                <w:sz w:val="20"/>
              </w:rPr>
              <w:t>and geopolitical risks facing the Company;</w:t>
            </w:r>
          </w:p>
        </w:tc>
      </w:tr>
    </w:tbl>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APB-2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475" w:type="dxa"/>
        <w:jc w:val="left"/>
        <w:tblInd w:w="0" w:type="dxa"/>
        <w:tblLayout w:type="fixed"/>
        <w:tblCellMar>
          <w:top w:w="0" w:type="dxa"/>
          <w:left w:w="0" w:type="dxa"/>
          <w:bottom w:w="0" w:type="dxa"/>
          <w:right w:w="0" w:type="dxa"/>
        </w:tblCellMar>
      </w:tblPr>
      <w:tblGrid>
        <w:gridCol w:w="124"/>
        <w:gridCol w:w="1351"/>
      </w:tblGrid>
      <w:tr>
        <w:trPr/>
        <w:tc>
          <w:tcPr>
            <w:tcW w:w="124" w:type="dxa"/>
            <w:tcBorders/>
            <w:vAlign w:val="center"/>
          </w:tcPr>
          <w:p>
            <w:pPr>
              <w:pStyle w:val="TableContents"/>
              <w:bidi w:val="0"/>
              <w:spacing w:lineRule="auto" w:line="285" w:before="0" w:after="0"/>
              <w:ind w:left="0" w:right="0" w:hanging="0"/>
              <w:jc w:val="both"/>
              <w:rPr/>
            </w:pPr>
            <w:r>
              <w:rPr/>
              <w:t>​</w:t>
            </w:r>
          </w:p>
        </w:tc>
        <w:tc>
          <w:tcPr>
            <w:tcW w:w="135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135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APPENDIX B</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identifying risks</w:t>
            </w:r>
            <w:r>
              <w:rPr>
                <w:caps w:val="false"/>
                <w:smallCaps w:val="false"/>
              </w:rPr>
              <w:t xml:space="preserve"> </w:t>
            </w:r>
            <w:r>
              <w:rPr>
                <w:rFonts w:ascii="Arial;Helvetica;sans-serif" w:hAnsi="Arial;Helvetica;sans-serif"/>
                <w:b w:val="false"/>
                <w:i w:val="false"/>
                <w:caps w:val="false"/>
                <w:smallCaps w:val="false"/>
                <w:sz w:val="20"/>
              </w:rPr>
              <w:t>and taking corrective actions, within their respective functions, if appropriate; monitoring key indicators to assess the effectiveness and adequacy of the Company’s risk management activities; and</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7591"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maintaining regular</w:t>
            </w:r>
            <w:r>
              <w:rPr>
                <w:caps w:val="false"/>
                <w:smallCaps w:val="false"/>
              </w:rPr>
              <w:t xml:space="preserve"> </w:t>
            </w:r>
            <w:r>
              <w:rPr>
                <w:rFonts w:ascii="Arial;Helvetica;sans-serif" w:hAnsi="Arial;Helvetica;sans-serif"/>
                <w:b w:val="false"/>
                <w:i w:val="false"/>
                <w:caps w:val="false"/>
                <w:smallCaps w:val="false"/>
                <w:sz w:val="20"/>
              </w:rPr>
              <w:t xml:space="preserve">communications with the Board with respect to risk management. </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Executive Risk Management Committee and/or members of management present reports on risk management activities to the Board, at least annually. Risks are identified within each function. The cross-functional Risk Committee Working Group assesses risks facing the Company, and associated preventive and mitigating controls. Relevant ESG risks are discussed in these sessions and include topics such as weather events, crew safety, and retention of key employees. The Risk Committee Working Group then makes recommendations for improvement opportunities to senior management, as appropriate. Our management and Board continue to assess and respond to various risks that affect our industry, our Company and our employees, including but not limited to, operational offshore drilling risks, public health threats, market fluctuations among commodities and the costs and accessibility of goods and services procured throughout our supply chain.</w:t>
      </w:r>
    </w:p>
    <w:p>
      <w:pPr>
        <w:pStyle w:val="TextBody"/>
        <w:bidi w:val="0"/>
        <w:spacing w:lineRule="auto" w:line="285" w:before="0" w:after="0"/>
        <w:ind w:left="0" w:right="0" w:hanging="0"/>
        <w:jc w:val="both"/>
        <w:rPr/>
      </w:pPr>
      <w:bookmarkStart w:id="343" w:name="_Toc156853309"/>
      <w:bookmarkEnd w:id="343"/>
      <w:r>
        <w:rPr/>
        <w:t>​</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b/>
          <w:sz w:val="24"/>
        </w:rPr>
        <w:t>Business Performance</w:t>
      </w:r>
      <w:r>
        <w:rPr>
          <w:rFonts w:ascii="Arial;Helvetica;sans-serif" w:hAnsi="Arial;Helvetica;sans-serif"/>
          <w:sz w:val="20"/>
        </w:rPr>
        <w:t xml:space="preserve"> </w:t>
      </w:r>
      <w:r>
        <w:rPr>
          <w:rFonts w:ascii="Arial;Helvetica;sans-serif" w:hAnsi="Arial;Helvetica;sans-serif"/>
          <w:b/>
          <w:sz w:val="24"/>
        </w:rPr>
        <w:t>and Results</w:t>
      </w:r>
    </w:p>
    <w:p>
      <w:pPr>
        <w:pStyle w:val="TextBody"/>
        <w:bidi w:val="0"/>
        <w:spacing w:lineRule="auto" w:line="285" w:before="0" w:after="160"/>
        <w:ind w:left="0" w:right="0" w:hanging="0"/>
        <w:jc w:val="both"/>
        <w:rPr>
          <w:rFonts w:ascii="Arial;Helvetica;sans-serif" w:hAnsi="Arial;Helvetica;sans-serif"/>
          <w:sz w:val="20"/>
        </w:rPr>
      </w:pPr>
      <w:r>
        <w:rPr>
          <w:rFonts w:ascii="Arial;Helvetica;sans-serif" w:hAnsi="Arial;Helvetica;sans-serif"/>
          <w:sz w:val="20"/>
        </w:rPr>
        <w:t xml:space="preserve">Please refer to the Company’s latest annual report on Form 10-K, available at </w:t>
      </w:r>
      <w:r>
        <w:rPr>
          <w:rFonts w:ascii="Arial;Helvetica;sans-serif" w:hAnsi="Arial;Helvetica;sans-serif"/>
          <w:color w:val="005670"/>
          <w:sz w:val="20"/>
        </w:rPr>
        <w:t>https://investor.deepwater.com/sec-filings</w:t>
      </w:r>
      <w:r>
        <w:rPr>
          <w:rFonts w:ascii="Arial;Helvetica;sans-serif" w:hAnsi="Arial;Helvetica;sans-serif"/>
          <w:sz w:val="20"/>
        </w:rPr>
        <w:t>, for information about the Company’s business performance and results for the periods referenced therein.</w:t>
      </w:r>
    </w:p>
    <w:p>
      <w:pPr>
        <w:pStyle w:val="TextBody"/>
        <w:bidi w:val="0"/>
        <w:spacing w:lineRule="auto" w:line="285" w:before="0" w:after="160"/>
        <w:ind w:left="0" w:right="0" w:hanging="0"/>
        <w:jc w:val="both"/>
        <w:rPr>
          <w:rFonts w:ascii="Arial;Helvetica;sans-serif" w:hAnsi="Arial;Helvetica;sans-serif"/>
          <w:b/>
          <w:sz w:val="24"/>
        </w:rPr>
      </w:pPr>
      <w:r>
        <w:rPr>
          <w:rFonts w:ascii="Arial;Helvetica;sans-serif" w:hAnsi="Arial;Helvetica;sans-serif"/>
          <w:b/>
          <w:sz w:val="24"/>
        </w:rPr>
        <w:t xml:space="preserve">Risk Factors </w:t>
      </w:r>
    </w:p>
    <w:p>
      <w:pPr>
        <w:pStyle w:val="TextBody"/>
        <w:bidi w:val="0"/>
        <w:spacing w:lineRule="auto" w:line="285" w:before="0" w:after="160"/>
        <w:ind w:left="0" w:right="0" w:hanging="0"/>
        <w:jc w:val="both"/>
        <w:rPr>
          <w:rFonts w:ascii="Arial;Helvetica;sans-serif" w:hAnsi="Arial;Helvetica;sans-serif"/>
          <w:sz w:val="20"/>
        </w:rPr>
      </w:pPr>
      <w:bookmarkStart w:id="344" w:name="_Toc156853310"/>
      <w:bookmarkEnd w:id="344"/>
      <w:r>
        <w:rPr>
          <w:rFonts w:ascii="Arial;Helvetica;sans-serif" w:hAnsi="Arial;Helvetica;sans-serif"/>
          <w:sz w:val="20"/>
        </w:rPr>
        <w:t xml:space="preserve">The Company’s business involves various risks, and the Company provides information about the main risks, including risk pertaining to the Swiss Non-Financial Matters topics covered by this Report, in its latest annual report on Form 10-K and its latest quarterly report on Form 10-Q, as applicable, available at </w:t>
      </w:r>
      <w:r>
        <w:rPr>
          <w:rFonts w:ascii="Arial;Helvetica;sans-serif" w:hAnsi="Arial;Helvetica;sans-serif"/>
          <w:color w:val="005670"/>
          <w:sz w:val="20"/>
        </w:rPr>
        <w:t>https://investor.deepwater.com/sec-filings</w:t>
      </w:r>
      <w:r>
        <w:rPr>
          <w:rFonts w:ascii="Arial;Helvetica;sans-serif" w:hAnsi="Arial;Helvetica;sans-serif"/>
          <w:sz w:val="20"/>
        </w:rPr>
        <w:t>.</w:t>
      </w:r>
    </w:p>
    <w:p>
      <w:pPr>
        <w:pStyle w:val="TextBody"/>
        <w:bidi w:val="0"/>
        <w:spacing w:lineRule="auto" w:line="285" w:before="0" w:after="160"/>
        <w:ind w:left="0" w:right="0" w:hanging="0"/>
        <w:jc w:val="both"/>
        <w:rPr>
          <w:rFonts w:ascii="Arial;Helvetica;sans-serif" w:hAnsi="Arial;Helvetica;sans-serif"/>
          <w:b/>
          <w:sz w:val="24"/>
        </w:rPr>
      </w:pPr>
      <w:r>
        <w:rPr>
          <w:rFonts w:ascii="Arial;Helvetica;sans-serif" w:hAnsi="Arial;Helvetica;sans-serif"/>
          <w:b/>
          <w:sz w:val="24"/>
        </w:rPr>
        <w:t>Approach to Swiss Non-Financial Matters</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Company integrates sustainability principles throughout the organization, whether associated with our core business of drilling oil and gas wells or otherwise.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The industry outlook for our core business is positive, based upon underlying economic factors, including numerous long-term forecasts that indicate hydrocarbons will continue to be a critical source of energy for the foreseeable future, despite significant relative growth in alternative energy technologies. We believe that these factors will contribute to robust demand for oil and gas. For additional information, please refer to our latest annual report on Form 10-K, Part II. Item 7. Management’s Discussion and Analysis of Financial Condition and Results of Operations — Outlook, available at </w:t>
      </w:r>
      <w:r>
        <w:rPr>
          <w:rFonts w:ascii="Arial;Helvetica;sans-serif" w:hAnsi="Arial;Helvetica;sans-serif"/>
          <w:color w:val="005670"/>
          <w:sz w:val="20"/>
        </w:rPr>
        <w:t>https://investor.deepwater.com/sec-filings</w:t>
      </w:r>
      <w:r>
        <w:rPr>
          <w:rFonts w:ascii="Arial;Helvetica;sans-serif" w:hAnsi="Arial;Helvetica;sans-serif"/>
          <w:sz w:val="20"/>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However, we recognize that oil and gas resources alone are not sufficient to meet the growing global energy demands. Our assets, core competencies, and capabilities also apply to renewables and other energy alternatives. We have continued to opportunistically pursue adjacent energy-related projects, which leverage our ultra-deepwater operations experience in offshore drilling. For example, we have invested in and are working with two companies engaged in exploration and development preparation work associated with deep-sea polymetallic nodules that contain metals such as manganese, nickel, and cobalt; these elements are needed to support the growing renewable energy market. Additional information about this work can be found in our latest annual report on Form 10-K, Item 8, Note 4 – Unconsolidated Affiliates.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Company recognizes the evolving landscape of sustainability regulations and associated disclosure requirements. By adapting to the evolving expectations of investors and regulators, and maintaining a dialogue about sustainability matters, the Company is better positioned to proactively address sustainability challenges and recognize opportunities.</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APB-3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475" w:type="dxa"/>
        <w:jc w:val="left"/>
        <w:tblInd w:w="0" w:type="dxa"/>
        <w:tblLayout w:type="fixed"/>
        <w:tblCellMar>
          <w:top w:w="0" w:type="dxa"/>
          <w:left w:w="0" w:type="dxa"/>
          <w:bottom w:w="0" w:type="dxa"/>
          <w:right w:w="0" w:type="dxa"/>
        </w:tblCellMar>
      </w:tblPr>
      <w:tblGrid>
        <w:gridCol w:w="1321"/>
        <w:gridCol w:w="154"/>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32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APPENDIX B</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160"/>
        <w:ind w:left="0" w:right="0" w:hanging="0"/>
        <w:jc w:val="both"/>
        <w:rPr/>
      </w:pPr>
      <w:bookmarkStart w:id="345" w:name="_Toc156853311"/>
      <w:bookmarkEnd w:id="345"/>
      <w:r>
        <w:rPr/>
        <w:t>​</w:t>
      </w:r>
      <w:r>
        <w:rPr>
          <w:rFonts w:ascii="Arial;Helvetica;sans-serif" w:hAnsi="Arial;Helvetica;sans-serif"/>
          <w:sz w:val="20"/>
        </w:rPr>
        <w:br/>
      </w:r>
      <w:r>
        <w:rPr>
          <w:rFonts w:ascii="Arial;Helvetica;sans-serif" w:hAnsi="Arial;Helvetica;sans-serif"/>
          <w:b/>
          <w:sz w:val="24"/>
        </w:rPr>
        <w:t xml:space="preserve">Engagement </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As we develop and refine our sustainability framework in line with applicable requirements, we have been guided, in part, by our sustainability-focused engagements with the following groups: shareholders; customers; vendors; the Board, management and employees; industry organizations; and community groups.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These efforts included in-depth discussions, participation in surveys, and/or reviewing certain stewardship guidelines. We have also actively participated in relevant organizations, committees, and industry events, advocating for the adoption of best practices and responsible operations in offshore drilling.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Our engagement efforts guided our materiality assessment and resulted in the identification of the sustainability material topics for the Company, including Energy Efficiency, Loss of Containment, Safety, Our Workforce, Human Rights, and Business Ethics, which are addressed our sustainability strategy and covered in this report.</w:t>
      </w:r>
    </w:p>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005670"/>
          <w:sz w:val="28"/>
        </w:rPr>
      </w:pPr>
      <w:r>
        <w:rPr>
          <w:rFonts w:ascii="Arial;Helvetica;sans-serif" w:hAnsi="Arial;Helvetica;sans-serif"/>
          <w:b/>
          <w:color w:val="005670"/>
          <w:sz w:val="28"/>
        </w:rPr>
        <w:t>Environmental Matters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We strive to deliver services in a manner that minimizes the impact our business has on the environment. We continuously seek ways to advance our commitment to safely performing operations while simultaneously safeguarding the ultra deepwater and harsh environments in which we work. The Company’s environmental practice is to operate in a manner that minimizes the environmental impact of its offshore drilling operations, with a focus on energy efficiency and the prevention of releases to the environment. We monitor our practices through our environmental management system and related procedures, which form part of the Company’s due diligence with respect to environmental matters.</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We maintain a global Environmental Management System (EMS) that we apply to all our rigs, offices and facilities. The EMS provides a framework to consistently manage our worldwide operations in an environmentally responsible manner and monitor our performance. Within this framework, we regularly assess the environmental impact of operations, focusing on the reduction of greenhouse gas emissions, operational discharges, water use and waste. Our EMS, paired with our Operations Management System (“OMS”), sets forth the processes by which we seek to identify, consider and potentially mitigate certain environmental impacts when planning and executing our operations. Our Company operates under an integrated management system that is certified to ISO 14001.</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Our approach to managing our environmental impact is driven by our commitment to work safely and in pursuit of operational excellence. Our EMS is administered by our Vice President, Health, Safety and Environment, and applies to all Transocean facilities onshore and offshore. These EMS and OMS policies govern our management of waste, water, and other resources in our facilities, aid in our compliance with all regulatory requirements, and help to guide the evaluation of our environmental performance. Consistent with our internal policies, all active rigs maintain individual rig energy management plans, which are aligned with ISO 50001 and International Maritime Organization (IMO) SEEMP frameworks. Further, the Company operates under an integrated management system that is certified to ISO 50001.</w:t>
      </w:r>
    </w:p>
    <w:p>
      <w:pPr>
        <w:pStyle w:val="TextBody"/>
        <w:bidi w:val="0"/>
        <w:spacing w:lineRule="auto" w:line="285" w:before="0" w:after="200"/>
        <w:ind w:left="0" w:right="0" w:hanging="0"/>
        <w:jc w:val="both"/>
        <w:rPr>
          <w:rFonts w:ascii="Arial;Helvetica;sans-serif" w:hAnsi="Arial;Helvetica;sans-serif"/>
          <w:sz w:val="20"/>
        </w:rPr>
      </w:pPr>
      <w:r>
        <w:rPr>
          <w:rFonts w:ascii="Arial;Helvetica;sans-serif" w:hAnsi="Arial;Helvetica;sans-serif"/>
          <w:sz w:val="20"/>
        </w:rPr>
        <w:t>All reportable loss of containment events are recorded within the Company’s incident reporting system and significant events are reviewed by management. Findings and lessons learned from incident reviews are communicated across the fleet to improve future performance. Management regularly reports loss of containment performance to the Board‘s GSE Committee.</w:t>
      </w:r>
    </w:p>
    <w:p>
      <w:pPr>
        <w:pStyle w:val="TextBody"/>
        <w:bidi w:val="0"/>
        <w:spacing w:lineRule="auto" w:line="285" w:before="0" w:after="160"/>
        <w:ind w:left="0" w:right="0" w:hanging="0"/>
        <w:jc w:val="both"/>
        <w:rPr>
          <w:rFonts w:ascii="Arial;Helvetica;sans-serif" w:hAnsi="Arial;Helvetica;sans-serif"/>
          <w:b/>
          <w:i/>
          <w:color w:val="ECA44A"/>
          <w:sz w:val="22"/>
        </w:rPr>
      </w:pPr>
      <w:bookmarkStart w:id="346" w:name="_Toc156853316"/>
      <w:bookmarkStart w:id="347" w:name="_Toc156853315"/>
      <w:bookmarkEnd w:id="346"/>
      <w:bookmarkEnd w:id="347"/>
      <w:r>
        <w:rPr>
          <w:rFonts w:ascii="Arial;Helvetica;sans-serif" w:hAnsi="Arial;Helvetica;sans-serif"/>
          <w:b/>
          <w:i/>
          <w:color w:val="ECA44A"/>
          <w:sz w:val="22"/>
        </w:rPr>
        <w:t>Energy Efficiency and Climate</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Diesel fuel engines are used to generate power on the Company’s rigs, and they produce greenhouse gas emissions, including carbon dioxide. To reduce emissions, it is critical to minimize fuel consumption and optimize power-management systems. To do so, we focus on both sides of the energy-management equation — how we generate and consume power, and how we can optimize this balance while sustaining the safety and efficiency of operations. Initiatives to reduce emissions include replacing traditional incandescent lighting with lower energy-consuming LED bulbs as they fail in certain locations onboard the rig, running the optimal </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APB-4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475" w:type="dxa"/>
        <w:jc w:val="left"/>
        <w:tblInd w:w="0" w:type="dxa"/>
        <w:tblLayout w:type="fixed"/>
        <w:tblCellMar>
          <w:top w:w="0" w:type="dxa"/>
          <w:left w:w="0" w:type="dxa"/>
          <w:bottom w:w="0" w:type="dxa"/>
          <w:right w:w="0" w:type="dxa"/>
        </w:tblCellMar>
      </w:tblPr>
      <w:tblGrid>
        <w:gridCol w:w="124"/>
        <w:gridCol w:w="1351"/>
      </w:tblGrid>
      <w:tr>
        <w:trPr/>
        <w:tc>
          <w:tcPr>
            <w:tcW w:w="124" w:type="dxa"/>
            <w:tcBorders/>
            <w:vAlign w:val="center"/>
          </w:tcPr>
          <w:p>
            <w:pPr>
              <w:pStyle w:val="TableContents"/>
              <w:bidi w:val="0"/>
              <w:spacing w:lineRule="auto" w:line="285" w:before="0" w:after="0"/>
              <w:ind w:left="0" w:right="0" w:hanging="0"/>
              <w:jc w:val="both"/>
              <w:rPr/>
            </w:pPr>
            <w:r>
              <w:rPr/>
              <w:t>​</w:t>
            </w:r>
          </w:p>
        </w:tc>
        <w:tc>
          <w:tcPr>
            <w:tcW w:w="135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135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APPENDIX B</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number of engines at the most efficient power loads, and strategic heading management (i.e., the orientation of the rig’s bow and stern) to reduce the impact of environmental conditions, such as tide and current, on the power needs of the rig’s thrusters. In addition, seven of our drillships have hybrid energy storage systems for enhanced drill floor equipment reliability, fuel and emissions savings, as well as advanced generator protection for power plant reliability.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We use technology to evaluate the energy efficiency of certain equipment as we work to reduce unnecessary power draws from equipment, and our operational guidelines are designed to optimize power demand.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We have undertaken an assessment of the potential resilience of the Company’s business to climate-related risks using three scenarios based upon the work of the International Energy Agency’s (IEA) 2023 World Energy Outlook and its extended data set, and the Intergovernmental Panel on Climate Change’s (IPCC) Sixth Assessment Report (AR6). This climate-related scenario analysis, together with our environmental management system and energy management processes, forms part of our due diligence with respect to climate-related risks and opportunities. The scenarios utilized in the assessment considered different global warming potentials – Net Zero (1.5°C), Announced Pledges (1.7-2°C), and Stated Policies (2.4-3°C) – and varied levels of physical and transition risks. Across scenarios, the Company’s strategy is resilient due to our expertise in drilling for traditional oil and gas resources and our investment in companies pursuing the development and exploration of deep-sea polymetallic nodules that contain metals critical to the growing renewable energy market. We consider potential climate-related financial risks and opportunities across a variety of topics, including weather changes and the impact on our business, shifts in regulations, technology development and implementation, investment availability, and shifts in demand. Climate-related risks are formally incorporated into the Company’s Enterprise Risk Management process, and we will periodically update and review them, as part of the above-mentioned process. We also share improvement opportunities with management.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In 2021, we conducted a sustainability-focused materiality assessment, which guided the creation of our previously announced sustainability goals. Since then, we have continued to track developments in the sustainability material topics that informed our goals, monitor our operations, and observed that the pace of technological advances associated with potential reductions in greenhouse gas emissions has been slower, and the costs have been greater, than anticipated. Particularly, in our engagements with shareholders and customers, we observed shifts in their approach to sustainability priorities. For these reasons, we suspended our previously announced sustainability goals, including our greenhouse emissions intensity reduction goal. While we do not have a specific emissions reduction target currently, we continue to monitor our performance, and we partner with customers and service providers, when possible, to make improvements aimed at reducing emissions. Based on our monitoring of fuel consumption, power use and offshore operating emissions intensity, we consider that these measures provide our framework for improving energy efficiency of our operations, while we continue to identify and pursue further opportunities for improvement. The assessment of the magnitude of any potential emissions reduction impact is dependent on a variety of factors, including the cyclical nature of our business, resource constraints, operating conditions, and our customers’ well programs, among others.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As part of this assessment, we are implementing or improving processes that measure (i) the fuel consumption of our drilling rigs, (ii) the power consumption of key pieces of equipment onboard our rigs, and (iii) our internal offshore operating emissions intensity, which we define as offshore operating emissions divided by rig operating days. This information is available from time to time to onshore and offshore rig leadership and is used to aid in decision-making onboard the rig.</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Environmental risks are disclosed in our latest annual report on Form 10-K.</w:t>
      </w:r>
    </w:p>
    <w:p>
      <w:pPr>
        <w:pStyle w:val="TextBody"/>
        <w:bidi w:val="0"/>
        <w:spacing w:lineRule="auto" w:line="285" w:before="0" w:after="0"/>
        <w:ind w:left="0" w:right="0" w:hanging="0"/>
        <w:jc w:val="both"/>
        <w:rPr/>
      </w:pPr>
      <w:r>
        <w:rPr/>
        <w:t>​</w:t>
      </w:r>
    </w:p>
    <w:p>
      <w:pPr>
        <w:pStyle w:val="TextBody"/>
        <w:bidi w:val="0"/>
        <w:spacing w:lineRule="auto" w:line="285" w:before="0" w:after="160"/>
        <w:ind w:left="0" w:right="0" w:hanging="0"/>
        <w:jc w:val="both"/>
        <w:rPr>
          <w:rFonts w:ascii="Arial;Helvetica;sans-serif" w:hAnsi="Arial;Helvetica;sans-serif"/>
          <w:b/>
          <w:i/>
          <w:color w:val="ECA44A"/>
          <w:sz w:val="22"/>
        </w:rPr>
      </w:pPr>
      <w:r>
        <w:rPr>
          <w:rFonts w:ascii="Arial;Helvetica;sans-serif" w:hAnsi="Arial;Helvetica;sans-serif"/>
          <w:b/>
          <w:i/>
          <w:color w:val="ECA44A"/>
          <w:sz w:val="22"/>
        </w:rPr>
        <w:t>Loss of Containment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We define loss of containment as an unintended and uncontrolled release into the surrounding environment. We have implemented comprehensive policies and procedures in our EMS for strict compliance with all applicable requirements related to wastewater and other operational discharges.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APB-5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475" w:type="dxa"/>
        <w:jc w:val="left"/>
        <w:tblInd w:w="0" w:type="dxa"/>
        <w:tblLayout w:type="fixed"/>
        <w:tblCellMar>
          <w:top w:w="0" w:type="dxa"/>
          <w:left w:w="0" w:type="dxa"/>
          <w:bottom w:w="0" w:type="dxa"/>
          <w:right w:w="0" w:type="dxa"/>
        </w:tblCellMar>
      </w:tblPr>
      <w:tblGrid>
        <w:gridCol w:w="1321"/>
        <w:gridCol w:w="154"/>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32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APPENDIX B</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While customers design the well and determine the chemicals used in drilling operations, we have operational control over the fluids used for routine rig operations and maintenance. Loss of containment can arise from various factors, including operational integrity events, routine maintenance activities, and equipment failures. Preventing loss of containment involves proactive measures and best practices; for instance, loss of containment events are remediated in accordance with applicable law and recorded within the Company’s incident reporting system, and significant events are reviewed by management. Findings are communicated across the fleet as we attempt to improve future operational performance. Loss of containment incidents are reported by management to the GSE Committee.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We refer to process safety as operational integrity (“OI”), which is fundamental to the management of major hazards that may lead to low-frequency, high-consequence events; these events can result in impact to the environment, significant asset damage, or in the worst instance, loss of life. Since 2013, the Company has maintained a five-tier OI framework to categorize events based on potential impact to safety or the environment. The most impactful events are categorized as Tier 1 or Tier 2, which can occur when multiple operational barriers fail. Procedures governing OI are an integral part of our Company Management System (“CMS”), which puts effective processes in place.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Company management provides quarterly updates to the GSE Committee on the execution of our environmental practices and policies, assessing the sufficiency and efficacy of the CMS, reviewing performance, and identifying trends and areas for enhancement. For example, OI events are reviewed with the GSE Committee, and there were no Tier 1 or Tier 2 events recorded in 2025, continuing our strong performance from 2024 and 2023 when we also experienced no Tier 1 or Tier 2 events.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Under our environmental management system, we track and monitor our environmental performance using indicators such as the number and severity of OI events and loss of containment events, as well as fuel usage, which correlates to emissions.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Operational integrity is a key component of the Environmental &amp; Safety Performance measure in the 2025 Cash Bonus Plan to reinforce the importance of delivering safe and reliable operations, both for those onboard our assets and for the ecosystems in which we operate. Please see the “Compensation Discussion and Analysis” section of our proxy statement for additional information.</w:t>
      </w:r>
    </w:p>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005670"/>
          <w:sz w:val="28"/>
        </w:rPr>
      </w:pPr>
      <w:r>
        <w:rPr>
          <w:rFonts w:ascii="Arial;Helvetica;sans-serif" w:hAnsi="Arial;Helvetica;sans-serif"/>
          <w:b/>
          <w:color w:val="005670"/>
          <w:sz w:val="28"/>
        </w:rPr>
        <w:t xml:space="preserve">Social Matters </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development of oil and gas resources in tandem with renewables and other energy alternatives – or the “energy expansion” – is critical to meeting increasing global energy demand. We are committed to delivering safe, efficient, reliable, and responsible operations. To that end, we prioritize recruitment and retention of skilled, qualified, and capable personnel and invest in the training and development of our teams. Further, we continue to fund innovation and technology programs with the potential to meaningfully enhance the value of our services through improvements to safety, equipment performance, and fuel efficiency.</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Our approach to social matters is underpinned by our Health, Safety, Environment and Sustainability Policy Statement and our Company Management System, which together form an important part of our due diligence with respect to social and safety issues. Our Health, Safety, Environment and Sustainability Policy Statement is available on www.deepwater.com, and it sets forth our principles for how we work safely. This policy statement is overseen by the Board’s GSE Committee.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Our safety program focuses on three key components: personal safety, process safety, and occupational health. We conduct our business while prioritizing both the health and safety of our people and the integrity of our operations. Our safety vision is to conduct our operations in an incident-free workplace, all the time, everywhere. Underpinning this vision is our robust CMS, which details the policies and tools employed by our teams to complete their work safely, efficiently, and effectively. Our Company operates under an integrated management system that is certified ISO 45001.</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APB-6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475" w:type="dxa"/>
        <w:jc w:val="left"/>
        <w:tblInd w:w="0" w:type="dxa"/>
        <w:tblLayout w:type="fixed"/>
        <w:tblCellMar>
          <w:top w:w="0" w:type="dxa"/>
          <w:left w:w="0" w:type="dxa"/>
          <w:bottom w:w="0" w:type="dxa"/>
          <w:right w:w="0" w:type="dxa"/>
        </w:tblCellMar>
      </w:tblPr>
      <w:tblGrid>
        <w:gridCol w:w="124"/>
        <w:gridCol w:w="1351"/>
      </w:tblGrid>
      <w:tr>
        <w:trPr/>
        <w:tc>
          <w:tcPr>
            <w:tcW w:w="124" w:type="dxa"/>
            <w:tcBorders/>
            <w:vAlign w:val="center"/>
          </w:tcPr>
          <w:p>
            <w:pPr>
              <w:pStyle w:val="TableContents"/>
              <w:bidi w:val="0"/>
              <w:spacing w:lineRule="auto" w:line="285" w:before="0" w:after="0"/>
              <w:ind w:left="0" w:right="0" w:hanging="0"/>
              <w:jc w:val="both"/>
              <w:rPr/>
            </w:pPr>
            <w:r>
              <w:rPr/>
              <w:t>​</w:t>
            </w:r>
          </w:p>
        </w:tc>
        <w:tc>
          <w:tcPr>
            <w:tcW w:w="135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135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APPENDIX B</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Compliance with all local regulations and a comprehensive set of internal policies and procedures governing our operations is required. We prioritize the protection of everyone onboard our rigs and in our facilities, the environment, and our property at all work locations. Incidents are reported and investigated to determine the root cause, with fleetwide communication of lessons learned. Potential areas of improvement are targeted with a topic-specific improvement program.</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Transocean maintains a rigorous competency-based training program to provide our employees with the skills and tools needed to work safely. Our internal training board maintains and regularly updates our training matrix to meet or exceed industry standards, and it oversees our competency assurance management system, which is accredited by the OPITO. We provide various offshore training formats designed to address a variety of learning styles through on-the-job training, e-learning, customer-specific training, certifications, and leadership and licensing programs. We also offer simulation-based education, augmented by digital twin modeling, enabling our workforce to more accurately visualize equipment performance and target efficiencies. The certifications, skills and competencies needed for each role are communicated to the workforce, and workers are required to successfully complete the relevant training and attain necessary certifications prior to taking on new roles.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Our safety policies are implemented through a diverse range of programs, requirements, and tools. Through ongoing compliance assessments and audits, management monitors and verifies that work is executed following established policies and procedures. Findings are analyzed and shared across the fleet to bolster the Company’s safety performance and culture. Taken together, our safety policies, management systems, training programs and technology initiatives provide an effective framework for promoting safe operations and reducing workplace incidents, although we continue to focus on further improving our safety performance.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WorkSight, a digital assurance and verification application, is a key tool we use to cultivate safety performance and culture across our fleet. It is used to emphasize leading indicators of personal safety performance on our rigs. In WorkSight, rig teams identify potential hazards in their work and identify opportunities to eliminate or mitigate them, assess and challenge their behaviors, and seek areas for improvement. WorkSight leverages the expertise of our crews, frontline leaders, and senior rig leadership, along with data analytics and visualization, to influence behaviors and impact many aspects of our daily operations, thereby reinforcing process safety.</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Central to our management of process safety is our Critical Operations Assurance center in Houston, Texas. This center remotely monitors key rig activities globally in real-time to verify the activities are executed in accordance with Company requirements to promote safe and consistent outcomes across the fleet.</w:t>
      </w:r>
    </w:p>
    <w:p>
      <w:pPr>
        <w:pStyle w:val="TextBody"/>
        <w:bidi w:val="0"/>
        <w:spacing w:lineRule="auto" w:line="285" w:before="0" w:after="0"/>
        <w:ind w:left="0" w:right="0" w:hanging="0"/>
        <w:jc w:val="both"/>
        <w:rPr/>
      </w:pPr>
      <w:r>
        <w:rPr/>
        <w:t>​</w:t>
      </w:r>
    </w:p>
    <w:p>
      <w:pPr>
        <w:pStyle w:val="TextBody"/>
        <w:bidi w:val="0"/>
        <w:spacing w:lineRule="auto" w:line="240" w:before="0" w:after="0"/>
        <w:ind w:left="0" w:right="0" w:hanging="0"/>
        <w:jc w:val="both"/>
        <w:rPr>
          <w:rFonts w:ascii="Arial;Helvetica;sans-serif" w:hAnsi="Arial;Helvetica;sans-serif"/>
          <w:sz w:val="20"/>
        </w:rPr>
      </w:pPr>
      <w:r>
        <w:rPr>
          <w:rFonts w:ascii="Arial;Helvetica;sans-serif" w:hAnsi="Arial;Helvetica;sans-serif"/>
          <w:sz w:val="20"/>
        </w:rPr>
        <w:t>We also invest in and deploy new technologies to enhance our operational performance and improve the safety of our operations, such as HaloGuard</w:t>
      </w:r>
      <w:r>
        <w:rPr>
          <w:rFonts w:ascii="Arial;Helvetica;sans-serif" w:hAnsi="Arial;Helvetica;sans-serif"/>
          <w:sz w:val="15"/>
        </w:rPr>
        <w:t>SM</w:t>
      </w:r>
      <w:r>
        <w:rPr>
          <w:rFonts w:ascii="Arial;Helvetica;sans-serif" w:hAnsi="Arial;Helvetica;sans-serif"/>
          <w:sz w:val="20"/>
        </w:rPr>
        <w:t>, the rotary multitool and the robotic riser system. HaloGuard</w:t>
      </w:r>
      <w:r>
        <w:rPr>
          <w:rFonts w:ascii="Arial;Helvetica;sans-serif" w:hAnsi="Arial;Helvetica;sans-serif"/>
          <w:sz w:val="15"/>
        </w:rPr>
        <w:t>SM</w:t>
      </w:r>
      <w:r>
        <w:rPr>
          <w:rFonts w:ascii="Arial;Helvetica;sans-serif" w:hAnsi="Arial;Helvetica;sans-serif"/>
          <w:sz w:val="20"/>
        </w:rPr>
        <w:t xml:space="preserve"> is designed to alarm, notify and, if required, halt equipment to avoid injury to personnel working in the Red Zone, an area on the drill floor featuring elevated risk due to the presence of mobile heavy machinery. Transocean co-developed a rotary multitool to reduce manual tasks and enhance safety on the drill floor; it is currently installed on two rigs in our fleet, the Transocean Enabler and the Transocean Norge. This robotic riser system eliminates the need for personnel to be in the Red Zone during riser handling operations, which are among the most physically taxing and hazardous activities offshore. It is now deployed on four rigs in our fleet. We continue to engage with our customers regarding additional installations of these and other products to further enhance operational safety.</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The combined focus on personal safety, occupational safety and process safety enables Transocean to protect people, the environments in which we work, and our assets, while conducting our work efficiently and effectively. Job roles are evaluated to identify any associated potential hazards to implement effective processes and standards to mitigate risks and support the well-being of employees while on the job. We maintain strict requirements around personal protective equipment, task design, procedures, and equipment selection and maintenance to reduce risk and maintain a healthy environment. All rigs are staffed with a medical professional, equipped with an onboard clinic bolstered by 24/7 shore-based medical support and overseen by our Company medical director, a licensed physician.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APB-7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475" w:type="dxa"/>
        <w:jc w:val="left"/>
        <w:tblInd w:w="0" w:type="dxa"/>
        <w:tblLayout w:type="fixed"/>
        <w:tblCellMar>
          <w:top w:w="0" w:type="dxa"/>
          <w:left w:w="0" w:type="dxa"/>
          <w:bottom w:w="0" w:type="dxa"/>
          <w:right w:w="0" w:type="dxa"/>
        </w:tblCellMar>
      </w:tblPr>
      <w:tblGrid>
        <w:gridCol w:w="1321"/>
        <w:gridCol w:w="154"/>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32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APPENDIX B</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We measure our safety performance in terms of widely accepted ratios with the use of industry standards, including (a) Total Recordable Incident Rate (“TRIR”), which represents the number of recordable work-related injuries or illnesses for every 200,000 hours worked and (b) Lost Time Incident Rate (“LTIR”), which measures the number of incidents that result in lost time due to work-related injuries or illnesses for every 200,000 hours worked. In the year ended December 31, 2025, our TRIR was 0.19, a slight increase over our 2024 performance of 0.15. None of the incidents recorded in 2024 or 2025 resulted in life-changing injuries. Our LTIR was 0.00 in 2025, consistent with our excellent performance in 2024. The calculations of TRIR and LTIR were based on 11.5 million labor hours and 11.7 million labor hours in 2025 and 2024, respectively.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We measure the reliability and efficiency of our operations using uptime. Uptime is measured as total operating hours, minus downtime hours, expressed as a percentage of the maximum total operating hours. Operating hours are defined as the number of hours a rig is operating under a contract. Downtime is defined as the number of hours the rig is not engaged in drilling activities, resulting from Company mechanical failure or human performance error. In the year ended December 31, 2025, uptime was 97.7%, a Company record, and an improvement from 96.9% uptime performance in 2024.</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Personal Safety is a key component of the Environmental &amp; Safety Performance measure in the 2025 Cash Bonus Plan to reinforce the importance of delivering safe and reliable operations. Please see the “Compensation Discussion and Analysis” section of our proxy statement for additional information on the TRIR and uptime measures.</w:t>
      </w:r>
    </w:p>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005670"/>
          <w:sz w:val="28"/>
        </w:rPr>
      </w:pPr>
      <w:r>
        <w:rPr>
          <w:rFonts w:ascii="Arial;Helvetica;sans-serif" w:hAnsi="Arial;Helvetica;sans-serif"/>
          <w:b/>
          <w:color w:val="005670"/>
          <w:sz w:val="28"/>
        </w:rPr>
        <w:t>Employee Matters</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As of December 31, 2025, we had a global workforce of approximately 5,600 individuals, including approximately 380 contractors, representing 67 nationalities. As of December 31, 2025, our global workforce was geographically distributed in 20 countries across six continents as follows: 38 percent in North America, 26 percent in South America, 23 percent in Europe, six percent in Australia, four percent in Africa, and three percent in Asia.</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Transocean prioritizes the well-being of its employees from physical and financial health to emotional and social health. These four pillars guide our approach to employee benefits to help our team succeed professionally and personally. We work to attract, develop and retain a skilled workforce and to promote the well-being of our employees. We apply due diligence to employee matters through our global and regional human resources policies, our compensation and benefits frameworks and our competency-based training and development processes.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We endeavor to provide those who work at Transocean with a safe and respectful environment. We periodically assess our workplace and adapt our practices and policies to make sure our approach reflects contemporary norms and meets the needs and expectations of current and future talent. Our aim is to recruit, develop, and retain the best workforce in the offshore drilling industry. We value the varied skills, knowledge, expertise, perspectives, and backgrounds of our workforce, which enable the Company to navigate both the global and regional nuances of the offshore drilling business. As a company with customers, offices, and assets all over the world, we view our international workforce as a key factor in our success.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Due to the nature of our business and the many countries in which we operate, we offer regionally competitive benefits and adhere to internal global practices with the goal to meet or exceed local market standards.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b/>
          <w:i/>
          <w:sz w:val="20"/>
        </w:rPr>
        <w:t>Physical</w:t>
      </w:r>
      <w:r>
        <w:rPr>
          <w:rFonts w:ascii="Arial;Helvetica;sans-serif" w:hAnsi="Arial;Helvetica;sans-serif"/>
          <w:b/>
          <w:sz w:val="20"/>
        </w:rPr>
        <w:t>.</w:t>
      </w:r>
      <w:r>
        <w:rPr>
          <w:rFonts w:ascii="Arial;Helvetica;sans-serif" w:hAnsi="Arial;Helvetica;sans-serif"/>
          <w:sz w:val="20"/>
        </w:rPr>
        <w:t xml:space="preserve"> Our physical-wellness benefits program emphasizes promoting a healthy lifestyle through educational initiatives, preventive-care measures, and convenient access to medical advice and resources.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b/>
          <w:i/>
          <w:sz w:val="20"/>
        </w:rPr>
        <w:t>Financial</w:t>
      </w:r>
      <w:r>
        <w:rPr>
          <w:rFonts w:ascii="Arial;Helvetica;sans-serif" w:hAnsi="Arial;Helvetica;sans-serif"/>
          <w:sz w:val="20"/>
        </w:rPr>
        <w:t>. We offer our employees regionally competitive compensation and benefits packages that meet all regulatory requirements. In addition to providing competitive remuneration, we understand the importance of helping employees prepare for their future financial well-being, and we provide resources and guidance to assist our team in setting and achieving their financial goals. Offerings vary regionally and may include retirement savings programs, discount programs and personal meetings with financial advisors.</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APB-8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475" w:type="dxa"/>
        <w:jc w:val="left"/>
        <w:tblInd w:w="0" w:type="dxa"/>
        <w:tblLayout w:type="fixed"/>
        <w:tblCellMar>
          <w:top w:w="0" w:type="dxa"/>
          <w:left w:w="0" w:type="dxa"/>
          <w:bottom w:w="0" w:type="dxa"/>
          <w:right w:w="0" w:type="dxa"/>
        </w:tblCellMar>
      </w:tblPr>
      <w:tblGrid>
        <w:gridCol w:w="124"/>
        <w:gridCol w:w="1351"/>
      </w:tblGrid>
      <w:tr>
        <w:trPr/>
        <w:tc>
          <w:tcPr>
            <w:tcW w:w="124" w:type="dxa"/>
            <w:tcBorders/>
            <w:vAlign w:val="center"/>
          </w:tcPr>
          <w:p>
            <w:pPr>
              <w:pStyle w:val="TableContents"/>
              <w:bidi w:val="0"/>
              <w:spacing w:lineRule="auto" w:line="285" w:before="0" w:after="0"/>
              <w:ind w:left="0" w:right="0" w:hanging="0"/>
              <w:jc w:val="both"/>
              <w:rPr/>
            </w:pPr>
            <w:r>
              <w:rPr/>
              <w:t>​</w:t>
            </w:r>
          </w:p>
        </w:tc>
        <w:tc>
          <w:tcPr>
            <w:tcW w:w="135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135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APPENDIX B</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b/>
          <w:i/>
          <w:sz w:val="20"/>
        </w:rPr>
        <w:t>Emotional</w:t>
      </w:r>
      <w:r>
        <w:rPr>
          <w:rFonts w:ascii="Arial;Helvetica;sans-serif" w:hAnsi="Arial;Helvetica;sans-serif"/>
          <w:sz w:val="20"/>
        </w:rPr>
        <w:t xml:space="preserve">. We recognize the significance of emotional well-being, and we provide programs that support the emotional health of employees and their families. Offerings can vary regionally and may include programs such as Employee Assistance Programs and psychiatric care.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b/>
          <w:i/>
          <w:sz w:val="20"/>
        </w:rPr>
        <w:t>Social</w:t>
      </w:r>
      <w:r>
        <w:rPr>
          <w:rFonts w:ascii="Arial;Helvetica;sans-serif" w:hAnsi="Arial;Helvetica;sans-serif"/>
          <w:sz w:val="20"/>
        </w:rPr>
        <w:t>. Our social well-being strategy places a significant emphasis on the communities where we operate. As global corporate citizens, we embrace our responsibility to make positive contributions through financial support and volunteerism. Community initiatives and partnerships focus on areas such as education, health and well-being, and environmental conservation and restoration.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We continually assess and provide social and technological resources designed to improve the work environment. In addition, we create and enforce a respectful and inclusive work environment in which our global workforce can thrive. These measures, together with our focus on competitive compensation and benefits, development opportunities and a respectful culture, provide an effective framework for supporting employee well - being and engagement.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We aim to strategically cultivate a best-in-class workforce to offer the innovation, local knowledge and experience required of the world’s premier offshore drilling contractor. Our focus on the quality of our workforce is designed to maximize the quality of our work performance, and ultimately, the value we deliver.</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We invest in our workers by providing them with the transferable skill sets essential to advancing their professional development. To optimize the competitive position of our business, we maintain a competency-based training program as described in Social Matters.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As a business in the energy industry, we must operate with integrity, discipline and unconditional respect for our people, our communities and our environment. Our functional leadership teams work together to manage and execute our sustainability program, including investments in:</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Safety and training programs and tools to protect our people, assets, and the environments in which we operate.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Recruiting, developing, retaining, and motivating the industry’s most talented and geographically diverse workforce.</w:t>
            </w:r>
          </w:p>
        </w:tc>
      </w:tr>
    </w:tbl>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Benefits to promote employee health, well-being, and financial security.</w:t>
            </w:r>
          </w:p>
        </w:tc>
      </w:tr>
    </w:tbl>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Programs to support the global communities in which we operate.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5670"/>
              </w:rPr>
            </w:pPr>
            <w:r>
              <w:rPr>
                <w:color w:val="00567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Technologies that improve the safety, reliability, and efficiency of our assets and to reduce the impact our operations have on the environment.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We monitor employee-related matters using indicators such as workforce size and composition (including the number of employees and contractors, nationalities and geographic distribution described above), training and development activity under our competency-based training program and internal measures of employee engagement and well-being.</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Additionally, we embrace our role as a global corporate citizen, and we aim to positively impact communities where we live and operate. Our support focuses on education, health and well-being and environmental conservation and restoration. Some examples of the community organizations with which we have partnered, include Galveston Bay Foundation, Houston Food Bank, Udaan Foundation (India), Texas Children’s Hospital Heart Center (Global Programs), and Dress for Success Houston.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APB-9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475" w:type="dxa"/>
        <w:jc w:val="left"/>
        <w:tblInd w:w="0" w:type="dxa"/>
        <w:tblLayout w:type="fixed"/>
        <w:tblCellMar>
          <w:top w:w="0" w:type="dxa"/>
          <w:left w:w="0" w:type="dxa"/>
          <w:bottom w:w="0" w:type="dxa"/>
          <w:right w:w="0" w:type="dxa"/>
        </w:tblCellMar>
      </w:tblPr>
      <w:tblGrid>
        <w:gridCol w:w="1321"/>
        <w:gridCol w:w="154"/>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32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APPENDIX B</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color w:val="005670"/>
          <w:sz w:val="28"/>
        </w:rPr>
      </w:pPr>
      <w:r>
        <w:rPr>
          <w:rFonts w:ascii="Arial;Helvetica;sans-serif" w:hAnsi="Arial;Helvetica;sans-serif"/>
          <w:b/>
          <w:color w:val="005670"/>
          <w:sz w:val="28"/>
        </w:rPr>
        <w:t>Human Rights Matters</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As a global company, we view it as our obligation to uphold human rights throughout all operations, regardless of whether those rights are protected by local laws. We work hard to make sure our business operations do not cause or contribute to (directly or indirectly) adverse impacts on human rights. We demonstrate our respect for human rights by maintaining a healthy and safe work environment, observing fair employment practices, and providing competitive employment terms. Practices such as modern slavery, child labor, forced or indentured servitude, and other human rights abuses, are strictly prohibited.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Our commitment to respect human rights is set out in our Code of Integrity and Human Rights Policy Statement, and we apply due diligence to human rights matters through the policies, screening, assessment and reporting processes described in this section. The Code of Integrity and Human Rights Policy Statement are available on www.deepwater.com.</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Transocean's Code of Integrity and Human Rights Policy Statement apply to all members of our Board, executives, employees, and business partners, which include contractors, suppliers, vendors, and joint venture partners. The Code outlines our company’s ethical values and sets out the minimum behaviors we expect from our team and how to report concerns. The Human Rights Policy Statement explains how the Company approaches Human Rights topics in its direct business operations and in the supply chain to maintain an organizational culture that supports the protection of human rights and takes reasonable measures to avoid contributing to adverse human rights impacts. Both the Code of Integrity and Human Rights Policy Statement are available on the Company website. Together, these documents, and the processes described below, form the core of our due diligence approach to human rights.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b/>
          <w:i/>
          <w:sz w:val="20"/>
        </w:rPr>
        <w:t>In our Business Operations</w:t>
      </w:r>
      <w:r>
        <w:rPr>
          <w:rFonts w:ascii="Arial;Helvetica;sans-serif" w:hAnsi="Arial;Helvetica;sans-serif"/>
          <w:sz w:val="20"/>
        </w:rPr>
        <w:t>. We expect Transocean employees and representatives to act lawfully and respectfully toward those we conduct business with and toward parties in the local communities in which we operate. These expectations are outlined in our Code of Integrity, as well as various enterprise-wide policies. We ensure the protection of Transocean employee rights through policies and procedures established by the Human Resources, Health, Safety &amp; Environment, and Legal departments.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b/>
          <w:i/>
          <w:sz w:val="20"/>
        </w:rPr>
        <w:t>Throughout our Supply Chain</w:t>
      </w:r>
      <w:r>
        <w:rPr>
          <w:rFonts w:ascii="Arial;Helvetica;sans-serif" w:hAnsi="Arial;Helvetica;sans-serif"/>
          <w:sz w:val="20"/>
        </w:rPr>
        <w:t>. We expect our business partners, including our suppliers, to share our commitment to respect human rights. Suppliers must comply with our Code of Integrity, which specifically outlines our expectations related to human rights. Suppliers must also comply with our standard contract provisions, which require strict adherence to all applicable laws, including human rights laws.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To manage the Company’s human rights risk, we select our suppliers and business partners carefully, and we require them to manage their own suppliers and business partners with the same care. Before engaging in a business relationship with a supplier, we conduct background screenings and contractually obligate suppliers to comply with (a) all applicable laws, which include those pertaining to human rights or modern slavery; (b) our Code of Integrity, which outlines the expectations of supplier conduct and imposes an obligation to report any conduct that does not meet those expectations; (c) human rights review exercises conducted by us or a third party that we appoint to make sure they are meeting those obligations, for key suppliers; and (d) our standard that our suppliers impose the same human rights obligations on their suppliers. Throughout the business relationship, we periodically engage with suppliers to reinforce Company expectations, monitor their performance via tools like restricted party screening, and formal and informal site visits, and conduct human rights reviews pursuant to a risk-based plan.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Periodically, Transocean conducts a Human Rights Risk Identification and Assessment exercise to identify, evaluate, and monitor potential risks of adverse impacts on human rights and decent working conditions. We consider a variety of factors in assessing the Company’s risk of causing, contributing to, or otherwise being linked to, actual and potential adverse impacts on human rights and decent working conditions, including scale, scope, and remediation. None of the human rights assessments conducted in 2025 yielded any evidence of violations of Transocean standards or applicable law.</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APB-10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475" w:type="dxa"/>
        <w:jc w:val="left"/>
        <w:tblInd w:w="0" w:type="dxa"/>
        <w:tblLayout w:type="fixed"/>
        <w:tblCellMar>
          <w:top w:w="0" w:type="dxa"/>
          <w:left w:w="0" w:type="dxa"/>
          <w:bottom w:w="0" w:type="dxa"/>
          <w:right w:w="0" w:type="dxa"/>
        </w:tblCellMar>
      </w:tblPr>
      <w:tblGrid>
        <w:gridCol w:w="124"/>
        <w:gridCol w:w="1351"/>
      </w:tblGrid>
      <w:tr>
        <w:trPr/>
        <w:tc>
          <w:tcPr>
            <w:tcW w:w="124" w:type="dxa"/>
            <w:tcBorders/>
            <w:vAlign w:val="center"/>
          </w:tcPr>
          <w:p>
            <w:pPr>
              <w:pStyle w:val="TableContents"/>
              <w:bidi w:val="0"/>
              <w:spacing w:lineRule="auto" w:line="285" w:before="0" w:after="0"/>
              <w:ind w:left="0" w:right="0" w:hanging="0"/>
              <w:jc w:val="both"/>
              <w:rPr/>
            </w:pPr>
            <w:r>
              <w:rPr/>
              <w:t>​</w:t>
            </w:r>
          </w:p>
        </w:tc>
        <w:tc>
          <w:tcPr>
            <w:tcW w:w="135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135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APPENDIX B</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Our Speak Up Culture is designed to encourage our workforce and business partners to report any concerns. In instances where someone has a concern or believes that there has or may have been a violation of our human rights policies or any other policies, the individual is encouraged to report any concerns to a manager, Human Resources, or through the HelpLine. To ensure consistency around how reports are managed and investigated, the Human Resources and Legal Compliance and Ethics (“LCE”) functions follow investigation policies and procedures. Transocean adheres to a strict non-retaliation policy for concerns raised in good faith.</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Because Transocean’s operations are mostly comprised of employees and contractors performing highly technical services in an industry with tightly controlled regulatory environments, the Company’s overall human rights risk can be characterized as relatively low. In our own operations, human rights risks relate primarily to working conditions, health and safety. In our supply chain and other business relationships, we may be exposed to risks such as non-compliance with labor standards, inadequate working conditions or other human rights concerns at third parties. In 2025, Transocean did not identify any actual adverse impacts on human rights or decent working conditions in its operations, supply chain, or business relationships. Continuous focus on identifying these areas helps us prioritize how we address and prevent adverse human rights impacts across operations and extended supply chain.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Continuous focus on identifying these areas helps us prioritize how we address and prevent adverse human rights impacts across operations and extended supply chain. Further, employees are required to complete our Code of Integrity training (“LCE training”) on an annual basis, which covers varying topics from year to year, including human rights. Additionally, to make sure we are aware of, and can adequately address, any actual or suspected human rights violations, Transocean provides a 24-hour, third-party managed HelpLine, accessible at </w:t>
      </w:r>
      <w:r>
        <w:rPr>
          <w:rFonts w:ascii="Arial;Helvetica;sans-serif" w:hAnsi="Arial;Helvetica;sans-serif"/>
          <w:color w:val="005670"/>
          <w:sz w:val="20"/>
        </w:rPr>
        <w:t>www.transocean.ethicspoint.com,</w:t>
      </w:r>
      <w:r>
        <w:rPr>
          <w:rFonts w:ascii="Arial;Helvetica;sans-serif" w:hAnsi="Arial;Helvetica;sans-serif"/>
          <w:sz w:val="20"/>
        </w:rPr>
        <w:t xml:space="preserve"> where individuals can raise concerns in good faith without the fear of retaliation. HelpLine reports can be made anonymously, at any time, by anyone, and by phone or the web.</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We periodically incorporate a Human Rights module into our LCE training to strengthen every employee’s, including management’s understanding of human rights protections, including taking all reasonable measures to avoid contributing to adverse human rights impacts, and how to identify and report potential issues.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These measures, together with our screening, assessment and reporting practices described above, provide an effective framework to prevent, mitigate, identify and address potential human rights issues in our operations, supply chain and other business relationships. We monitor the operation of this framework using indicators such as the number and nature of human rights-related concerns reported through our channels and the outcome of human rights risk assessments and supplier reviews, where applicable. In 2025, none of the human rights assessments conducted and none of the concerns reported through our channels resulted in the identification of an actual adverse impact on human rights or decent working conditions.</w:t>
      </w:r>
    </w:p>
    <w:p>
      <w:pPr>
        <w:pStyle w:val="TextBody"/>
        <w:bidi w:val="0"/>
        <w:spacing w:lineRule="auto" w:line="285" w:before="0" w:after="200"/>
        <w:ind w:left="0" w:right="0" w:hanging="0"/>
        <w:jc w:val="both"/>
        <w:rPr>
          <w:color w:val="005670"/>
        </w:rPr>
      </w:pPr>
      <w:r>
        <w:rPr>
          <w:color w:val="005670"/>
        </w:rPr>
        <w:t>​</w:t>
      </w:r>
    </w:p>
    <w:p>
      <w:pPr>
        <w:pStyle w:val="TextBody"/>
        <w:bidi w:val="0"/>
        <w:spacing w:lineRule="auto" w:line="285" w:before="0" w:after="200"/>
        <w:ind w:left="0" w:right="0" w:hanging="0"/>
        <w:jc w:val="both"/>
        <w:rPr>
          <w:rFonts w:ascii="Arial;Helvetica;sans-serif" w:hAnsi="Arial;Helvetica;sans-serif"/>
          <w:b/>
          <w:color w:val="005670"/>
          <w:sz w:val="28"/>
        </w:rPr>
      </w:pPr>
      <w:r>
        <w:rPr>
          <w:rFonts w:ascii="Arial;Helvetica;sans-serif" w:hAnsi="Arial;Helvetica;sans-serif"/>
          <w:b/>
          <w:color w:val="005670"/>
          <w:sz w:val="28"/>
        </w:rPr>
        <w:t>Anti-Corruption Matters</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Earning and maintaining trust requires a commitment to integrity in every aspect of our business, from how we obtain business opportunities to compliance with the most technical of laws. We always endeavor to conduct business fairly and transparently. It is what Transocean is known for, and what is expected from the world’s leading offshore drilling provider. The Company is committed to complying with applicable anti-bribery and anti-corruption laws, and our Code of Integrity and Anti-Corruption and Business Conduct Standard strictly prohibit bribery and improper payments. Our ethics and compliance framework and third-party due diligence processes form an important part of our due diligence with respect to corruption risks.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Our approach to ethics and compliance is grounded in a risk-based methodology aligned with the expectations of effective compliance programs enumerated by various regulators, including the U.S. Department of Justice and the U.S. Securities and Exchange Commission. Accordingly, we conduct annual risk assessments, establish and enforce policies and procedures related to, among others, antibribery and anticorruption, gifts, meals and entertainment, and financial controls, provide associated training and communication, perform auditing and monitoring activities, and conduct investigations, where necessary. Together, these elements serve as the foundation of our LCE program. At Transocean, we know that everyone, whether they work for or on behalf of the Company, is responsible for ethics and compliance. The Company conducts annual LCE </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APB-11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475" w:type="dxa"/>
        <w:jc w:val="left"/>
        <w:tblInd w:w="0" w:type="dxa"/>
        <w:tblLayout w:type="fixed"/>
        <w:tblCellMar>
          <w:top w:w="0" w:type="dxa"/>
          <w:left w:w="0" w:type="dxa"/>
          <w:bottom w:w="0" w:type="dxa"/>
          <w:right w:w="0" w:type="dxa"/>
        </w:tblCellMar>
      </w:tblPr>
      <w:tblGrid>
        <w:gridCol w:w="1321"/>
        <w:gridCol w:w="154"/>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32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APPENDIX B</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training on relevant topics, as well as periodic training tailored to specific audiences, delivered through a variety of in-person and digital formats. It is crucial for us to seamlessly integrate our LCE program into our business processes, making sure it is relevant and aligns with our operations. We collaborate across the Company to identify ethics and compliance risks and make sure they are appropriately addressed and mitigated. Transocean’s Code of Integrity Committee holds quarterly meetings with key management personnel, fostering discussions on the integration of LCE program controls and initiatives into our business operations and project execution. These meetings also serve as a platform to identify areas for improvement.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Code of Integrity applies to all individuals working for, or on behalf of Transocean, including Board members, executives, employees, and business partners. We require third parties we work with to understand, adhere to, and periodically certify compliance with the Code of Integrity, which includes compliance with all applicable laws. In situations where the Code of Integrity may conflict with local customs or laws, we follow the more stringent standard. To promote an ethical business culture and underscore the importance of complying with all applicable laws and Company policies, we provide training focused on our Code of Integrity and other relevant compliance topics.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Transocean’s Anti-Corruption and Business Conduct Standard strictly prohibits making, offering, receiving, or agreeing to receive bribes of any kind. A bribe is made when anything of value, financial or otherwise, is offered to gain or retain an improper business advantage, even if the advantage is ultimately not received. Bribes erode the rule of law, hurt communities, harm reputations, and expose companies and individuals to criminal liability.</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Transocean has implemented measures to prevent and detect potential bribes, and our most important tool will always be the vigilance of our employees and business partners in identifying and reporting any instances or suspicions of impropriety. We believe that these measures, taken together, provide an effective framework for preventing and detecting bribery and corruption.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In addition to the diligence measures described in the Human Rights Matters section above, when we engage with third-party intermediaries (“TPIs”), a subset of suppliers that interact with government officials on our behalf, we take the supplier evaluation and review process a step further. We subject TPIs to a stringent vetting, training, and monitoring process at the time of onboarding and throughout their business relationship with the Company. Our internal TPI Oversight Committee oversees this process and regularly meets throughout the year. Also, the Board has a well-defined policy regarding related party transactions, which entails a thorough recurring review, approval, or ratification process. The responsibility for reviewing, approving, and/or ratifying any related party transaction lies with the Audit Committee, supported by the Company’s Chief Legal Officer. It is mandatory for directors and executive officers to disclose in a timely manner any transactions in which they, their immediate family members, or other related persons have an interest. This transparent approach provides for proper oversight and safeguards against any potential conflicts of interest.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Our activities expose us to corruption risks in certain jurisdictions and in interactions with government officials and commercial counterparties, particularly where we rely on third-party intermediaries for business development or operational support. We mitigate these risks through our risk-based compliance program, including due diligence on TPIs and higher-risk counterparties, contractual safeguards, training and ongoing monitoring, and by promoting a culture of integrity and speaking up.</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Transocean also encourages employees and those we work with to report any concerns they may have, including potential violations of our Code of Integrity. Through the HelpLine, a third-party managed service available 24/7 on a global scale, we provide a reporting channel, where concerns may be reported anonymously. Upholding our commitment to protect those who make reports in good faith, we strictly enforce a zero-tolerance policy against any form of retaliation. We take Code of Integrity violations seriously and allocate all necessary resources to conduct fair and thorough investigations. All investigations are conducted with confidentiality, in accordance with legal requirements. To the extent possible, confidentiality is maintained throughout the entire investigation process, from the initial reporting to the final resolution.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All HelpLine reports regarding alleged Code of Integrity violations are diligently reviewed and investigated, and LCE presents regular updates to the Audit Committee of the Board of Directors.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APB-12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475" w:type="dxa"/>
        <w:jc w:val="left"/>
        <w:tblInd w:w="0" w:type="dxa"/>
        <w:tblLayout w:type="fixed"/>
        <w:tblCellMar>
          <w:top w:w="0" w:type="dxa"/>
          <w:left w:w="0" w:type="dxa"/>
          <w:bottom w:w="0" w:type="dxa"/>
          <w:right w:w="0" w:type="dxa"/>
        </w:tblCellMar>
      </w:tblPr>
      <w:tblGrid>
        <w:gridCol w:w="124"/>
        <w:gridCol w:w="1351"/>
      </w:tblGrid>
      <w:tr>
        <w:trPr/>
        <w:tc>
          <w:tcPr>
            <w:tcW w:w="124" w:type="dxa"/>
            <w:tcBorders/>
            <w:vAlign w:val="center"/>
          </w:tcPr>
          <w:p>
            <w:pPr>
              <w:pStyle w:val="TableContents"/>
              <w:bidi w:val="0"/>
              <w:spacing w:lineRule="auto" w:line="285" w:before="0" w:after="0"/>
              <w:ind w:left="0" w:right="0" w:hanging="0"/>
              <w:jc w:val="both"/>
              <w:rPr/>
            </w:pPr>
            <w:r>
              <w:rPr/>
              <w:t>​</w:t>
            </w:r>
          </w:p>
        </w:tc>
        <w:tc>
          <w:tcPr>
            <w:tcW w:w="135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135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APPENDIX B</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Transocean maintains a risk-based monitoring and response program designed to detect inconsistencies in control execution and to support the continuous improvement of the LCE program. Transocean also regularly reviews its policies and systematic controls to identify potential control enhancements. We actively seek feedback from our workforce regarding our program initiatives, utilizing employees’ input to enhance policies and procedures for maximum effectiveness. Using reporting information and data analytics derived from our annual LCE training allows us to measure the effectiveness of initiatives and tailor the program to address, in real-time, the needs of our people, customers and business.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In 2025, the Company's annual LCE training was assigned to 5,100 onshore and offshore personnel. The training was made available in English, Brazilian Portuguese, and Norwegian, and covered anti-corruption; gifts, meals, and entertainment; conflicts of interest; and respectful workplace behavior. The completion rate for the 2025 LCE training campaign was [99%].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Company also rolled out the 2025 LCE Third-Party Training to certain of the Company’s TPIs and other business partners. While TPIs are required to complete the Company’s online training at onboarding and recertification, the annual LCE Third-Party Training is an additional requirement for those TPIs identified as higher-risk through LCE’s risk-based methodology.</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We monitor the effectiveness of our anti-corruption program using indicators such as completion rates and performance analytics for Code of Integrity and anti-corruption training, the number and outcome of investigations relating to potential integrity or compliance violations and the results of TPI due diligence and monitoring activities.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APB-13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475" w:type="dxa"/>
        <w:jc w:val="left"/>
        <w:tblInd w:w="0" w:type="dxa"/>
        <w:tblLayout w:type="fixed"/>
        <w:tblCellMar>
          <w:top w:w="0" w:type="dxa"/>
          <w:left w:w="0" w:type="dxa"/>
          <w:bottom w:w="0" w:type="dxa"/>
          <w:right w:w="0" w:type="dxa"/>
        </w:tblCellMar>
      </w:tblPr>
      <w:tblGrid>
        <w:gridCol w:w="1321"/>
        <w:gridCol w:w="154"/>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132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APPENDIX B</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both"/>
        <w:rPr>
          <w:rFonts w:ascii="Arial;Helvetica;sans-serif" w:hAnsi="Arial;Helvetica;sans-serif"/>
          <w:b/>
          <w:sz w:val="24"/>
        </w:rPr>
      </w:pPr>
      <w:r>
        <w:rPr>
          <w:rFonts w:ascii="Arial;Helvetica;sans-serif" w:hAnsi="Arial;Helvetica;sans-serif"/>
          <w:b/>
          <w:sz w:val="24"/>
        </w:rPr>
        <w:t>FORWARD LOOKING STATEMENTS</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statements described herein that are not historical facts are forward-looking statements within the meaning of Section 27A of the Securities Act of 1933, as amended, and Section 21E of the Securities Exchange Act of 1934, as amended. These statements could contain words such as “possible,” “intend,” “will,” “if,” “expect,” or other similar expressions.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Forward-looking statements are based on management’s current expectations and assumptions and are subject to inherent uncertainties, risks and changes in circumstances that are difficult to predict. As a result, actual results could differ materially from those indicated in these forward-looking statements. Factors that could cause actual results to differ materially include, but are not limited to, estimated duration of customer contracts, contract dayrate amounts, future contract commencement dates and locations, planned shipyard projects and other out- of-service time, sales of drilling units, timing of the Company’s newbuild deliveries, operating hazards and delays, risks associated with international operations, actions by customers and other third parties, the fluctuation of current and future prices of oil and gas, the global and regional supply and demand for oil and gas, the intention to scrap certain drilling rigs, the success of our business following prior acquisitions, the effects of the spread of and mitigation efforts by governments, businesses and individuals related to contagious illnesses and other factors, including those and other risks discussed in the Company’s most recent annual report on Form 10-K for the year ended December 31, 2025, and in the Company’s other filings with the U.S. Securities and Exchange Commission (“SEC”), which are available free of charge on the SEC’s website at </w:t>
      </w:r>
      <w:r>
        <w:rPr>
          <w:rFonts w:ascii="Arial;Helvetica;sans-serif" w:hAnsi="Arial;Helvetica;sans-serif"/>
          <w:color w:val="005670"/>
          <w:sz w:val="20"/>
        </w:rPr>
        <w:t>www.sec.gov</w:t>
      </w:r>
      <w:r>
        <w:rPr>
          <w:rFonts w:ascii="Arial;Helvetica;sans-serif" w:hAnsi="Arial;Helvetica;sans-serif"/>
          <w:sz w:val="20"/>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Should one or more of these risks or uncertainties materialize (or the other consequences of such a development worsen), or should underlying assumptions prove incorrect, actual results may vary materially from those indicated or expressed or implied by such forward-looking statements. All subsequent written and oral forward-looking statements attributable to the Company or to persons acting on our behalf are expressly qualified in their entirety by reference to these risks and uncertainties. You should not place undue reliance on forward-looking statements, each of which speaks only as of the date of the particular statement. We expressly disclaim any obligations or undertaking to release publicly any updates or revisions to any forward-looking statement to reflect any change in our expectations or beliefs with regard to the statement or any changes in events, conditions or circumstances on which any forward-looking statement is based, except as required by law. All non-GAAP financial measure reconciliations to the most comparative GAAP measure are displayed in quantitative schedules on the Company’s website at www.deepwater.com.</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This report, or referenced documents, do not constitute an offer to sell, or a solicitation of an offer to buy, any securities, and do not constitute an offering prospectus within the meaning of the Swiss Financial Services Act (FinSA) or advertising within the meaning of the FinSA. Investors must rely on their own evaluation of Transocean and its securities, including the merits and risks involved. Nothing contained herein is, or shall be relied on as, a promise or representation as to the future performance of Transocean.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Information contained on or accessible from our website is not incorporated by reference into this Report and should not be considered a part of this Report or any other filing that we make with the SEC. References to website URLs are intended to be inactive textual references only.</w:t>
      </w:r>
    </w:p>
    <w:p>
      <w:pPr>
        <w:pStyle w:val="TextBody"/>
        <w:bidi w:val="0"/>
        <w:spacing w:lineRule="auto" w:line="285" w:before="200" w:after="200"/>
        <w:ind w:left="0" w:right="0" w:hanging="0"/>
        <w:jc w:val="center"/>
        <w:rPr>
          <w:rFonts w:ascii="Arial;Helvetica;sans-serif" w:hAnsi="Arial;Helvetica;sans-serif"/>
          <w:sz w:val="20"/>
        </w:rPr>
      </w:pPr>
      <w:r>
        <w:rPr>
          <w:rFonts w:ascii="Arial;Helvetica;sans-serif" w:hAnsi="Arial;Helvetica;sans-serif"/>
          <w:sz w:val="20"/>
        </w:rPr>
        <w:t>** ** **</w:t>
      </w:r>
    </w:p>
    <w:p>
      <w:pPr>
        <w:pStyle w:val="TextBody"/>
        <w:bidi w:val="0"/>
        <w:spacing w:lineRule="auto" w:line="285" w:before="0" w:after="200"/>
        <w:ind w:left="0" w:right="0" w:hanging="0"/>
        <w:jc w:val="both"/>
        <w:rPr/>
      </w:pPr>
      <w:r>
        <w:rPr/>
        <w:t>​</w:t>
      </w:r>
    </w:p>
    <w:p>
      <w:pPr>
        <w:pStyle w:val="TextBody"/>
        <w:bidi w:val="0"/>
        <w:spacing w:lineRule="auto" w:line="285" w:before="0" w:after="20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APB-14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rFonts w:ascii="Arial;Helvetica;sans-serif" w:hAnsi="Arial;Helvetica;sans-serif"/>
          <w:b/>
          <w:color w:val="ECA44A"/>
          <w:sz w:val="40"/>
        </w:rPr>
      </w:pPr>
      <w:bookmarkStart w:id="348" w:name="ANNEXA"/>
      <w:bookmarkStart w:id="349" w:name="_f18c9a1c_feff_462e_9aeb_6d03819d8d60"/>
      <w:bookmarkEnd w:id="348"/>
      <w:bookmarkEnd w:id="349"/>
      <w:r>
        <w:rPr>
          <w:rFonts w:ascii="Arial;Helvetica;sans-serif" w:hAnsi="Arial;Helvetica;sans-serif"/>
          <w:b/>
          <w:color w:val="ECA44A"/>
          <w:sz w:val="40"/>
        </w:rPr>
        <w:t>ANNEX A</w:t>
      </w:r>
    </w:p>
    <w:p>
      <w:pPr>
        <w:pStyle w:val="TextBody"/>
        <w:bidi w:val="0"/>
        <w:spacing w:lineRule="auto" w:line="285" w:before="0" w:after="160"/>
        <w:ind w:left="0" w:right="0" w:hanging="0"/>
        <w:jc w:val="both"/>
        <w:rPr>
          <w:rFonts w:ascii="Arial;Helvetica;sans-serif" w:hAnsi="Arial;Helvetica;sans-serif"/>
          <w:b/>
          <w:sz w:val="20"/>
        </w:rPr>
      </w:pPr>
      <w:r>
        <w:rPr>
          <w:rFonts w:ascii="Arial;Helvetica;sans-serif" w:hAnsi="Arial;Helvetica;sans-serif"/>
          <w:b/>
          <w:sz w:val="20"/>
        </w:rPr>
        <w:t>Amendment to Article 5 of the Articles of Association</w:t>
      </w:r>
    </w:p>
    <w:tbl>
      <w:tblPr>
        <w:tblW w:w="10205" w:type="dxa"/>
        <w:jc w:val="left"/>
        <w:tblInd w:w="0" w:type="dxa"/>
        <w:tblLayout w:type="fixed"/>
        <w:tblCellMar>
          <w:top w:w="0" w:type="dxa"/>
          <w:left w:w="0" w:type="dxa"/>
          <w:bottom w:w="0" w:type="dxa"/>
          <w:right w:w="0" w:type="dxa"/>
        </w:tblCellMar>
      </w:tblPr>
      <w:tblGrid>
        <w:gridCol w:w="1111"/>
        <w:gridCol w:w="211"/>
        <w:gridCol w:w="4466"/>
        <w:gridCol w:w="703"/>
        <w:gridCol w:w="211"/>
        <w:gridCol w:w="3503"/>
      </w:tblGrid>
      <w:tr>
        <w:trPr/>
        <w:tc>
          <w:tcPr>
            <w:tcW w:w="1111"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4466" w:type="dxa"/>
            <w:tcBorders/>
            <w:vAlign w:val="center"/>
          </w:tcPr>
          <w:p>
            <w:pPr>
              <w:pStyle w:val="TableContents"/>
              <w:bidi w:val="0"/>
              <w:spacing w:before="0" w:after="283"/>
              <w:ind w:left="0" w:right="0" w:hanging="0"/>
              <w:jc w:val="left"/>
              <w:rPr>
                <w:sz w:val="4"/>
                <w:szCs w:val="4"/>
              </w:rPr>
            </w:pPr>
            <w:r>
              <w:rPr>
                <w:sz w:val="4"/>
                <w:szCs w:val="4"/>
              </w:rPr>
            </w:r>
          </w:p>
        </w:tc>
        <w:tc>
          <w:tcPr>
            <w:tcW w:w="703"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3503" w:type="dxa"/>
            <w:tcBorders/>
            <w:vAlign w:val="center"/>
          </w:tcPr>
          <w:p>
            <w:pPr>
              <w:pStyle w:val="TableContents"/>
              <w:bidi w:val="0"/>
              <w:spacing w:before="0" w:after="283"/>
              <w:ind w:left="0" w:right="0" w:hanging="0"/>
              <w:jc w:val="left"/>
              <w:rPr>
                <w:sz w:val="4"/>
                <w:szCs w:val="4"/>
              </w:rPr>
            </w:pPr>
            <w:r>
              <w:rPr>
                <w:sz w:val="4"/>
                <w:szCs w:val="4"/>
              </w:rPr>
            </w:r>
          </w:p>
        </w:tc>
      </w:tr>
      <w:tr>
        <w:trPr/>
        <w:tc>
          <w:tcPr>
            <w:tcW w:w="1111"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4466" w:type="dxa"/>
            <w:tcBorders/>
            <w:vAlign w:val="center"/>
          </w:tcPr>
          <w:p>
            <w:pPr>
              <w:pStyle w:val="TableContents"/>
              <w:bidi w:val="0"/>
              <w:spacing w:before="60" w:after="60"/>
              <w:ind w:left="0" w:right="0" w:hanging="0"/>
              <w:jc w:val="left"/>
              <w:rPr>
                <w:rFonts w:ascii="Arial;Helvetica;sans-serif" w:hAnsi="Arial;Helvetica;sans-serif"/>
                <w:b/>
                <w:sz w:val="18"/>
              </w:rPr>
            </w:pPr>
            <w:r>
              <w:rPr>
                <w:rFonts w:ascii="Arial;Helvetica;sans-serif" w:hAnsi="Arial;Helvetica;sans-serif"/>
                <w:b/>
                <w:sz w:val="18"/>
              </w:rPr>
              <w:t>Artikel 5</w:t>
            </w:r>
          </w:p>
        </w:tc>
        <w:tc>
          <w:tcPr>
            <w:tcW w:w="703"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3503" w:type="dxa"/>
            <w:tcBorders/>
            <w:vAlign w:val="center"/>
          </w:tcPr>
          <w:p>
            <w:pPr>
              <w:pStyle w:val="TableContents"/>
              <w:bidi w:val="0"/>
              <w:spacing w:before="60" w:after="60"/>
              <w:ind w:left="0" w:right="0" w:hanging="0"/>
              <w:jc w:val="left"/>
              <w:rPr>
                <w:rFonts w:ascii="Arial;Helvetica;sans-serif" w:hAnsi="Arial;Helvetica;sans-serif"/>
                <w:b/>
                <w:sz w:val="18"/>
              </w:rPr>
            </w:pPr>
            <w:r>
              <w:rPr>
                <w:rFonts w:ascii="Arial;Helvetica;sans-serif" w:hAnsi="Arial;Helvetica;sans-serif"/>
                <w:b/>
                <w:sz w:val="18"/>
              </w:rPr>
              <w:t>Article 5</w:t>
            </w:r>
          </w:p>
        </w:tc>
      </w:tr>
      <w:tr>
        <w:trPr/>
        <w:tc>
          <w:tcPr>
            <w:tcW w:w="1111"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Kapitalband</w:t>
            </w:r>
          </w:p>
        </w:tc>
        <w:tc>
          <w:tcPr>
            <w:tcW w:w="211"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1</w:t>
            </w:r>
          </w:p>
        </w:tc>
        <w:tc>
          <w:tcPr>
            <w:tcW w:w="4466"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Die Gesellschaft verfügt über ein Kapitalband zwischen USD 108'360'871.30 (untere Gren-ze) und USD 144'481'161.70 (obere Grenze). Das Kapitalband kann für die Zwecke und gemäss den Best-immungen dieses Artikels 5 genutzt werden.</w:t>
            </w:r>
          </w:p>
        </w:tc>
        <w:tc>
          <w:tcPr>
            <w:tcW w:w="703"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Capital Band</w:t>
            </w:r>
          </w:p>
        </w:tc>
        <w:tc>
          <w:tcPr>
            <w:tcW w:w="211"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1</w:t>
            </w:r>
          </w:p>
        </w:tc>
        <w:tc>
          <w:tcPr>
            <w:tcW w:w="3503"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The Company has a capital band ranging from USD 108,360,871.30 (lower limit) to USD 144,481,161.70 (upper limit). The capital band may be used for the purpose of and in accordance with the provisions of this Article 5.</w:t>
            </w:r>
          </w:p>
        </w:tc>
      </w:tr>
      <w:tr>
        <w:trPr/>
        <w:tc>
          <w:tcPr>
            <w:tcW w:w="1111"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2</w:t>
            </w:r>
          </w:p>
        </w:tc>
        <w:tc>
          <w:tcPr>
            <w:tcW w:w="4466" w:type="dxa"/>
            <w:tcBorders/>
            <w:vAlign w:val="center"/>
          </w:tcPr>
          <w:p>
            <w:pPr>
              <w:pStyle w:val="TableContents"/>
              <w:bidi w:val="0"/>
              <w:spacing w:lineRule="auto" w:line="304" w:before="0" w:after="0"/>
              <w:ind w:left="0" w:right="0" w:hanging="0"/>
              <w:jc w:val="left"/>
              <w:rPr>
                <w:rFonts w:ascii="Arial;Helvetica;sans-serif" w:hAnsi="Arial;Helvetica;sans-serif"/>
                <w:sz w:val="18"/>
              </w:rPr>
            </w:pPr>
            <w:r>
              <w:rPr>
                <w:rFonts w:ascii="Arial;Helvetica;sans-serif" w:hAnsi="Arial;Helvetica;sans-serif"/>
                <w:sz w:val="18"/>
              </w:rPr>
              <w:t>Der Verwaltungsrat ist im Rahmen des Kapitalbands gemäss diesem Artikel 5 allgemein ermächtigt, bis zum 22. Mai 2027 das Aktienkapital jederzeit oder von Zeit zu Zeit, ein-mal oder mehrmals und in beliebigen (Teil)beträgen zu erhöhen oder herabzusetzen oder die Gesellschaft oder eine ihrer Konzerngesellschaf-ten zu veranlassen, direkt oder indi-rekt Namenaktien mit einem Nenn-wert von je USD 0.10 zu erwerben (einschliesslich im Rahmen von einem oder mehreren Rückkaufs-programmen). Eine Kapitalerhöhung kann durch Ausgabe von bis zu 240'801'936 voll zu liberierenden Namenaktien mit einem Nennwert von je USD 0.10 und eine Kapital-herabsetzung durch Vernichtung von bis zu 120'400'968 Namenaktien mit einem Nennwert von je USD 0.10 erfolgen. Weiter kann eine Kapital-erhöhung oder Kapitalherabsetzung im Rahmen des Kapitalbands durch eine Erhöhung oder Herabsetzung des Nennwerts der bestehenden Namenaktien erfolgen, und es kann im Rahmen des Kapitalbands eine gleichzeitige Herabsetzung und Wiedererhöhung des Aktienkapitals erfolgen.</w:t>
            </w:r>
          </w:p>
        </w:tc>
        <w:tc>
          <w:tcPr>
            <w:tcW w:w="703"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2</w:t>
            </w:r>
          </w:p>
        </w:tc>
        <w:tc>
          <w:tcPr>
            <w:tcW w:w="3503"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The Board of Directors shall be generally authorized, within the capital band pursuant to this Arti-cle 5, to increase or reduce the share capital at any time or from time to time, once or several times and in any (partial) amounts, or to cause the Company or any of its group companies to directly or indi-rectly acquire registered shares with a nominal value of USD 0.10 each (including under one or more share repurchase programs), until May 22, 2027. A capital increase may be effected by issuing up to 240,801,936 fully paid-in registered shares with a nominal value of USD 0.10 each, and a capital reduc-tion by cancelling up to 120,400,968 registered shares with a nominal value of USD 0.10 each. A capital increase or reduction may also be effected within the capital band by an increase or a reduction of the nominal value of the existing Shares, and a simultaneous reduction and re-increase of the share capital may be effected within the capital band.</w:t>
            </w:r>
          </w:p>
        </w:tc>
      </w:tr>
      <w:tr>
        <w:trPr/>
        <w:tc>
          <w:tcPr>
            <w:tcW w:w="1111"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3</w:t>
            </w:r>
          </w:p>
        </w:tc>
        <w:tc>
          <w:tcPr>
            <w:tcW w:w="4466"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Bei einer Erhöhung des Aktienkapi-tals im Rahmen des Kapitalbands gemäss diesem Abschnitt A von Artikel 5 legt der Verwaltungsrat, soweit erforderlich, den Ausgabebe-trag, die Art der Einlagen (ein-schliesslich Barliberierung, Sachein-lage, Verrechnung und Umwandlung von Reserven oder eines Gewinn-vortrags in Aktienkapital), den Zeit-punkt der Ausgabe, die Bedingun-gen der Bezugsrechtsausübung und den Beginn der Dividendenberechti-gung fest. Dabei kann der Verwal-tungsrat neue Aktien mittels Fe-stübernahme durch eine Bank, ein Bankenkonsortium oder einen ande-</w:t>
            </w:r>
          </w:p>
        </w:tc>
        <w:tc>
          <w:tcPr>
            <w:tcW w:w="703"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3</w:t>
            </w:r>
          </w:p>
        </w:tc>
        <w:tc>
          <w:tcPr>
            <w:tcW w:w="3503"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 xml:space="preserve">In the event of a capital increase within the capital band pursuant to this Section A of Article 5, the Board of Directors shall, to the extent nec-essary, determine the issue price, the type of contribution (including a cash contribution, a contribution in kind, set-off and conversion of re-serves or profit carried forward into share capital), the date of issue, the conditions for the exercise of sub-scription rights and the commence-ment date for dividend entitlement. The Board of Directors may issue new Shares by means of a firm underwriting through a financial institution, a syndicate of financial institutions or </w:t>
            </w:r>
          </w:p>
        </w:tc>
      </w:tr>
    </w:tbl>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ANA-1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ind w:left="0" w:right="0" w:hanging="0"/>
        <w:jc w:val="left"/>
        <w:rPr>
          <w:sz w:val="4"/>
          <w:szCs w:val="4"/>
        </w:rPr>
      </w:pPr>
      <w:r>
        <w:rPr>
          <w:sz w:val="4"/>
          <w:szCs w:val="4"/>
        </w:rPr>
      </w:r>
      <w:bookmarkStart w:id="350" w:name="_be8227ca_ba8a_46dd_b3b3_549d87509085"/>
      <w:bookmarkStart w:id="351" w:name="_be8227ca_ba8a_46dd_b3b3_549d87509085"/>
      <w:bookmarkEnd w:id="351"/>
    </w:p>
    <w:tbl>
      <w:tblPr>
        <w:tblW w:w="1145" w:type="dxa"/>
        <w:jc w:val="left"/>
        <w:tblInd w:w="0" w:type="dxa"/>
        <w:tblLayout w:type="fixed"/>
        <w:tblCellMar>
          <w:top w:w="0" w:type="dxa"/>
          <w:left w:w="0" w:type="dxa"/>
          <w:bottom w:w="0" w:type="dxa"/>
          <w:right w:w="0" w:type="dxa"/>
        </w:tblCellMar>
      </w:tblPr>
      <w:tblGrid>
        <w:gridCol w:w="991"/>
        <w:gridCol w:w="154"/>
      </w:tblGrid>
      <w:tr>
        <w:trPr/>
        <w:tc>
          <w:tcPr>
            <w:tcW w:w="99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99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ANNEX A</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11"/>
        <w:gridCol w:w="5085"/>
        <w:gridCol w:w="109"/>
        <w:gridCol w:w="211"/>
        <w:gridCol w:w="446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5085" w:type="dxa"/>
            <w:tcBorders/>
            <w:vAlign w:val="center"/>
          </w:tcPr>
          <w:p>
            <w:pPr>
              <w:pStyle w:val="TableContents"/>
              <w:bidi w:val="0"/>
              <w:spacing w:before="0" w:after="60"/>
              <w:ind w:left="0" w:right="0" w:hanging="0"/>
              <w:jc w:val="left"/>
              <w:rPr>
                <w:rFonts w:ascii="Arial;Helvetica;sans-serif" w:hAnsi="Arial;Helvetica;sans-serif"/>
                <w:sz w:val="18"/>
              </w:rPr>
            </w:pPr>
            <w:r>
              <w:rPr>
                <w:rFonts w:ascii="Arial;Helvetica;sans-serif" w:hAnsi="Arial;Helvetica;sans-serif"/>
                <w:sz w:val="18"/>
              </w:rPr>
              <w:t>ren Dritten und anschliessendem Angebot an die bisherigen Aktionäre oder an Dritte (sofern die Bezugs-rechte der bisherigen Aktionäre aufgehoben sind oder nicht gültig ausgeübt werden) ausgeben. Der Verwaltungsrat ist ermächtigt, den Handel mit Bezugsrechten zu er-möglichen, zu beschränken oder auszuschliessen. Nicht gültig ausge-übte Bezugsrechte kann der Verwal-tungsrat verfallen lassen, oder er kann diese bzw. Aktien, für welche Bezugsrechte eingeräumt, aber nicht gültig ausgeübt werden, zu Markt-konditionen platzieren oder ander-weitig im Interesse der Gesellschaft verwenden.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4465" w:type="dxa"/>
            <w:tcBorders/>
            <w:vAlign w:val="center"/>
          </w:tcPr>
          <w:p>
            <w:pPr>
              <w:pStyle w:val="TableContents"/>
              <w:bidi w:val="0"/>
              <w:spacing w:before="0" w:after="60"/>
              <w:ind w:left="0" w:right="0" w:hanging="0"/>
              <w:jc w:val="left"/>
              <w:rPr>
                <w:rFonts w:ascii="Arial;Helvetica;sans-serif" w:hAnsi="Arial;Helvetica;sans-serif"/>
                <w:sz w:val="18"/>
              </w:rPr>
            </w:pPr>
            <w:r>
              <w:rPr>
                <w:rFonts w:ascii="Arial;Helvetica;sans-serif" w:hAnsi="Arial;Helvetica;sans-serif"/>
                <w:sz w:val="18"/>
              </w:rPr>
              <w:t>another third party and a subsequent offer of these Shares to the existing shareholders or third parties (if the subscription rights of the existing shareholders have been withdrawn or have not been duly exercised). The Board of Directors is entitled to permit, to restrict or to exclude the trade with subscription rights. The Board of Directors may permit the expiration of subscription rights that have not been duly exer-cised, or it may place such rights or Shares as to which subscription rights have been granted, but not duly exercised, at market conditions or may use them otherwise in the interest of the Company.</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4</w:t>
            </w:r>
          </w:p>
        </w:tc>
        <w:tc>
          <w:tcPr>
            <w:tcW w:w="5085"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Der Verwaltungsrat ist im Fall einer Ausgabe von Aktien im Rahmen des Kapitalbands gemäss diesem Abschnitt A von Artikel 5 ermächtigt, das Bezugsrecht der bisherigen Aktionäre aufzuheben oder zu beschränken und Dritten (einschliesslich einzelnen Aktionären), der Gesellschaft oder einer ihrer Konzerngesellschaften zuzuweisen:</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4</w:t>
            </w:r>
          </w:p>
        </w:tc>
        <w:tc>
          <w:tcPr>
            <w:tcW w:w="4465"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In the event of a Share issue within the capital band pursuant to this Section A of Article 5 the Board of Directors is further authorized to withdraw or restrict subscription rights of existing shareholders and allocate such rights to third parties (including individual shareholders), the Company or any of its group companies:</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085" w:type="dxa"/>
            <w:tcBorders/>
            <w:vAlign w:val="center"/>
          </w:tcPr>
          <w:p>
            <w:pPr>
              <w:pStyle w:val="TableContents"/>
              <w:bidi w:val="0"/>
              <w:spacing w:before="60" w:after="60"/>
              <w:jc w:val="left"/>
              <w:rPr>
                <w:rFonts w:ascii="Arial;Helvetica;sans-serif" w:hAnsi="Arial;Helvetica;sans-serif"/>
                <w:sz w:val="18"/>
              </w:rPr>
            </w:pPr>
            <w:r>
              <w:rPr>
                <w:rFonts w:ascii="Arial;Helvetica;sans-serif" w:hAnsi="Arial;Helvetica;sans-serif"/>
                <w:sz w:val="18"/>
              </w:rPr>
              <w:t>(a)</w:t>
            </w:r>
          </w:p>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wenn der Ausgabebetrag der neuen Aktien unter Berücksichtigung des Marktpreises festgesetzt wird; oder</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4465" w:type="dxa"/>
            <w:tcBorders/>
            <w:vAlign w:val="center"/>
          </w:tcPr>
          <w:p>
            <w:pPr>
              <w:pStyle w:val="TableContents"/>
              <w:bidi w:val="0"/>
              <w:spacing w:before="60" w:after="60"/>
              <w:jc w:val="left"/>
              <w:rPr>
                <w:rFonts w:ascii="Arial;Helvetica;sans-serif" w:hAnsi="Arial;Helvetica;sans-serif"/>
                <w:sz w:val="18"/>
              </w:rPr>
            </w:pPr>
            <w:r>
              <w:rPr>
                <w:rFonts w:ascii="Arial;Helvetica;sans-serif" w:hAnsi="Arial;Helvetica;sans-serif"/>
                <w:sz w:val="18"/>
              </w:rPr>
              <w:t>(a)</w:t>
            </w:r>
          </w:p>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if the issue price of the new Shares is determined by reference to the market price; or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085" w:type="dxa"/>
            <w:tcBorders/>
            <w:vAlign w:val="center"/>
          </w:tcPr>
          <w:p>
            <w:pPr>
              <w:pStyle w:val="TableContents"/>
              <w:bidi w:val="0"/>
              <w:spacing w:before="60" w:after="60"/>
              <w:jc w:val="left"/>
              <w:rPr>
                <w:rFonts w:ascii="Arial;Helvetica;sans-serif" w:hAnsi="Arial;Helvetica;sans-serif"/>
                <w:sz w:val="18"/>
              </w:rPr>
            </w:pPr>
            <w:r>
              <w:rPr>
                <w:rFonts w:ascii="Arial;Helvetica;sans-serif" w:hAnsi="Arial;Helvetica;sans-serif"/>
                <w:sz w:val="18"/>
              </w:rPr>
              <w:t>(b)</w:t>
            </w:r>
          </w:p>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für die Beschaffung von Eigenkapital auf eine schnelle und flexible Weise, welche ohne den Ausschluss der Bezugsrechte der bisherigen Aktionäre nicht oder nur schwer oder zu wesentlich schlechteren Bedingungen möglich wäre; oder</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4465" w:type="dxa"/>
            <w:tcBorders/>
            <w:vAlign w:val="center"/>
          </w:tcPr>
          <w:p>
            <w:pPr>
              <w:pStyle w:val="TableContents"/>
              <w:bidi w:val="0"/>
              <w:spacing w:before="60" w:after="60"/>
              <w:jc w:val="left"/>
              <w:rPr>
                <w:rFonts w:ascii="Arial;Helvetica;sans-serif" w:hAnsi="Arial;Helvetica;sans-serif"/>
                <w:sz w:val="18"/>
              </w:rPr>
            </w:pPr>
            <w:r>
              <w:rPr>
                <w:rFonts w:ascii="Arial;Helvetica;sans-serif" w:hAnsi="Arial;Helvetica;sans-serif"/>
                <w:sz w:val="18"/>
              </w:rPr>
              <w:t>(b)</w:t>
            </w:r>
          </w:p>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for raising equity capital in a fast and flexible manner, which would not be possible, or would only be possible with great difficulty or at significantly less favorable conditions, without the exclusion of the subscription rights of existing shareholders; or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085" w:type="dxa"/>
            <w:tcBorders/>
            <w:vAlign w:val="center"/>
          </w:tcPr>
          <w:p>
            <w:pPr>
              <w:pStyle w:val="TableContents"/>
              <w:bidi w:val="0"/>
              <w:spacing w:before="60" w:after="60"/>
              <w:jc w:val="left"/>
              <w:rPr>
                <w:rFonts w:ascii="Arial;Helvetica;sans-serif" w:hAnsi="Arial;Helvetica;sans-serif"/>
                <w:sz w:val="18"/>
              </w:rPr>
            </w:pPr>
            <w:r>
              <w:rPr>
                <w:rFonts w:ascii="Arial;Helvetica;sans-serif" w:hAnsi="Arial;Helvetica;sans-serif"/>
                <w:sz w:val="18"/>
              </w:rPr>
              <w:t>(c)</w:t>
            </w:r>
          </w:p>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für die Übernahme von Unternehmen, Unternehmensteilen oder Beteiligungen, den Erwerb von Produkten, Immaterialgütern oder Lizenzen durch oder Investitionsvorhaben der Gesellschaft oder einer ihrer Konzerngesellschaften oder für die Finanzierung oder Refinanzierung solcher Transaktionen durch eine Aktienplatzierung; oder</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4465" w:type="dxa"/>
            <w:tcBorders/>
            <w:vAlign w:val="center"/>
          </w:tcPr>
          <w:p>
            <w:pPr>
              <w:pStyle w:val="TableContents"/>
              <w:bidi w:val="0"/>
              <w:spacing w:before="60" w:after="60"/>
              <w:jc w:val="left"/>
              <w:rPr>
                <w:rFonts w:ascii="Arial;Helvetica;sans-serif" w:hAnsi="Arial;Helvetica;sans-serif"/>
                <w:sz w:val="18"/>
              </w:rPr>
            </w:pPr>
            <w:r>
              <w:rPr>
                <w:rFonts w:ascii="Arial;Helvetica;sans-serif" w:hAnsi="Arial;Helvetica;sans-serif"/>
                <w:sz w:val="18"/>
              </w:rPr>
              <w:t>(c)</w:t>
            </w:r>
          </w:p>
          <w:p>
            <w:pPr>
              <w:pStyle w:val="TableContents"/>
              <w:bidi w:val="0"/>
              <w:spacing w:before="60" w:after="60"/>
              <w:jc w:val="left"/>
              <w:rPr>
                <w:rFonts w:ascii="Arial;Helvetica;sans-serif" w:hAnsi="Arial;Helvetica;sans-serif"/>
                <w:sz w:val="18"/>
              </w:rPr>
            </w:pPr>
            <w:r>
              <w:rPr>
                <w:rFonts w:ascii="Arial;Helvetica;sans-serif" w:hAnsi="Arial;Helvetica;sans-serif"/>
                <w:sz w:val="18"/>
              </w:rPr>
              <w:t>for the acquisition of companies, part(s) of companies or participations, for the acquisition of products, intellectual property or licenses by or for investment projects of the Company or any of its group companies, or for the financing or refinancing of any of such transactions through a placement of Shares; or</w:t>
            </w:r>
          </w:p>
        </w:tc>
      </w:tr>
    </w:tbl>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ANA-2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ind w:left="0" w:right="0" w:hanging="0"/>
        <w:jc w:val="left"/>
        <w:rPr>
          <w:sz w:val="4"/>
          <w:szCs w:val="4"/>
        </w:rPr>
      </w:pPr>
      <w:r>
        <w:rPr>
          <w:sz w:val="4"/>
          <w:szCs w:val="4"/>
        </w:rPr>
      </w:r>
      <w:bookmarkStart w:id="352" w:name="_18dddc2c_86a9_4059_ab07_4049bd658f4f"/>
      <w:bookmarkStart w:id="353" w:name="_18dddc2c_86a9_4059_ab07_4049bd658f4f"/>
      <w:bookmarkEnd w:id="353"/>
    </w:p>
    <w:tbl>
      <w:tblPr>
        <w:tblW w:w="1145" w:type="dxa"/>
        <w:jc w:val="left"/>
        <w:tblInd w:w="0" w:type="dxa"/>
        <w:tblLayout w:type="fixed"/>
        <w:tblCellMar>
          <w:top w:w="0" w:type="dxa"/>
          <w:left w:w="0" w:type="dxa"/>
          <w:bottom w:w="0" w:type="dxa"/>
          <w:right w:w="0" w:type="dxa"/>
        </w:tblCellMar>
      </w:tblPr>
      <w:tblGrid>
        <w:gridCol w:w="124"/>
        <w:gridCol w:w="1021"/>
      </w:tblGrid>
      <w:tr>
        <w:trPr/>
        <w:tc>
          <w:tcPr>
            <w:tcW w:w="124" w:type="dxa"/>
            <w:tcBorders/>
            <w:vAlign w:val="center"/>
          </w:tcPr>
          <w:p>
            <w:pPr>
              <w:pStyle w:val="TableContents"/>
              <w:bidi w:val="0"/>
              <w:spacing w:lineRule="auto" w:line="285" w:before="0" w:after="0"/>
              <w:ind w:left="0" w:right="0" w:hanging="0"/>
              <w:jc w:val="both"/>
              <w:rPr/>
            </w:pPr>
            <w:r>
              <w:rPr/>
              <w:t>​</w:t>
            </w:r>
          </w:p>
        </w:tc>
        <w:tc>
          <w:tcPr>
            <w:tcW w:w="10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color w:val="FFFFFF"/>
              </w:rPr>
            </w:pPr>
            <w:r>
              <w:rPr>
                <w:color w:val="FFFFFF"/>
              </w:rPr>
              <w:t>​</w:t>
            </w:r>
          </w:p>
        </w:tc>
        <w:tc>
          <w:tcPr>
            <w:tcW w:w="102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right"/>
              <w:rPr>
                <w:rFonts w:ascii="Arial;Helvetica;sans-serif" w:hAnsi="Arial;Helvetica;sans-serif"/>
                <w:color w:val="FFFFFF"/>
                <w:sz w:val="20"/>
              </w:rPr>
            </w:pPr>
            <w:r>
              <w:rPr>
                <w:rFonts w:ascii="Arial;Helvetica;sans-serif" w:hAnsi="Arial;Helvetica;sans-serif"/>
                <w:color w:val="FFFFFF"/>
                <w:sz w:val="20"/>
              </w:rPr>
              <w:t>ANNEX A</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11"/>
        <w:gridCol w:w="5238"/>
        <w:gridCol w:w="109"/>
        <w:gridCol w:w="211"/>
        <w:gridCol w:w="4312"/>
      </w:tblGrid>
      <w:tr>
        <w:trPr/>
        <w:tc>
          <w:tcPr>
            <w:tcW w:w="124"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238" w:type="dxa"/>
            <w:tcBorders/>
            <w:vAlign w:val="center"/>
          </w:tcPr>
          <w:p>
            <w:pPr>
              <w:pStyle w:val="TableContents"/>
              <w:bidi w:val="0"/>
              <w:spacing w:before="60" w:after="60"/>
              <w:jc w:val="left"/>
              <w:rPr>
                <w:rFonts w:ascii="Arial;Helvetica;sans-serif" w:hAnsi="Arial;Helvetica;sans-serif"/>
                <w:sz w:val="18"/>
              </w:rPr>
            </w:pPr>
            <w:r>
              <w:rPr>
                <w:rFonts w:ascii="Arial;Helvetica;sans-serif" w:hAnsi="Arial;Helvetica;sans-serif"/>
                <w:sz w:val="18"/>
              </w:rPr>
              <w:t>(d)</w:t>
            </w:r>
          </w:p>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zum Zwecke der Erweiterung des Aktionärskreises der Gesellschaft in bestimmten Finanz- oder Investoren-Märkten, zur Beteiligung von strategischen Partnern einschliesslich Finanzinvestoren oder im Zusammenhang mit der Kotierung von neuen Aktien an inländischen oder ausländischen Börsen; oder</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4312" w:type="dxa"/>
            <w:tcBorders/>
            <w:vAlign w:val="center"/>
          </w:tcPr>
          <w:p>
            <w:pPr>
              <w:pStyle w:val="TableContents"/>
              <w:bidi w:val="0"/>
              <w:spacing w:before="60" w:after="60"/>
              <w:jc w:val="left"/>
              <w:rPr>
                <w:rFonts w:ascii="Arial;Helvetica;sans-serif" w:hAnsi="Arial;Helvetica;sans-serif"/>
                <w:sz w:val="18"/>
              </w:rPr>
            </w:pPr>
            <w:r>
              <w:rPr>
                <w:rFonts w:ascii="Arial;Helvetica;sans-serif" w:hAnsi="Arial;Helvetica;sans-serif"/>
                <w:sz w:val="18"/>
              </w:rPr>
              <w:t>(d)</w:t>
            </w:r>
          </w:p>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for purposes of broadening the shareholder constituency of the Company in certain financial or investor markets, for purposes of the participation of strategic partners, including financial investors, or in connection with the listing of new Shares on domestic or foreign stock exchanges; or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238" w:type="dxa"/>
            <w:tcBorders/>
            <w:vAlign w:val="center"/>
          </w:tcPr>
          <w:p>
            <w:pPr>
              <w:pStyle w:val="TableContents"/>
              <w:bidi w:val="0"/>
              <w:spacing w:before="60" w:after="60"/>
              <w:jc w:val="left"/>
              <w:rPr>
                <w:rFonts w:ascii="Arial;Helvetica;sans-serif" w:hAnsi="Arial;Helvetica;sans-serif"/>
                <w:sz w:val="18"/>
              </w:rPr>
            </w:pPr>
            <w:r>
              <w:rPr>
                <w:rFonts w:ascii="Arial;Helvetica;sans-serif" w:hAnsi="Arial;Helvetica;sans-serif"/>
                <w:sz w:val="18"/>
              </w:rPr>
              <w:t>(e)</w:t>
            </w:r>
          </w:p>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für die Einräumung einer Mehrzuteilungsoption (Greenshoe) von bis zu 20% der zu platzierenden oder zu verkaufenden Aktien an die betreffenden Erstkäufer oder Festübernehmer im Rahmen einer Aktienplatzierung oder eines Aktienverkaufs; oder</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4312" w:type="dxa"/>
            <w:tcBorders/>
            <w:vAlign w:val="center"/>
          </w:tcPr>
          <w:p>
            <w:pPr>
              <w:pStyle w:val="TableContents"/>
              <w:bidi w:val="0"/>
              <w:spacing w:before="60" w:after="60"/>
              <w:jc w:val="left"/>
              <w:rPr>
                <w:rFonts w:ascii="Arial;Helvetica;sans-serif" w:hAnsi="Arial;Helvetica;sans-serif"/>
                <w:sz w:val="18"/>
              </w:rPr>
            </w:pPr>
            <w:r>
              <w:rPr>
                <w:rFonts w:ascii="Arial;Helvetica;sans-serif" w:hAnsi="Arial;Helvetica;sans-serif"/>
                <w:sz w:val="18"/>
              </w:rPr>
              <w:t>(e)</w:t>
            </w:r>
          </w:p>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for purposes of granting an over-allotment option (Greenshoe) of up to 20% of the total number of Shares in a placement or sale of Shares to the respective initial purchaser(s) or underwriter(s); or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238" w:type="dxa"/>
            <w:tcBorders/>
            <w:vAlign w:val="center"/>
          </w:tcPr>
          <w:p>
            <w:pPr>
              <w:pStyle w:val="TableContents"/>
              <w:bidi w:val="0"/>
              <w:spacing w:before="60" w:after="60"/>
              <w:jc w:val="left"/>
              <w:rPr>
                <w:rFonts w:ascii="Arial;Helvetica;sans-serif" w:hAnsi="Arial;Helvetica;sans-serif"/>
                <w:sz w:val="18"/>
              </w:rPr>
            </w:pPr>
            <w:r>
              <w:rPr>
                <w:rFonts w:ascii="Arial;Helvetica;sans-serif" w:hAnsi="Arial;Helvetica;sans-serif"/>
                <w:sz w:val="18"/>
              </w:rPr>
              <w:t>(f)</w:t>
            </w:r>
          </w:p>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für die Beteiligung von Mitgliedern des Verwaltungsrates, Mitgliedern der Geschäftsleitung, Officers, Arbeitnehmern, Beauftragten, Beratern oder anderen Personen, welche Dienstleistungen für die Gesellschaft oder eine ihrer Konzerngesellschaften erbringen.</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4312" w:type="dxa"/>
            <w:tcBorders/>
            <w:vAlign w:val="center"/>
          </w:tcPr>
          <w:p>
            <w:pPr>
              <w:pStyle w:val="TableContents"/>
              <w:bidi w:val="0"/>
              <w:spacing w:before="60" w:after="60"/>
              <w:jc w:val="left"/>
              <w:rPr>
                <w:rFonts w:ascii="Arial;Helvetica;sans-serif" w:hAnsi="Arial;Helvetica;sans-serif"/>
                <w:sz w:val="18"/>
              </w:rPr>
            </w:pPr>
            <w:r>
              <w:rPr>
                <w:rFonts w:ascii="Arial;Helvetica;sans-serif" w:hAnsi="Arial;Helvetica;sans-serif"/>
                <w:sz w:val="18"/>
              </w:rPr>
              <w:t>(f)</w:t>
            </w:r>
          </w:p>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for the participation of members of the board of directors, members of the executive management team, officers, employees, contractors, consultants or other persons providing services to the Company or any of its group companies.</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5</w:t>
            </w:r>
          </w:p>
        </w:tc>
        <w:tc>
          <w:tcPr>
            <w:tcW w:w="5238"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Bei einer Herabsetzung des Aktienkapitals im Rahmen des Kapitalbands legt der Verwaltungsrat die Verwendung des Herabsetzungsbetrags fest. Der Verwaltungsrat kann insbesondere, ohne Einschränkung, (a) den Herabsetzungsbetrag den Aktionären der Gesellschaft zurückzahlen oder in Fremdkapital umwandeln bzw. als Schuld stehen lassen oder mit einer Gegenforderung verrechnen, (b) den Herabsetzungsbetrag dem Eigenkapital zuweisen, und/oder (c) den Herabsetzungsbetrag zur teilweisen oder vollständigen Beseitigung einer Unterbilanz gemäss Art. 653p OR verwenden. Der Verwaltungsrat kann auch das Aktienkapital gemäss Art. 653q OR gleichzeitig herabsetzen und mindestens auf den bisherigen Betrag erhöhen.</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5</w:t>
            </w:r>
          </w:p>
        </w:tc>
        <w:tc>
          <w:tcPr>
            <w:tcW w:w="4312" w:type="dxa"/>
            <w:tcBorders/>
            <w:vAlign w:val="center"/>
          </w:tcPr>
          <w:p>
            <w:pPr>
              <w:pStyle w:val="TableContents"/>
              <w:bidi w:val="0"/>
              <w:spacing w:before="60" w:after="60"/>
              <w:ind w:left="0" w:right="0" w:hanging="0"/>
              <w:jc w:val="left"/>
              <w:rPr>
                <w:rFonts w:ascii="Arial;Helvetica;sans-serif" w:hAnsi="Arial;Helvetica;sans-serif"/>
                <w:sz w:val="18"/>
              </w:rPr>
            </w:pPr>
            <w:r>
              <w:rPr>
                <w:rFonts w:ascii="Arial;Helvetica;sans-serif" w:hAnsi="Arial;Helvetica;sans-serif"/>
                <w:sz w:val="18"/>
              </w:rPr>
              <w:t>In the event of a reduction of the share capital within the capital band, the Board shall determine the use of the reduction amount. In particular, the Board may, without limitation, (a) repay the reduction amount to the Company's shareholders or convert it into debt and keep it as a liability, respectively, or offset it against a counterclaim, (b) allocate the reduction amount to the Company's equity, and/or (c) use the reduction amount for the partial or full elimination of a share capital shortfall as provided for in article 653p of the CO. The Board may also, as provided for in Article 653q of the CO, simultaneously reduce and increase the share capital to at least the previous amount.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238"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b/>
                <w:i w:val="false"/>
                <w:caps w:val="false"/>
                <w:smallCaps w:val="false"/>
                <w:sz w:val="18"/>
              </w:rPr>
              <w:t>B.</w:t>
            </w:r>
            <w:r>
              <w:rPr>
                <w:rFonts w:ascii="Arial;Helvetica;sans-serif" w:hAnsi="Arial;Helvetica;sans-serif"/>
                <w:caps w:val="false"/>
                <w:smallCaps w:val="false"/>
                <w:sz w:val="18"/>
              </w:rPr>
              <w:t xml:space="preserve"> </w:t>
            </w:r>
            <w:r>
              <w:rPr>
                <w:rFonts w:ascii="Arial;Helvetica;sans-serif" w:hAnsi="Arial;Helvetica;sans-serif"/>
                <w:b/>
                <w:sz w:val="18"/>
              </w:rPr>
              <w:t>Für Beteiligungspläne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4312"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b/>
                <w:i w:val="false"/>
                <w:caps w:val="false"/>
                <w:smallCaps w:val="false"/>
                <w:sz w:val="18"/>
              </w:rPr>
              <w:t>B.</w:t>
            </w:r>
            <w:r>
              <w:rPr>
                <w:rFonts w:ascii="Arial;Helvetica;sans-serif" w:hAnsi="Arial;Helvetica;sans-serif"/>
                <w:b/>
                <w:sz w:val="18"/>
              </w:rPr>
              <w:t>For Incentive Plans</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6</w:t>
            </w:r>
          </w:p>
        </w:tc>
        <w:tc>
          <w:tcPr>
            <w:tcW w:w="5238"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[ausgelassen]</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6</w:t>
            </w:r>
          </w:p>
        </w:tc>
        <w:tc>
          <w:tcPr>
            <w:tcW w:w="4312"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[omitted]</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7</w:t>
            </w:r>
          </w:p>
        </w:tc>
        <w:tc>
          <w:tcPr>
            <w:tcW w:w="5238"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[ausgelassen]</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7</w:t>
            </w:r>
          </w:p>
        </w:tc>
        <w:tc>
          <w:tcPr>
            <w:tcW w:w="4312"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[omitted]</w:t>
            </w:r>
          </w:p>
        </w:tc>
      </w:tr>
    </w:tbl>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ANA-3    Proxy Statement</w:t>
      </w:r>
    </w:p>
    <w:p>
      <w:pPr>
        <w:pStyle w:val="TextBody"/>
        <w:bidi w:val="0"/>
        <w:spacing w:lineRule="auto" w:line="285" w:before="0" w:after="36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145" w:type="dxa"/>
        <w:jc w:val="left"/>
        <w:tblInd w:w="0" w:type="dxa"/>
        <w:tblLayout w:type="fixed"/>
        <w:tblCellMar>
          <w:top w:w="0" w:type="dxa"/>
          <w:left w:w="0" w:type="dxa"/>
          <w:bottom w:w="0" w:type="dxa"/>
          <w:right w:w="0" w:type="dxa"/>
        </w:tblCellMar>
      </w:tblPr>
      <w:tblGrid>
        <w:gridCol w:w="991"/>
        <w:gridCol w:w="154"/>
      </w:tblGrid>
      <w:tr>
        <w:trPr/>
        <w:tc>
          <w:tcPr>
            <w:tcW w:w="99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285" w:before="0" w:after="0"/>
              <w:ind w:left="0" w:right="0" w:hanging="0"/>
              <w:jc w:val="both"/>
              <w:rPr/>
            </w:pPr>
            <w:r>
              <w:rPr/>
              <w:t>​</w:t>
            </w:r>
          </w:p>
        </w:tc>
      </w:tr>
      <w:tr>
        <w:trPr/>
        <w:tc>
          <w:tcPr>
            <w:tcW w:w="991" w:type="dxa"/>
            <w:tcBorders>
              <w:bottom w:val="single" w:sz="12" w:space="0" w:color="D9D9D9"/>
            </w:tcBorders>
            <w:shd w:fill="005670" w:val="clear"/>
            <w:tcMar>
              <w:bottom w:w="28" w:type="dxa"/>
            </w:tcMar>
            <w:vAlign w:val="center"/>
          </w:tcPr>
          <w:p>
            <w:pPr>
              <w:pStyle w:val="TableContents"/>
              <w:bidi w:val="0"/>
              <w:spacing w:lineRule="auto" w:line="285" w:before="120" w:after="120"/>
              <w:ind w:left="0" w:right="0" w:hanging="0"/>
              <w:jc w:val="both"/>
              <w:rPr>
                <w:rFonts w:ascii="Arial;Helvetica;sans-serif" w:hAnsi="Arial;Helvetica;sans-serif"/>
                <w:color w:val="FFFFFF"/>
                <w:sz w:val="20"/>
              </w:rPr>
            </w:pPr>
            <w:r>
              <w:rPr>
                <w:rFonts w:ascii="Arial;Helvetica;sans-serif" w:hAnsi="Arial;Helvetica;sans-serif"/>
                <w:color w:val="FFFFFF"/>
                <w:sz w:val="20"/>
              </w:rPr>
              <w:t>ANNEX A</w:t>
            </w:r>
          </w:p>
        </w:tc>
        <w:tc>
          <w:tcPr>
            <w:tcW w:w="154" w:type="dxa"/>
            <w:tcBorders>
              <w:bottom w:val="single" w:sz="12" w:space="0" w:color="D9D9D9"/>
            </w:tcBorders>
            <w:tcMar>
              <w:bottom w:w="28" w:type="dxa"/>
            </w:tcM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4804"/>
        <w:gridCol w:w="109"/>
        <w:gridCol w:w="316"/>
        <w:gridCol w:w="4536"/>
      </w:tblGrid>
      <w:tr>
        <w:trPr/>
        <w:tc>
          <w:tcPr>
            <w:tcW w:w="124"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8</w:t>
            </w:r>
          </w:p>
        </w:tc>
        <w:tc>
          <w:tcPr>
            <w:tcW w:w="4804"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[ausgelassen]</w:t>
            </w:r>
          </w:p>
        </w:tc>
        <w:tc>
          <w:tcPr>
            <w:tcW w:w="109"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8</w:t>
            </w:r>
          </w:p>
        </w:tc>
        <w:tc>
          <w:tcPr>
            <w:tcW w:w="4536"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[omitted]</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lineRule="auto" w:line="285" w:before="0" w:after="0"/>
              <w:ind w:left="0" w:right="0" w:hanging="0"/>
              <w:jc w:val="left"/>
              <w:rPr/>
            </w:pPr>
            <w:r>
              <w:rPr/>
              <w:t>​</w:t>
            </w:r>
          </w:p>
        </w:tc>
        <w:tc>
          <w:tcPr>
            <w:tcW w:w="4804"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b/>
                <w:i w:val="false"/>
                <w:caps w:val="false"/>
                <w:smallCaps w:val="false"/>
                <w:sz w:val="18"/>
              </w:rPr>
              <w:t xml:space="preserve">C. </w:t>
            </w:r>
            <w:r>
              <w:rPr>
                <w:rFonts w:ascii="Arial;Helvetica;sans-serif" w:hAnsi="Arial;Helvetica;sans-serif"/>
                <w:b/>
                <w:sz w:val="18"/>
              </w:rPr>
              <w:t>Allgemeine Bestimmungen</w:t>
            </w:r>
          </w:p>
        </w:tc>
        <w:tc>
          <w:tcPr>
            <w:tcW w:w="109"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lineRule="auto" w:line="285" w:before="0" w:after="0"/>
              <w:ind w:left="0" w:right="0" w:hanging="0"/>
              <w:jc w:val="left"/>
              <w:rPr/>
            </w:pPr>
            <w:r>
              <w:rPr/>
              <w:t>​</w:t>
            </w:r>
          </w:p>
        </w:tc>
        <w:tc>
          <w:tcPr>
            <w:tcW w:w="4536"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b/>
                <w:i w:val="false"/>
                <w:caps w:val="false"/>
                <w:smallCaps w:val="false"/>
                <w:sz w:val="18"/>
              </w:rPr>
              <w:t xml:space="preserve">C. </w:t>
            </w:r>
            <w:r>
              <w:rPr>
                <w:rFonts w:ascii="Arial;Helvetica;sans-serif" w:hAnsi="Arial;Helvetica;sans-serif"/>
                <w:b/>
                <w:sz w:val="18"/>
              </w:rPr>
              <w:t>General Provisions</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9</w:t>
            </w:r>
          </w:p>
        </w:tc>
        <w:tc>
          <w:tcPr>
            <w:tcW w:w="4804"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Nach einer Nennwertveränderung im Rahmen des Kapitalbands gemäss diesem Artikel 5 sind neue Aktien mit gleichem Nennwert auszugeben wie die bestehenden Aktien.</w:t>
            </w:r>
          </w:p>
        </w:tc>
        <w:tc>
          <w:tcPr>
            <w:tcW w:w="109"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9</w:t>
            </w:r>
          </w:p>
        </w:tc>
        <w:tc>
          <w:tcPr>
            <w:tcW w:w="4536"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After a change of the par value within the capital band pursuant to this Article 5, new Shares shall be issued with the same par value as the existing Shares.</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10</w:t>
            </w:r>
          </w:p>
        </w:tc>
        <w:tc>
          <w:tcPr>
            <w:tcW w:w="4804"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Erhöht sich das Aktienkapital aufgrund einer bedingten Kapitalerhöhung nach Artikel 6 dieser Statuten, so erhöhen sich die obere und die untere Grenze des Kapitalbands entsprechend dem Umfang der Erhöhung des Aktienkapitals.</w:t>
            </w:r>
          </w:p>
        </w:tc>
        <w:tc>
          <w:tcPr>
            <w:tcW w:w="109"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10</w:t>
            </w:r>
          </w:p>
        </w:tc>
        <w:tc>
          <w:tcPr>
            <w:tcW w:w="4536"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If the share capital increases as a result of a conditional capital increase pursuant to Article 6 of these Articles of Association, the upper and lower limits of the capital band shall increase in an amount corresponding to such increase in the share capital.</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11</w:t>
            </w:r>
          </w:p>
        </w:tc>
        <w:tc>
          <w:tcPr>
            <w:tcW w:w="4804"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Im Falle einer Ausgabe von neuen Aktien unterliegen Zeichnung und Erwerb der neuen Aktien sowie jede nachfolgende Übertragung der Aktien den Beschränkungen von Artikel 7 und Artikel 9 dieser Statuten.</w:t>
            </w:r>
          </w:p>
        </w:tc>
        <w:tc>
          <w:tcPr>
            <w:tcW w:w="109"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11</w:t>
            </w:r>
          </w:p>
        </w:tc>
        <w:tc>
          <w:tcPr>
            <w:tcW w:w="4536" w:type="dxa"/>
            <w:tcBorders/>
            <w:vAlign w:val="center"/>
          </w:tcPr>
          <w:p>
            <w:pPr>
              <w:pStyle w:val="TableContents"/>
              <w:bidi w:val="0"/>
              <w:spacing w:before="60" w:after="200"/>
              <w:ind w:left="0" w:right="0" w:hanging="0"/>
              <w:jc w:val="left"/>
              <w:rPr>
                <w:rFonts w:ascii="Arial;Helvetica;sans-serif" w:hAnsi="Arial;Helvetica;sans-serif"/>
                <w:sz w:val="18"/>
              </w:rPr>
            </w:pPr>
            <w:r>
              <w:rPr>
                <w:rFonts w:ascii="Arial;Helvetica;sans-serif" w:hAnsi="Arial;Helvetica;sans-serif"/>
                <w:sz w:val="18"/>
              </w:rPr>
              <w:t>In the event of an issue of new Shares, the subscription and acquisition of the new Shares and any subsequent transfer of the Shares shall be subject to the limitations pursuant to Article 7 and Article 9 of these Articles of Association.</w:t>
            </w:r>
          </w:p>
        </w:tc>
      </w:tr>
    </w:tbl>
    <w:p>
      <w:pPr>
        <w:pStyle w:val="TextBody"/>
        <w:pBdr/>
        <w:bidi w:val="0"/>
        <w:spacing w:lineRule="auto" w:line="285" w:before="0" w:after="200"/>
        <w:ind w:left="0" w:right="0" w:hanging="360"/>
        <w:jc w:val="both"/>
        <w:rPr/>
      </w:pPr>
      <w:r>
        <w:rPr/>
        <w:t>​</w:t>
      </w:r>
    </w:p>
    <w:p>
      <w:pPr>
        <w:pStyle w:val="TextBody"/>
        <w:bidi w:val="0"/>
        <w:spacing w:lineRule="auto" w:line="285" w:before="0" w:after="200"/>
        <w:ind w:left="0" w:right="0" w:hanging="0"/>
        <w:jc w:val="left"/>
        <w:rPr/>
      </w:pPr>
      <w:r>
        <w:rPr/>
        <w:t>​</w:t>
      </w:r>
    </w:p>
    <w:p>
      <w:pPr>
        <w:pStyle w:val="TextBody"/>
        <w:bidi w:val="0"/>
        <w:spacing w:lineRule="auto" w:line="285" w:before="0" w:after="20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Transocean 2026    ANA-4    Proxy Statement</w:t>
      </w:r>
    </w:p>
    <w:tbl>
      <w:tblPr>
        <w:tblW w:w="12973" w:type="dxa"/>
        <w:jc w:val="left"/>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401"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133" descr=""/>
                          <pic:cNvPicPr>
                            <a:picLocks noChangeAspect="1" noChangeArrowheads="1"/>
                          </pic:cNvPicPr>
                        </pic:nvPicPr>
                        <pic:blipFill>
                          <a:blip r:embed="rId134"/>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[PLEASE SIGN WITHIN BOX] Date Signature [PLEASE SIGN WITHIN BOX] Date TO VOTE, MARK BLOCKS BELOW IN BLUE OR BLACK INK AS FOLLOWS: THIS PROXY CARD IS VALID ONLY WHEN SIGNED AND DATED. V89571-P48681 ! ! ! ! ! ! ! ! ! ! ! ! ! ! ! ! ! ! ! ! ! ! ! ! ! ! ! ! ! ! ! ! ! ! ! ! ! ! ! ! ! ! ! ! ! ! ! ! ! ! ! ! ! ! ! ! ! ! ! ! ! ! ! ! ! ! ! ! ! Please indicate in the appropriate space how you wish the shares to be voted. If you give no specific voting instructions in relation to one or several proposals, you instruct the independent proxy to exercise your voting rights for all proposals in accordance with the recommendation of the Board of Directors (“FOR” proposals 1A, 1B, 1C, 2-4, 6, and 8-10 and “FOR” each nominee and ratification listed in proposals 5, 7, and 11A and 11B and as recommended by the Board of Directors on any modifications to an agenda item or any other matter which may be properly presented or brought before the Meeting). 1. Approval of (A) the 2025 Annual Report, Including the Audited Consolidated Financial Statements of Transocean Ltd. for Fiscal Year 2025, and the Audited Statutory Financial Statements of Transocean Ltd. for Fiscal Year 2025; and Advisory Votes to Approve (B) the Swiss Statutory Compensation Report for Fiscal Year 2025 and (C) the Swiss Statutory Report on Non-Financial Matters for Fiscal Year 2025 2. Discharge of the Members of the Board of Directors and the Executive Management Team from Liability for Activities During Fiscal Year 2025 3. Appropriation of the Accumulated Losses for Fiscal Year 2025 4. Approval of Shares Authorized for Issuance 5C Vanessa C.L. Chang 5. Election of 11 Directors, Each for a Term Extending Until Completion of the Next Annual General Meeting 5B Glyn A. Barker 5A Keelan I. Adamson 5J Frederik W. Mohn 5K Jeremy D. Thigpen 5D Frederico F. Curado 5G Vincent J. Intrieri 5H William F. "Bill" Lacey 5I Samuel J. Merksamer 5F Domenic J. "Nick" Dell‘Osso, Jr. 5E Chadwick C. Deaton 6. Election of Jeremy D. Thigpen as the Chair of the Board of Directors for a Term Extending Until Completion of the Next Annual General Meeting 1A Approval of the 2025 Annual Report, Including the Audited Consolidated Financial Statements of Transocean Ltd. for Fiscal Year 2025 and the Audited Statutory Financial Statements of Transocean Ltd. for Fiscal Year 2025 1B Advisory Vote to Approve the Swiss Statutory Compensation Report for Fiscal Year 2025 1C Advisory Vote to Approve the Swiss Statutory Report on Non-Financial Matters for Fiscal Year 2025 7B Vanessa C.L. Chang 7C Frederico F. Curado 7. Election of the Members of the Compensation Committee, Each for a Term Extending Until Completion of the Next Annual General Meeting 8. Reelection of Schweiger Advokatur/Notariat as the Independent Proxy for a Term Extending Until Completion of the Next Annual General Meeting 9. Ratification of Ernst &amp; Young LLP as the Company’s Independent Registered Public Accounting Firm for Fiscal Year 2026 and Reelection of Ernst &amp; Young Ltd, Zurich, as the Company’s Auditor for a Further One-Year Term 10. Advisory Vote to Approve Named Executive Officer Compensation for Fiscal Year 2026 11. Prospective Vote on the Maximum Compensation of (A) the Board of Directors and (B) the Executive Management Team 7A Glyn A. Barker 11A Ratification of the Maximum Aggregate Amount of Compensation of the Board of Directors for the Period Between the 2026 Annual General Meeting and the 2027 Annual General Meeting 11B Ratification of the Maximum Aggregate Amount of Compensation of the Executive Management Team for Fiscal Year 2027 If any modifications to agenda items or proposals identified in the notice of meeting or other matters on which voting is permissible under Swiss law are properly presented at the 2026 Annual General Meeting for consideration, you instruct the independent proxy, in the absence of other specific instructions, to vote in accordance with the recommendations of the Board of Directors. Against Abstain As Recommended by the Board of Directors The signature on this Proxy Card should correspond exactly with the shareholder’s name as printed above. In the case of joint tenancies, co-executors or co-trustees each should sign. Persons signing as Attorney, Executor, Administrator, Trustee or Guardian should give their full title. For Against Abstain For Against Abstain ! ! ! ! ! ! ! ! ! ! ! ! SCAN TO TRANSOCEAN LTD. TURMSTRASSE 30 VIEW MATERIALS &amp; VOTEw CH-6312 STEINHAUSEN SWITZERLAND VOTE BY INTERNET - www.proxyvote.com or scan the QR Barcode above Use the internet to transmit your voting instructions and for electronic delivery of information up until 2:00 p.m. Eastern Daylight Time on May 21, 2026/8:00 p.m. Swiss time on May 21, 2026. Have your proxy card in hand when you access the website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MAIL Mark, sign and date your proxy card and return it in the postage pre-paid envelope we have provided, or return it to: Transocean 2026 AGM, Vote Processing, c/o Broadridge, 51 Mercedes Way, Edgewood, NY 11717, USA or Transocean 2026 AGM, Vote Processing, c/o Schweiger Advokatur/Notariat, Dammstrasse 19, CH-6300 Zug, Switzerland. All proxy cards must be received no later than 2:00 p.m. Eastern Daylight Time on May 21, 2026/8:00 p.m. Swiss time on May 21, 2026.</w:t>
            </w:r>
          </w:p>
        </w:tc>
      </w:tr>
    </w:tbl>
    <w:tbl>
      <w:tblPr>
        <w:tblW w:w="12973" w:type="dxa"/>
        <w:jc w:val="left"/>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402"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134" descr=""/>
                          <pic:cNvPicPr>
                            <a:picLocks noChangeAspect="1" noChangeArrowheads="1"/>
                          </pic:cNvPicPr>
                        </pic:nvPicPr>
                        <pic:blipFill>
                          <a:blip r:embed="rId135"/>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V89572-P48681 TRANSOCEAN LTD. THIS PROXY IS BEING SOLICITED ON BEHALF OF THE BOARD OF DIRECTORS Proxy Card for use at the Annual General Meeting of Shareholders of Transocean Ltd., a Swiss corporation (“Transocean”), or any adjournment or postponement thereof (the “Meeting”), to be held on May 22, 2026, at 8:00 a.m. Swiss time, at the Parkhotel Zug, Industriestrasse 14, CH-6302 Zug, Switzerland. IMPORTANT NOTE: Please sign, date and return this Proxy Card in the enclosed postage pre-paid envelope to: Transocean 2026 AGM, Vote Processing, c/o Broadridge, 51 Mercedes Way, Edgewood, NY 11717, USA or Transocean 2026 AGM, Vote Processing, c/o Schweiger Advokatur/Notariat, Dammstrasse 19, CH-6300 Zug, Switzerland. We urge you to return your proxy card as soon as possible to ensure that your proxy card is timely submitted. Any proxy card must be received by either Broadridge or Schweiger Advokatur/Notariat no later than 2:00 p.m. Eastern Daylight Time on May 21, 2026/8:00 p.m. Swiss time on May 21, 2026. The signatory, revoking any proxy heretofore given in connection with the Meeting, appoints the independent proxy, Schweiger Advokatur/Notariat, as proxy to represent the signatory at the Meeting and to vote all shares the signatory is entitled to vote at the Meeting on all matters properly presented at the Meeting in accordance with the signatory's voting instructions on the reverse side of this Proxy Card. Please provide your specific voting instructions by marking the applicable instruction boxes on the reverse side of this Proxy Card. If you do not provide specific voting instructions in relation to one or several proposals described on the reverse side, you instruct the independent proxy to vote “FOR” proposals 1A, 1B, 1C, 2-4, 6, and 8-10 and “FOR” each nominee and ratification listed in proposals 5, 7, and 11A and 11B and as recommended by the Board of Directors on any modifications to an agenda item or any other matter which may be properly presented or brought before the Meeting. The undersigned hereby acknowledges receipt of notice of, and the proxy statement for, the aforesaid Meeting. Continued on the reverse side. Must be signed on the reverse side. Transocean Ltd. Your vote is important. To ensure the shares are represented, you should complete, sign and date the proxy card and return it promptly in the enclosed postage pre-paid envelope to: Transocean 2026 AGM, Vote Processing, c/o Broadridge, 51 Mercedes Way, Edgewood, NY 11717, USA or Transocean 2026 AGM, Vote Processing, c/o Schweiger Advokatur/Notariat, Dammstrasse 19, CH-6300 Zug, Switzerland, so that it arrives no later than 2:00 p.m. Eastern Daylight Time on May 21, 2026/8:00 p.m. Swiss time on May 21, 2026. You may revoke your proxy prior to the meeting. Important notice regarding the availability of Proxy Materials for the Annual General Meeting of Shareholders to be held May 22, 2026: The Combined Document is available at: http://www.deepwater.com</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image" Target="media/image15.gif"/><Relationship Id="rId22" Type="http://schemas.openxmlformats.org/officeDocument/2006/relationships/image" Target="media/image16.gif"/><Relationship Id="rId23" Type="http://schemas.openxmlformats.org/officeDocument/2006/relationships/image" Target="media/image17.gif"/><Relationship Id="rId24" Type="http://schemas.openxmlformats.org/officeDocument/2006/relationships/image" Target="media/image18.jpeg"/><Relationship Id="rId25" Type="http://schemas.openxmlformats.org/officeDocument/2006/relationships/image" Target="media/image17.gif"/><Relationship Id="rId26" Type="http://schemas.openxmlformats.org/officeDocument/2006/relationships/image" Target="media/image16.gif"/><Relationship Id="rId27" Type="http://schemas.openxmlformats.org/officeDocument/2006/relationships/image" Target="media/image15.gif"/><Relationship Id="rId28" Type="http://schemas.openxmlformats.org/officeDocument/2006/relationships/image" Target="media/image19.jpeg"/><Relationship Id="rId29" Type="http://schemas.openxmlformats.org/officeDocument/2006/relationships/image" Target="media/image15.gif"/><Relationship Id="rId30" Type="http://schemas.openxmlformats.org/officeDocument/2006/relationships/image" Target="media/image17.gif"/><Relationship Id="rId31" Type="http://schemas.openxmlformats.org/officeDocument/2006/relationships/image" Target="media/image20.jpeg"/><Relationship Id="rId32" Type="http://schemas.openxmlformats.org/officeDocument/2006/relationships/image" Target="media/image21.jpeg"/><Relationship Id="rId33" Type="http://schemas.openxmlformats.org/officeDocument/2006/relationships/image" Target="media/image17.gif"/><Relationship Id="rId34" Type="http://schemas.openxmlformats.org/officeDocument/2006/relationships/image" Target="media/image15.gif"/><Relationship Id="rId35" Type="http://schemas.openxmlformats.org/officeDocument/2006/relationships/image" Target="media/image22.jpeg"/><Relationship Id="rId36" Type="http://schemas.openxmlformats.org/officeDocument/2006/relationships/image" Target="media/image15.gif"/><Relationship Id="rId37" Type="http://schemas.openxmlformats.org/officeDocument/2006/relationships/image" Target="media/image23.jpeg"/><Relationship Id="rId38" Type="http://schemas.openxmlformats.org/officeDocument/2006/relationships/image" Target="media/image15.gif"/><Relationship Id="rId39" Type="http://schemas.openxmlformats.org/officeDocument/2006/relationships/image" Target="media/image16.gif"/><Relationship Id="rId40" Type="http://schemas.openxmlformats.org/officeDocument/2006/relationships/image" Target="media/image24.jpeg"/><Relationship Id="rId41" Type="http://schemas.openxmlformats.org/officeDocument/2006/relationships/image" Target="media/image15.gif"/><Relationship Id="rId42" Type="http://schemas.openxmlformats.org/officeDocument/2006/relationships/image" Target="media/image16.gif"/><Relationship Id="rId43" Type="http://schemas.openxmlformats.org/officeDocument/2006/relationships/image" Target="media/image15.gif"/><Relationship Id="rId44" Type="http://schemas.openxmlformats.org/officeDocument/2006/relationships/image" Target="media/image25.jpeg"/><Relationship Id="rId45" Type="http://schemas.openxmlformats.org/officeDocument/2006/relationships/image" Target="media/image15.gif"/><Relationship Id="rId46" Type="http://schemas.openxmlformats.org/officeDocument/2006/relationships/image" Target="media/image15.gif"/><Relationship Id="rId47" Type="http://schemas.openxmlformats.org/officeDocument/2006/relationships/image" Target="media/image26.jpeg"/><Relationship Id="rId48" Type="http://schemas.openxmlformats.org/officeDocument/2006/relationships/image" Target="media/image27.jpeg"/><Relationship Id="rId49" Type="http://schemas.openxmlformats.org/officeDocument/2006/relationships/image" Target="media/image28.jpeg"/><Relationship Id="rId50" Type="http://schemas.openxmlformats.org/officeDocument/2006/relationships/image" Target="media/image29.jpeg"/><Relationship Id="rId51" Type="http://schemas.openxmlformats.org/officeDocument/2006/relationships/image" Target="media/image30.jpeg"/><Relationship Id="rId52" Type="http://schemas.openxmlformats.org/officeDocument/2006/relationships/image" Target="media/image31.jpeg"/><Relationship Id="rId53" Type="http://schemas.openxmlformats.org/officeDocument/2006/relationships/image" Target="media/image32.jpeg"/><Relationship Id="rId54" Type="http://schemas.openxmlformats.org/officeDocument/2006/relationships/image" Target="media/image32.jpeg"/><Relationship Id="rId55" Type="http://schemas.openxmlformats.org/officeDocument/2006/relationships/image" Target="media/image33.jpeg"/><Relationship Id="rId56" Type="http://schemas.openxmlformats.org/officeDocument/2006/relationships/image" Target="media/image33.jpeg"/><Relationship Id="rId57" Type="http://schemas.openxmlformats.org/officeDocument/2006/relationships/image" Target="media/image32.jpeg"/><Relationship Id="rId58" Type="http://schemas.openxmlformats.org/officeDocument/2006/relationships/image" Target="media/image32.jpeg"/><Relationship Id="rId59" Type="http://schemas.openxmlformats.org/officeDocument/2006/relationships/image" Target="media/image33.jpeg"/><Relationship Id="rId60" Type="http://schemas.openxmlformats.org/officeDocument/2006/relationships/image" Target="media/image33.jpeg"/><Relationship Id="rId61" Type="http://schemas.openxmlformats.org/officeDocument/2006/relationships/image" Target="media/image30.jpeg"/><Relationship Id="rId62" Type="http://schemas.openxmlformats.org/officeDocument/2006/relationships/image" Target="media/image34.jpeg"/><Relationship Id="rId63" Type="http://schemas.openxmlformats.org/officeDocument/2006/relationships/image" Target="media/image35.jpeg"/><Relationship Id="rId64" Type="http://schemas.openxmlformats.org/officeDocument/2006/relationships/image" Target="media/image36.jpeg"/><Relationship Id="rId65" Type="http://schemas.openxmlformats.org/officeDocument/2006/relationships/image" Target="media/image33.jpeg"/><Relationship Id="rId66" Type="http://schemas.openxmlformats.org/officeDocument/2006/relationships/image" Target="media/image37.jpeg"/><Relationship Id="rId67" Type="http://schemas.openxmlformats.org/officeDocument/2006/relationships/image" Target="media/image32.jpeg"/><Relationship Id="rId68" Type="http://schemas.openxmlformats.org/officeDocument/2006/relationships/image" Target="media/image32.jpeg"/><Relationship Id="rId69" Type="http://schemas.openxmlformats.org/officeDocument/2006/relationships/image" Target="media/image32.jpeg"/><Relationship Id="rId70" Type="http://schemas.openxmlformats.org/officeDocument/2006/relationships/image" Target="media/image32.jpeg"/><Relationship Id="rId71" Type="http://schemas.openxmlformats.org/officeDocument/2006/relationships/image" Target="media/image32.jpeg"/><Relationship Id="rId72" Type="http://schemas.openxmlformats.org/officeDocument/2006/relationships/image" Target="media/image38.jpeg"/><Relationship Id="rId73" Type="http://schemas.openxmlformats.org/officeDocument/2006/relationships/image" Target="media/image39.jpeg"/><Relationship Id="rId74" Type="http://schemas.openxmlformats.org/officeDocument/2006/relationships/image" Target="media/image40.jpeg"/><Relationship Id="rId75" Type="http://schemas.openxmlformats.org/officeDocument/2006/relationships/image" Target="media/image41.jpeg"/><Relationship Id="rId76" Type="http://schemas.openxmlformats.org/officeDocument/2006/relationships/image" Target="media/image42.jpeg"/><Relationship Id="rId77" Type="http://schemas.openxmlformats.org/officeDocument/2006/relationships/image" Target="media/image43.jpeg"/><Relationship Id="rId78" Type="http://schemas.openxmlformats.org/officeDocument/2006/relationships/image" Target="media/image44.jpeg"/><Relationship Id="rId79" Type="http://schemas.openxmlformats.org/officeDocument/2006/relationships/image" Target="media/image45.jpeg"/><Relationship Id="rId80" Type="http://schemas.openxmlformats.org/officeDocument/2006/relationships/image" Target="media/image46.jpeg"/><Relationship Id="rId81" Type="http://schemas.openxmlformats.org/officeDocument/2006/relationships/image" Target="media/image47.jpeg"/><Relationship Id="rId82" Type="http://schemas.openxmlformats.org/officeDocument/2006/relationships/image" Target="media/image48.jpeg"/><Relationship Id="rId83" Type="http://schemas.openxmlformats.org/officeDocument/2006/relationships/image" Target="media/image49.jpeg"/><Relationship Id="rId84" Type="http://schemas.openxmlformats.org/officeDocument/2006/relationships/image" Target="media/image50.jpeg"/><Relationship Id="rId85" Type="http://schemas.openxmlformats.org/officeDocument/2006/relationships/image" Target="media/image51.jpeg"/><Relationship Id="rId86" Type="http://schemas.openxmlformats.org/officeDocument/2006/relationships/image" Target="media/image52.jpeg"/><Relationship Id="rId87" Type="http://schemas.openxmlformats.org/officeDocument/2006/relationships/image" Target="media/image53.jpeg"/><Relationship Id="rId88" Type="http://schemas.openxmlformats.org/officeDocument/2006/relationships/image" Target="media/image54.jpeg"/><Relationship Id="rId89" Type="http://schemas.openxmlformats.org/officeDocument/2006/relationships/image" Target="media/image55.jpeg"/><Relationship Id="rId90" Type="http://schemas.openxmlformats.org/officeDocument/2006/relationships/image" Target="media/image56.jpeg"/><Relationship Id="rId91" Type="http://schemas.openxmlformats.org/officeDocument/2006/relationships/image" Target="media/image57.jpeg"/><Relationship Id="rId92" Type="http://schemas.openxmlformats.org/officeDocument/2006/relationships/image" Target="media/image58.jpeg"/><Relationship Id="rId93" Type="http://schemas.openxmlformats.org/officeDocument/2006/relationships/image" Target="media/image59.jpeg"/><Relationship Id="rId94" Type="http://schemas.openxmlformats.org/officeDocument/2006/relationships/image" Target="media/image60.jpeg"/><Relationship Id="rId95" Type="http://schemas.openxmlformats.org/officeDocument/2006/relationships/image" Target="media/image32.jpeg"/><Relationship Id="rId96" Type="http://schemas.openxmlformats.org/officeDocument/2006/relationships/image" Target="media/image28.jpeg"/><Relationship Id="rId97" Type="http://schemas.openxmlformats.org/officeDocument/2006/relationships/image" Target="media/image61.jpeg"/><Relationship Id="rId98" Type="http://schemas.openxmlformats.org/officeDocument/2006/relationships/image" Target="media/image62.jpeg"/><Relationship Id="rId99" Type="http://schemas.openxmlformats.org/officeDocument/2006/relationships/image" Target="media/image62.jpeg"/><Relationship Id="rId100" Type="http://schemas.openxmlformats.org/officeDocument/2006/relationships/image" Target="media/image61.jpeg"/><Relationship Id="rId101" Type="http://schemas.openxmlformats.org/officeDocument/2006/relationships/image" Target="media/image28.jpeg"/><Relationship Id="rId102" Type="http://schemas.openxmlformats.org/officeDocument/2006/relationships/image" Target="media/image28.jpeg"/><Relationship Id="rId103" Type="http://schemas.openxmlformats.org/officeDocument/2006/relationships/image" Target="media/image62.jpeg"/><Relationship Id="rId104" Type="http://schemas.openxmlformats.org/officeDocument/2006/relationships/image" Target="media/image62.jpeg"/><Relationship Id="rId105" Type="http://schemas.openxmlformats.org/officeDocument/2006/relationships/image" Target="media/image28.jpeg"/><Relationship Id="rId106" Type="http://schemas.openxmlformats.org/officeDocument/2006/relationships/image" Target="media/image28.jpeg"/><Relationship Id="rId107" Type="http://schemas.openxmlformats.org/officeDocument/2006/relationships/image" Target="media/image28.jpeg"/><Relationship Id="rId108" Type="http://schemas.openxmlformats.org/officeDocument/2006/relationships/image" Target="media/image61.jpeg"/><Relationship Id="rId109" Type="http://schemas.openxmlformats.org/officeDocument/2006/relationships/image" Target="media/image28.jpeg"/><Relationship Id="rId110" Type="http://schemas.openxmlformats.org/officeDocument/2006/relationships/image" Target="media/image61.jpeg"/><Relationship Id="rId111" Type="http://schemas.openxmlformats.org/officeDocument/2006/relationships/image" Target="media/image28.jpeg"/><Relationship Id="rId112" Type="http://schemas.openxmlformats.org/officeDocument/2006/relationships/image" Target="media/image28.jpeg"/><Relationship Id="rId113" Type="http://schemas.openxmlformats.org/officeDocument/2006/relationships/image" Target="media/image28.jpeg"/><Relationship Id="rId114" Type="http://schemas.openxmlformats.org/officeDocument/2006/relationships/image" Target="media/image62.jpeg"/><Relationship Id="rId115" Type="http://schemas.openxmlformats.org/officeDocument/2006/relationships/image" Target="media/image28.jpeg"/><Relationship Id="rId116" Type="http://schemas.openxmlformats.org/officeDocument/2006/relationships/image" Target="media/image61.jpeg"/><Relationship Id="rId117" Type="http://schemas.openxmlformats.org/officeDocument/2006/relationships/image" Target="media/image63.jpeg"/><Relationship Id="rId118" Type="http://schemas.openxmlformats.org/officeDocument/2006/relationships/image" Target="media/image62.jpeg"/><Relationship Id="rId119" Type="http://schemas.openxmlformats.org/officeDocument/2006/relationships/image" Target="media/image64.jpeg"/><Relationship Id="rId120" Type="http://schemas.openxmlformats.org/officeDocument/2006/relationships/image" Target="media/image62.jpeg"/><Relationship Id="rId121" Type="http://schemas.openxmlformats.org/officeDocument/2006/relationships/image" Target="media/image65.jpeg"/><Relationship Id="rId122" Type="http://schemas.openxmlformats.org/officeDocument/2006/relationships/image" Target="media/image62.jpeg"/><Relationship Id="rId123" Type="http://schemas.openxmlformats.org/officeDocument/2006/relationships/image" Target="media/image66.jpeg"/><Relationship Id="rId124" Type="http://schemas.openxmlformats.org/officeDocument/2006/relationships/image" Target="media/image62.jpeg"/><Relationship Id="rId125" Type="http://schemas.openxmlformats.org/officeDocument/2006/relationships/image" Target="media/image67.jpeg"/><Relationship Id="rId126" Type="http://schemas.openxmlformats.org/officeDocument/2006/relationships/image" Target="media/image68.jpeg"/><Relationship Id="rId127" Type="http://schemas.openxmlformats.org/officeDocument/2006/relationships/image" Target="media/image69.jpeg"/><Relationship Id="rId128" Type="http://schemas.openxmlformats.org/officeDocument/2006/relationships/image" Target="media/image70.jpeg"/><Relationship Id="rId129" Type="http://schemas.openxmlformats.org/officeDocument/2006/relationships/image" Target="media/image71.jpeg"/><Relationship Id="rId130" Type="http://schemas.openxmlformats.org/officeDocument/2006/relationships/image" Target="media/image72.jpeg"/><Relationship Id="rId131" Type="http://schemas.openxmlformats.org/officeDocument/2006/relationships/image" Target="media/image73.jpeg"/><Relationship Id="rId132" Type="http://schemas.openxmlformats.org/officeDocument/2006/relationships/image" Target="media/image72.jpeg"/><Relationship Id="rId133" Type="http://schemas.openxmlformats.org/officeDocument/2006/relationships/image" Target="media/image73.jpeg"/><Relationship Id="rId134" Type="http://schemas.openxmlformats.org/officeDocument/2006/relationships/image" Target="media/image74.jpeg"/><Relationship Id="rId135" Type="http://schemas.openxmlformats.org/officeDocument/2006/relationships/image" Target="media/image75.jpeg"/><Relationship Id="rId136" Type="http://schemas.openxmlformats.org/officeDocument/2006/relationships/fontTable" Target="fontTable.xml"/><Relationship Id="rId1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60055</Words>
  <Characters>338920</Characters>
  <CharactersWithSpaces>402170</CharactersWithSpaces>
  <Paragraphs>10848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