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and Exchange Act of 1934</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 2026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TRANSOCEAN LTD.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001-38373</w:t>
      </w:r>
    </w:p>
    <w:p>
      <w:pPr>
        <w:spacing w:after="0" w:line="31"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98-0599916</w:t>
      </w:r>
    </w:p>
    <w:p>
      <w:pPr>
        <w:spacing w:after="0" w:line="3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660" w:space="720"/>
            <w:col w:w="2900" w:space="720"/>
            <w:col w:w="2240"/>
          </w:cols>
          <w:pgMar w:left="320" w:top="754" w:right="339" w:bottom="1440" w:gutter="0" w:footer="0" w:header="0"/>
          <w:type w:val="continuous"/>
        </w:sectPr>
      </w:pPr>
    </w:p>
    <w:p>
      <w:pPr>
        <w:spacing w:after="0" w:line="3"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Turmstrasse 30</w:t>
      </w:r>
    </w:p>
    <w:p>
      <w:pPr>
        <w:spacing w:after="0" w:line="31"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Steinhausen, Switzerland</w:t>
      </w:r>
    </w:p>
    <w:p>
      <w:pPr>
        <w:spacing w:after="0" w:line="9"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CH-6312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520" w:space="720"/>
            <w:col w:w="300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 (41) 749-0500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4"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Ticker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 $0.10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RIG</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Transocean Ltd. (NYSE: RIG) (“</w:t>
      </w:r>
      <w:r>
        <w:rPr>
          <w:rFonts w:ascii="Times New Roman" w:cs="Times New Roman" w:eastAsia="Times New Roman" w:hAnsi="Times New Roman"/>
          <w:sz w:val="18"/>
          <w:szCs w:val="18"/>
          <w:b w:val="1"/>
          <w:bCs w:val="1"/>
          <w:color w:val="auto"/>
        </w:rPr>
        <w:t>Transocean</w:t>
      </w:r>
      <w:r>
        <w:rPr>
          <w:rFonts w:ascii="Times New Roman" w:cs="Times New Roman" w:eastAsia="Times New Roman" w:hAnsi="Times New Roman"/>
          <w:sz w:val="18"/>
          <w:szCs w:val="18"/>
          <w:color w:val="auto"/>
        </w:rPr>
        <w:t>”) announced on June 30, 2026 its entry into an agreement with Equinor, conditional to license approvals, for the use of three of its harsh environment semisubmersible rigs on the Norwegian shelf. In aggregate, this agreement is worth over $1 billion in contract backlog over seven rig years, excluding additional services. The base day rate of $399,000 per day excludes adjustment provisions that will be effective prior to commencement and result in an effective day rate exceeding $400,000 per day at commencement.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agreement applies to three “Cat D” rigs which are designed for Norwegian winter conditions and originally purpose-built for Equinor:</w:t>
      </w:r>
    </w:p>
    <w:p>
      <w:pPr>
        <w:spacing w:after="0" w:line="237" w:lineRule="exact"/>
        <w:rPr>
          <w:sz w:val="20"/>
          <w:szCs w:val="20"/>
          <w:color w:val="auto"/>
        </w:rPr>
      </w:pPr>
    </w:p>
    <w:p>
      <w:pPr>
        <w:ind w:left="980"/>
        <w:spacing w:after="0" w:line="258" w:lineRule="auto"/>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i w:val="1"/>
          <w:iCs w:val="1"/>
          <w:color w:val="auto"/>
        </w:rPr>
        <w:t>Transocean Enabler</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 Three-year program expected to commence in the first quarter of 2028 in direct continuation of the rig’s current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program.</w:t>
      </w:r>
    </w:p>
    <w:p>
      <w:pPr>
        <w:ind w:left="980"/>
        <w:spacing w:after="0" w:line="257" w:lineRule="auto"/>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i w:val="1"/>
          <w:iCs w:val="1"/>
          <w:color w:val="auto"/>
        </w:rPr>
        <w:t>Transocean Encourage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 Two-year program expected to commence in the first quarter of 2028 in direct continuation of the rig’s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current program.</w:t>
      </w:r>
    </w:p>
    <w:p>
      <w:pPr>
        <w:spacing w:after="0" w:line="1" w:lineRule="exact"/>
        <w:rPr>
          <w:sz w:val="20"/>
          <w:szCs w:val="20"/>
          <w:color w:val="auto"/>
        </w:rPr>
      </w:pPr>
    </w:p>
    <w:p>
      <w:pPr>
        <w:ind w:left="980"/>
        <w:spacing w:after="0" w:line="280" w:lineRule="auto"/>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i w:val="1"/>
          <w:iCs w:val="1"/>
          <w:color w:val="auto"/>
        </w:rPr>
        <w:t>Transocean Endurance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 Two-year program expected to commence in the second quarter of 2027 after mobilization back to Norway</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from Australia.</w:t>
      </w:r>
    </w:p>
    <w:p>
      <w:pPr>
        <w:spacing w:after="0" w:line="16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agreement for seven rig years demonstrates the strength and resilience of Norway’s high-specification harsh environment market and our strong relationship with Equinor,” said Keelan Adamson, Transocean’s Chief Executive Officer. “Together with Equinor, we will continue to drive rig efficiency, improve the cost-effectiveness of wells, and prioritize safe and reliable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 copy of the press release announcing the fixtures referred to above is attached hereto and incorporated herein by reference as Exhibit </w:t>
      </w:r>
      <w:r>
        <w:rPr>
          <w:rFonts w:ascii="Times New Roman" w:cs="Times New Roman" w:eastAsia="Times New Roman" w:hAnsi="Times New Roman"/>
          <w:sz w:val="18"/>
          <w:szCs w:val="18"/>
          <w:u w:val="single" w:color="auto"/>
          <w:color w:val="0000EE"/>
        </w:rPr>
        <w:t>99.1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Transaction Approvals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previously announced, on February 9, 2026, </w:t>
      </w:r>
      <w:r>
        <w:rPr>
          <w:rFonts w:ascii="Times New Roman" w:cs="Times New Roman" w:eastAsia="Times New Roman" w:hAnsi="Times New Roman"/>
          <w:sz w:val="18"/>
          <w:szCs w:val="18"/>
          <w:color w:val="030303"/>
        </w:rPr>
        <w:t>Transocean</w:t>
      </w:r>
      <w:r>
        <w:rPr>
          <w:rFonts w:ascii="Times New Roman" w:cs="Times New Roman" w:eastAsia="Times New Roman" w:hAnsi="Times New Roman"/>
          <w:sz w:val="18"/>
          <w:szCs w:val="18"/>
          <w:color w:val="auto"/>
        </w:rPr>
        <w:t xml:space="preserve"> and Valaris Limited, an exempted company limited by shares incorporated under the laws of Bermuda (“</w:t>
      </w:r>
      <w:r>
        <w:rPr>
          <w:rFonts w:ascii="Times New Roman" w:cs="Times New Roman" w:eastAsia="Times New Roman" w:hAnsi="Times New Roman"/>
          <w:sz w:val="18"/>
          <w:szCs w:val="18"/>
          <w:b w:val="1"/>
          <w:bCs w:val="1"/>
          <w:color w:val="auto"/>
        </w:rPr>
        <w:t>Valaris</w:t>
      </w:r>
      <w:r>
        <w:rPr>
          <w:rFonts w:ascii="Times New Roman" w:cs="Times New Roman" w:eastAsia="Times New Roman" w:hAnsi="Times New Roman"/>
          <w:sz w:val="18"/>
          <w:szCs w:val="18"/>
          <w:color w:val="auto"/>
        </w:rPr>
        <w:t>”), entered into a Business Combination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Agreement provides that, among other things and upon the terms and subject to the conditions thereof, Transocean will acquire all of the issued and outstanding common shares of Valaris (the “</w:t>
      </w:r>
      <w:r>
        <w:rPr>
          <w:rFonts w:ascii="Times New Roman" w:cs="Times New Roman" w:eastAsia="Times New Roman" w:hAnsi="Times New Roman"/>
          <w:sz w:val="18"/>
          <w:szCs w:val="18"/>
          <w:b w:val="1"/>
          <w:bCs w:val="1"/>
          <w:color w:val="auto"/>
        </w:rPr>
        <w:t>Valaris Shares</w:t>
      </w:r>
      <w:r>
        <w:rPr>
          <w:rFonts w:ascii="Times New Roman" w:cs="Times New Roman" w:eastAsia="Times New Roman" w:hAnsi="Times New Roman"/>
          <w:sz w:val="18"/>
          <w:szCs w:val="18"/>
          <w:color w:val="auto"/>
        </w:rPr>
        <w:t>”) in exchange for 15.235 shares of Transocean per Valaris Share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closing of the Business Combination is subject to, among other things, the satisfaction or waiver of certain conditions, including (i) Transocean and Valaris obtaining clearance of the transactions contemplated by the Agreement and the Business Combination by the Committee on Foreign Investment in the United States (“</w:t>
      </w:r>
      <w:r>
        <w:rPr>
          <w:rFonts w:ascii="Times New Roman" w:cs="Times New Roman" w:eastAsia="Times New Roman" w:hAnsi="Times New Roman"/>
          <w:sz w:val="18"/>
          <w:szCs w:val="18"/>
          <w:b w:val="1"/>
          <w:bCs w:val="1"/>
          <w:color w:val="auto"/>
        </w:rPr>
        <w:t>CFIUS</w:t>
      </w:r>
      <w:r>
        <w:rPr>
          <w:rFonts w:ascii="Times New Roman" w:cs="Times New Roman" w:eastAsia="Times New Roman" w:hAnsi="Times New Roman"/>
          <w:sz w:val="18"/>
          <w:szCs w:val="18"/>
          <w:color w:val="auto"/>
        </w:rPr>
        <w:t>”) and (ii) the expiration or termination of the applicable waiting period under the Hart-Scott-Rodino Antitrust Improvements Act of 1976, as amended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21, 2026, Transocean and Valaris submitted a joint notice for review by CFIUS, and CFIUS accepted the notice for review by letter dated May 14, 2026. On June 29, 2026, Transocean and Valaris received written notice from CFIUS that constitutes CFIUS Approval (as defined in the Agreement). Accordingly, the condition to the Business Combination relating to the obtainment of CFIUS Approval has been satisfied.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Transocean and Valaris each filed an HSR Act notification with the Federal Trade Commission and the Antitrust Division of the United States Department of Justice (the “</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on March 2, 2026. Transocean withdrew its filing under the HSR Act on April 1, 2026, and subsequently refiled on April 3, 2026. On May 4, 2026, Transocean and Valaris each received a Request for Additional Information and Documentary Materials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Request</w:t>
      </w:r>
      <w:r>
        <w:rPr>
          <w:rFonts w:ascii="Times New Roman" w:cs="Times New Roman" w:eastAsia="Times New Roman" w:hAnsi="Times New Roman"/>
          <w:sz w:val="18"/>
          <w:szCs w:val="18"/>
          <w:color w:val="auto"/>
        </w:rPr>
        <w:t>”) from the DOJ in connection with the DOJ’s review of the transactions contemplated by the Agreement. In connection with the Second Request,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Transocean and Valaris have committed to the DOJ not to certify substantial compliance with the Second Request before July 31, 2026, and unless the waiting period is terminated earlier by the DOJ, not to close the transaction until 60 days after both Transocean and Valaris certify substantial compliance. The parties continue working cooperatively with the DOJ as it reviews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Transocean and Valaris continue to expect to complete the Business Combination in the second half of 2026, subject to receipt of remaining regulatory approvals, the approval by the shareholders of each company, and other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includes certain “forward-looking statements” within the meaning of the federal securities laws, including, but not limited to, those statements related to the proposed transaction, including financial estimates and statements as to the expected timing, completion and effects of the proposed transaction. These forward-looking statements are generally identified by the words “aim,” “anticipate,” “assume,” “believe,” “contemplate,” “continue,” “project,” “might,” “could,” “expect,” “estimate,” “intend,” “strategy,” “plan,” “predict,” “potential,” “may,” “should,” “will,” “would,” “will be,” “will continue,” “will likely result,” and similar expressions, although not all forward-looking statements contain these identifying words.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statements about Transocean’s, Valaris’ or the combined company’s plans, objectives, expectations, strategies, beliefs or future performance or events constitute forward-looking statements. These forward-looking statements, including statements regarding the proposed transaction, are based on Transocean’s and Valaris’ current expectations, estimates, projections and assumptions. Because forward-looking statements relate to the future, they are subject to inherent uncertainties, risks and changes in circumstances that may differ materially from those expressed or implied by such forward-looking statements, which are neither statements of historical fact nor guarantees or assurances of future performance, such as statements about the consummation of the proposed transaction and the anticipated benefits thereof. There is no assurance that these future events will occur as anticipated or that our results, estimates or assumptions will be correct, and we caution investors and all others not to place undue reliance on such forward-looking statements. Actual results could differ materially from those currently anticipated due to a number of risks and uncertainties, many of which are beyond Transocean’s and Valaris’ control.</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Important factors, risks and uncertainties that could cause actual results to differ materially from such plans, estimates or expectations include but are not limited to: (i) the completion of the proposed transaction on the anticipated terms and timing, or at all, including obtaining regulatory and shareholder approvals, and the satisfaction of other conditions to the completion of the proposed transaction as well as the failure to realize anticipated benefits of the proposed transaction; (ii) potential litigation relating to the proposed transaction, including the effects of any outcomes related thereto; (iii) the risk that disruptions from the proposed transaction (including the ability of certain counterparties of Valaris to terminate or amend contracts upon a change of control) will harm Transocean’s or Valaris’ business, including current plans and operations, including during the pendency of the proposed transaction;</w:t>
      </w:r>
    </w:p>
    <w:p>
      <w:pPr>
        <w:spacing w:after="0" w:line="5" w:lineRule="exact"/>
        <w:rPr>
          <w:sz w:val="20"/>
          <w:szCs w:val="20"/>
          <w:color w:val="auto"/>
        </w:rPr>
      </w:pPr>
    </w:p>
    <w:p>
      <w:pPr>
        <w:jc w:val="both"/>
        <w:ind w:firstLine="8"/>
        <w:spacing w:after="0" w:line="266" w:lineRule="auto"/>
        <w:tabs>
          <w:tab w:leader="none" w:pos="32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Transocean or Valaris to retain and hire key personnel, to retain customers or maintain relationships with their respective suppliers, customers and partners; (v) the diversion of management’s time and attention from ordinary course business operations to completion of the proposed transaction; (vi) potential adverse reactions or changes to business relationships resulting from the announcement or completion of the proposed transaction; (vii) legislative, regulatory and economic developments; (viii) potential business uncertainty, including changes to existing business relationships, during the pendency of the proposed transaction that could affect Transocean’s or Valaris’ financial performance as well as unforeseen liabilities, future capital expenditures, revenues, expenses, earnings, synergies, economic performance, indebtedness, financial condition, losses, future prospects, business and management strategies, expansion and growth of Transocean’s or Valaris’ businesses; (ix) the inability of Transocean and Valaris to achieve expected synergies from the transaction or that it may take longer or be more costly than expected to achieve those synergies; (x) an inability to de-leverage on the expected timeline, or at all; (xi) the imposition of any terms and conditions on any required governmental and regulatory approvals that could reduce the anticipated benefits to Transocean and Valaris of the acquisition; (xii) the inability to successfully integrate Valaris’ operations with those of Transocean without unexpected cost or delay; (xiii) certain restrictions during the pendency of the proposed transaction that may impact Transocean’s or Valaris’ ability to pursue certain business opportunities or strategic transactions; (xiv) unpredictability and severity of catastrophic events, including, but not limited to, acts of terrorism, outbreaks of war or hostilities or public health issues, as well as management’s response to any of the aforementioned factors; (xv) the impact of inflation, tariffs, rising interest rates, and global conflicts, including disruptions in European economies as a result of the Ukrainian/Russian conflict and the ongoing conflicts in the Middle East, the relationship between China and Taiwan and ongoing trade disputes between the United States and China; (xvi) the possibility that the proposed transaction may be more expensive to complete than anticipated, including as a result of unexpected factors or events; (xvii) the occurrence of any event, change or other circumstance that could give rise to the termination of the proposed transaction, including in circumstances requiring Transocean or Valaris to pay a termination fee; (xviii) the risk that Transocean’s or Valaris’ share price may decline significantly if the proposed transaction is not consummated; (xix) there may be liabilities that are not known, probable or estimable at this time or unexpected costs, charges or expenses; (xx) commodity price fluctuations and volatility, customer demand, loss of a significant customer or customer contracts, downtime and other risks associated with offshore rig operations and changes in worldwide rig supply; (xxi) adverse weather or major natural disasters, including hurricanes; (xxii) the global and regional supply and demand for oil and gas; (xxiii) fluctuation of current and future prices of oil and gas; (xxiv) intention to scrap certain drilling rigs; (xxv) demand, competition and technology, supply chain and logistics challenges, consumer preferences for alternative fuels and forecasts or expectations regarding the global energy transition, changes in customer strategy and future levels of offshore drilling activity; (xxvi) estimated duration of customer contracts and contract dayrate amounts, future contract commencement dates and locations, planned shipyard projects and other out-of-service time, sales of drilling units, the cost and timing of mobilizations and reactivations, operating hazards and delays, weather-related risks, risks associated with international operations, actions by customers and other third parties; (xxvii) increasing regulatory complexity, general economic, market, business and industry conditions, trends and outlook, general political conditions, including political tensions, conflicts and war, cybersecurity attacks and threats, uncertainty around the use and impacts of artificial intelligence applications, the effects of contagious illnesses including the spread of and mitigation efforts by governments, businesses and individuals and other factors, including those risks and uncertainties found in Transocean’s and Valaris’ respective filings with the SEC, including the risk factors discussed in Transocean’s and Valaris’ most recent Annual Reports on Form 10-K, as updated by their Quarterly Reports on Form 10-Q and future filings with the SEC from time to time, which are available via the SEC’s website at www.sec.gov; and (xxviii) those risks that will be described in future filings with the SEC and available from the sources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proposed transaction will be completed, or if it is completed, that it will close within the anticipated time period. While the list of factors presented here is, and the list of factors presented in the joint proxy statement will be, considered representative, no such list should be considered to be a complete statement of all potential risks and uncertainties and should be read in conjunction with the other forward-looking statements. Unlisted factors may present significant additional obstacles to the realization of forward-looking statements. The forward-looking statements relate only to events as of the date on which the statements are made and we undertake no obligation to update, and expressly disclaim any obligation to update, any forward-looking statements, or any other information in this communication, whether resulting from developments, circumstances or events that arise after the date the statements are made, new information, or otherwise. If one or more of these or other risks or uncertainties materialize, or if our underlying assumptions prove to be incorrect, actual results may vary materially from what we may have expressed or implied by these forward-looking statements. All forward-looking statements in this communication are qualified in their entirety by this cautionary statement. You should specifically consider the factors identified in this communication that could cause actual results to differ. Furthermore, new risks and uncertainties arise from time to time, and it is impossible for us to predict those events or how they may affect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Additional Information and Where to Find It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relates to the proposed business combination of Transocean and Valaris pursuant to the terms of the Business Combination Agreement, dated as of February 9, 2026, and is being made by way of a scheme of arrangement pursuant to section 99 of the Companies Act 1981, as amended, under the laws of Bermuda. In connection therewith, Transocean and Valaris filed a joint preliminary proxy statement on Schedule 14A with the SEC on May 19, 2026. The joint preliminary proxy statement is not final, and a joint definitive proxy statement (when available) will be mailed or otherwise disseminated to shareholders of each of Transocean and Valaris seeking their approval of the parties’ respective transaction-related proposals. None of the securities to be issued pursuant to the scheme of arrangement are anticipated to be registered under the U.S. Securities Act or any state securities laws, and any securities issued in the transaction are anticipated to be issued in reliance upon an exemption from such registration requirements pursuant to Section 3(a)(10) of the U.S. Securities Act and applicable exemptions under state securities laws.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AND SHAREHOLDERS OF TRANSOCEAN AND VALARIS ARE URGED TO READ THE JOINT PROXY STATEMENT, THE BUSINESS COMBINATION AGREEMENT, THE SCHEME DOCUMENT AND ANY OTHER RELEVANT DOCUMENTS THAT WILL BE FILED WITH THE SEC IN CONNECTION WITH THE PROPOSED TRANSACTION (INCLUDING ANY AMENDMENTS OR SUPPLEMENTS THERETO) CAREFULLY AND IN THEIR ENTIRETY WHEN THEY BECOME AVAILABLE BECAUSE THEY CONTAIN OR WILL CONTAIN IMPORTANT INFORMATION ABOUT THE PROPOSED TRANSACTION, THE PARTIES TO THE PROPOSED TRANSACTION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does not constitute an offer to buy, or the solicitation of an offer to sell, any securities, nor shall there be any sale of securities in any jurisdiction in which such offer or sale would be unlawful prior to registration or qualification under the securities laws of any such jurisdiction. This communication is not a substitute for the joint proxy statement or any other document that Transocean or Valaris may file with the SEC and send to their respective shareholders in connection with the proposed transaction. Investors and shareholders will be able to obtain free copies of the joint proxy</w:t>
      </w:r>
    </w:p>
    <w:tbl>
      <w:tblPr>
        <w:tblLayout w:type="fixed"/>
        <w:tblInd w:w="0" w:type="dxa"/>
        <w:tblCellMar>
          <w:top w:w="0" w:type="dxa"/>
          <w:left w:w="0" w:type="dxa"/>
          <w:bottom w:w="0" w:type="dxa"/>
          <w:right w:w="0" w:type="dxa"/>
        </w:tblCellMar>
      </w:tblPr>
      <w:tr>
        <w:trPr>
          <w:trHeight w:val="200"/>
        </w:trPr>
        <w:tc>
          <w:tcPr>
            <w:tcW w:w="256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statement (when available) and</w:t>
            </w:r>
          </w:p>
        </w:tc>
        <w:tc>
          <w:tcPr>
            <w:tcW w:w="4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w w:val="97"/>
              </w:rPr>
              <w:t>documents</w:t>
            </w:r>
          </w:p>
        </w:tc>
        <w:tc>
          <w:tcPr>
            <w:tcW w:w="44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w w:val="96"/>
              </w:rPr>
              <w:t>filed</w:t>
            </w:r>
          </w:p>
        </w:tc>
        <w:tc>
          <w:tcPr>
            <w:tcW w:w="44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w w:val="90"/>
              </w:rPr>
              <w:t>the</w:t>
            </w:r>
          </w:p>
        </w:tc>
        <w:tc>
          <w:tcPr>
            <w:tcW w:w="44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w w:val="90"/>
              </w:rPr>
              <w:t>SEC</w:t>
            </w:r>
          </w:p>
        </w:tc>
        <w:tc>
          <w:tcPr>
            <w:tcW w:w="3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w w:val="88"/>
              </w:rPr>
              <w:t>by</w:t>
            </w:r>
          </w:p>
        </w:tc>
        <w:tc>
          <w:tcPr>
            <w:tcW w:w="126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Transocean or</w:t>
            </w:r>
          </w:p>
        </w:tc>
        <w:tc>
          <w:tcPr>
            <w:tcW w:w="164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color w:val="auto"/>
              </w:rPr>
              <w:t>Valaris through the</w:t>
            </w:r>
          </w:p>
        </w:tc>
        <w:tc>
          <w:tcPr>
            <w:tcW w:w="25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website maintained by the SEC</w:t>
            </w:r>
          </w:p>
        </w:tc>
      </w:tr>
      <w:tr>
        <w:trPr>
          <w:trHeight w:val="194"/>
        </w:trPr>
        <w:tc>
          <w:tcPr>
            <w:tcW w:w="25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at http://www.sec.gov. Copies of</w:t>
            </w:r>
          </w:p>
        </w:tc>
        <w:tc>
          <w:tcPr>
            <w:tcW w:w="4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the</w:t>
            </w:r>
          </w:p>
        </w:tc>
        <w:tc>
          <w:tcPr>
            <w:tcW w:w="8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documents</w:t>
            </w:r>
          </w:p>
        </w:tc>
        <w:tc>
          <w:tcPr>
            <w:tcW w:w="4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filed</w:t>
            </w:r>
          </w:p>
        </w:tc>
        <w:tc>
          <w:tcPr>
            <w:tcW w:w="4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the</w:t>
            </w:r>
          </w:p>
        </w:tc>
        <w:tc>
          <w:tcPr>
            <w:tcW w:w="4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SEC</w:t>
            </w:r>
          </w:p>
        </w:tc>
        <w:tc>
          <w:tcPr>
            <w:tcW w:w="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12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Transocean will</w:t>
            </w:r>
          </w:p>
        </w:tc>
        <w:tc>
          <w:tcPr>
            <w:tcW w:w="16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be available free of</w:t>
            </w:r>
          </w:p>
        </w:tc>
        <w:tc>
          <w:tcPr>
            <w:tcW w:w="2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charge on Transocean’s website</w:t>
            </w:r>
          </w:p>
        </w:tc>
      </w:tr>
      <w:tr>
        <w:trPr>
          <w:trHeight w:val="20"/>
        </w:trPr>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www.deepwater.com</w:t>
      </w:r>
      <w:r>
        <w:rPr>
          <w:rFonts w:ascii="Times New Roman" w:cs="Times New Roman" w:eastAsia="Times New Roman" w:hAnsi="Times New Roman"/>
          <w:sz w:val="18"/>
          <w:szCs w:val="18"/>
          <w:color w:val="auto"/>
        </w:rPr>
        <w:t xml:space="preserve"> under the tab “Investors” and under the heading “SEC Filings.” Copies of the documents filed with the SEC by Valaris will be available free of charge on Valaris’ website at </w:t>
      </w:r>
      <w:r>
        <w:rPr>
          <w:rFonts w:ascii="Times New Roman" w:cs="Times New Roman" w:eastAsia="Times New Roman" w:hAnsi="Times New Roman"/>
          <w:sz w:val="18"/>
          <w:szCs w:val="18"/>
          <w:u w:val="single" w:color="auto"/>
          <w:color w:val="auto"/>
        </w:rPr>
        <w:t>www.valaris.com</w:t>
      </w:r>
      <w:r>
        <w:rPr>
          <w:rFonts w:ascii="Times New Roman" w:cs="Times New Roman" w:eastAsia="Times New Roman" w:hAnsi="Times New Roman"/>
          <w:sz w:val="18"/>
          <w:szCs w:val="18"/>
          <w:color w:val="auto"/>
        </w:rPr>
        <w:t xml:space="preserve"> under the tab “Investors” and under the heading “Financials” and subheading “SEC Filings.”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constitute, and does not constitute, an offer or solicitation in or into Switzerland to purchase or invest in any securities, and no application has been made or will be made to admit any securities referred to herein to trading on any trading venue (i.e., exchange or multilateral trading facility) in Switzerland. Neither this communication nor any other offering or marketing material relating to the transaction described herein or any securities referred to herein constitutes a prospectus within the meaning of the Swiss Financial Services Act of June 15, 2018, as amended (the “</w:t>
      </w:r>
      <w:r>
        <w:rPr>
          <w:rFonts w:ascii="Times New Roman" w:cs="Times New Roman" w:eastAsia="Times New Roman" w:hAnsi="Times New Roman"/>
          <w:sz w:val="18"/>
          <w:szCs w:val="18"/>
          <w:b w:val="1"/>
          <w:bCs w:val="1"/>
          <w:color w:val="auto"/>
        </w:rPr>
        <w:t>FinSA</w:t>
      </w:r>
      <w:r>
        <w:rPr>
          <w:rFonts w:ascii="Times New Roman" w:cs="Times New Roman" w:eastAsia="Times New Roman" w:hAnsi="Times New Roman"/>
          <w:sz w:val="18"/>
          <w:szCs w:val="18"/>
          <w:color w:val="auto"/>
        </w:rPr>
        <w:t>”), or advertising within the meaning of the FinSA.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this communication nor any other offering or marketing material relating to the transaction described herein or any securities referred to herein has been filed with or approved by any Swiss regulatory authority. In particular, no material relating to the transaction described herein or any securities referred to herein has been reviewed or approved by a Swiss reviewing body (Prüfstelle) pursuant to article 51 of the FinSA.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communication is not subject to, and has not received approval from, either the Bermuda Monetary Authority or the Registrar of Companies of Bermuda and no statement to the contrary, explicit or implicit, is authorized to be made in this regard. Securities may be offered or sold in Bermuda only in compliance with the provisions of the Investment Business Act 2003 of Bermuda.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Participants in the Solicitation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Transocean, Valaris and their respective directors and executive officers and certain other members of management and employees may be considered to be participants in the solicitation of proxies from the shareholders of Transocean and Valaris in connection with the proposed transaction. Information about the interests of the directors and executive officers of Transocean and Valaris and other persons who may be deemed to be participants in the solicitation of shareholders of Valaris in connection with the proposed transaction and a description of their direct and indirect interests, by security holdings or otherwise, will be included in the joint proxy statement, which will be filed with the SEC. Information about Transocean’s directors and executive officers is set forth in Transocean’s Annual Report on Form 10-K for the year ended December 31, 2025, which was filed with the SEC on February 23, 2026 and its proxy statement for its 2026 annual meeting, which was filed with the SEC on March 20, 2026. Information about Valaris’ directors and executive officers is set forth in Valaris’ Annual Report on Form 10-K for the year ended December 31, 2025, which was filed with the SEC on February 20, 2026, and its proxy statement for its 2026 annual meeting, which was filed with the SEC on April 16, 2026. To the extent holdings of Transocean’s or Valaris’ securities by its directors or executive officers have changed since the amounts set forth in such filings, such changes have been or will be reflected in Initial Statements of Beneficial Ownership on Form 3 or Statements of Beneficial Ownership on Form 4 filed with the SEC. Additional information about the directors and executive officers of Transocean and Valaris and other information regarding the potential participants in the proxy solicitations and a description of their direct and indirect interests, by security holdings or otherwise, which may, in some cases, be different than those of Transocean shareholders or Valaris’ shareholders generally, will be contained in the joint proxy statement and other relevant materials to be filed with the SEC regarding the proposed transaction. You may obtain these documents (when they become available) free of charge through the website maintained by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and from Transocean’s or Valaris’ website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574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8"/>
                <w:szCs w:val="18"/>
                <w:color w:val="auto"/>
              </w:rPr>
              <w:t>. ​​​</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 xml:space="preserve">Transocean Ltd. Announces Agreement with Equinor Valued at Over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 Billion</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4360" w:type="dxa"/>
            <w:vAlign w:val="bottom"/>
          </w:tcPr>
          <w:p>
            <w:pPr>
              <w:spacing w:after="0"/>
              <w:rPr>
                <w:sz w:val="20"/>
                <w:szCs w:val="20"/>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TRANSOCEAN LTD.</w:t>
            </w:r>
          </w:p>
        </w:tc>
      </w:tr>
      <w:tr>
        <w:trPr>
          <w:trHeight w:val="64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Debra Kupferman</w:t>
            </w:r>
          </w:p>
        </w:tc>
      </w:tr>
      <w:tr>
        <w:trPr>
          <w:trHeight w:val="191"/>
        </w:trPr>
        <w:tc>
          <w:tcPr>
            <w:tcW w:w="3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Debra Kupferman</w:t>
            </w:r>
          </w:p>
        </w:tc>
      </w:tr>
      <w:tr>
        <w:trPr>
          <w:trHeight w:val="234"/>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r>
        <w:trPr>
          <w:trHeight w:val="675"/>
        </w:trPr>
        <w:tc>
          <w:tcPr>
            <w:tcW w:w="34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61163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163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Transocean Ltd. Announces Agreement with Equinor Valued at Over $1 Billion</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STEINHAUSEN, Switzerland, June 30, 2026 — Transocean Ltd. (NYSE: RIG) (“Transocean”) today announced its entry into an agreement with Equinor, conditional to license approvals, for the use of three of its harsh environment semisubmersible rigs on the Norwegian shelf. In aggregate, this agreement is worth over $1 billion in contract backlog over seven rig years, excluding additional services. The base day rate of $399,000 per day excludes adjustment provisions that will be effective prior to commencement and result in an effective day rate exceeding $400,000 per day at commencement.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applies to three “Cat D” rigs which are designed for Norwegian winter conditions and originally purpose-built for Equinor:</w:t>
      </w:r>
    </w:p>
    <w:p>
      <w:pPr>
        <w:spacing w:after="0" w:line="223" w:lineRule="exact"/>
        <w:rPr>
          <w:sz w:val="20"/>
          <w:szCs w:val="20"/>
          <w:color w:val="auto"/>
        </w:rPr>
      </w:pPr>
    </w:p>
    <w:p>
      <w:pPr>
        <w:ind w:left="660" w:hanging="328"/>
        <w:spacing w:after="0" w:line="26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Transocean Enabler</w:t>
      </w:r>
      <w:r>
        <w:rPr>
          <w:rFonts w:ascii="Times New Roman" w:cs="Times New Roman" w:eastAsia="Times New Roman" w:hAnsi="Times New Roman"/>
          <w:sz w:val="18"/>
          <w:szCs w:val="18"/>
          <w:color w:val="auto"/>
        </w:rPr>
        <w:t xml:space="preserve"> – Three-year program expected to commence in the first quarter of 2028 in direct continuation of the rig’s current program.</w:t>
      </w:r>
    </w:p>
    <w:p>
      <w:pPr>
        <w:spacing w:after="0" w:line="1"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Transocean Encourage</w:t>
      </w:r>
      <w:r>
        <w:rPr>
          <w:rFonts w:ascii="Times New Roman" w:cs="Times New Roman" w:eastAsia="Times New Roman" w:hAnsi="Times New Roman"/>
          <w:sz w:val="18"/>
          <w:szCs w:val="18"/>
          <w:color w:val="auto"/>
        </w:rPr>
        <w:t xml:space="preserve"> – Two-year program expected to commence in the first quarter of 2028 in direct continuation of the rig’s current program.</w:t>
      </w:r>
    </w:p>
    <w:p>
      <w:pPr>
        <w:spacing w:after="0" w:line="1" w:lineRule="exact"/>
        <w:rPr>
          <w:rFonts w:ascii="Arial" w:cs="Arial" w:eastAsia="Arial" w:hAnsi="Arial"/>
          <w:sz w:val="18"/>
          <w:szCs w:val="18"/>
          <w:b w:val="1"/>
          <w:bCs w:val="1"/>
          <w:color w:val="auto"/>
        </w:rPr>
      </w:pPr>
    </w:p>
    <w:p>
      <w:pPr>
        <w:ind w:left="660" w:hanging="328"/>
        <w:spacing w:after="0" w:line="259"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Transocean Endurance</w:t>
      </w:r>
      <w:r>
        <w:rPr>
          <w:rFonts w:ascii="Times New Roman" w:cs="Times New Roman" w:eastAsia="Times New Roman" w:hAnsi="Times New Roman"/>
          <w:sz w:val="18"/>
          <w:szCs w:val="18"/>
          <w:color w:val="auto"/>
        </w:rPr>
        <w:t xml:space="preserve"> – Two-year program expected to commence in the second quarter of 2027 after mobilization back to Norway from Australia.</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for seven rig years demonstrates the strength and resilience of Norway’s high-specification harsh environment market and our strong relationship with Equinor,” said Keelan Adamson, Transocean’s Chief Executive Officer. “Together with Equinor, we will continue to drive rig efficiency, improve the cost-effectiveness of wells, and prioritize safe and reliable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Transocean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Transocean is a leading international provider of offshore contract drilling services for oil and gas wells. The company specializes in technically demanding sectors of the global offshore drilling business with a particular focus on ultra-deepwater and harsh environment drilling services and operates the highest specification floating offshore drilling fleet in the world.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Transocean owns or has partial ownership interests in and operates a fleet of 27 mobile offshore drilling units, consisting of 20 ultra-deepwater floaters and seven harsh environment floaters.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statements described herein that are not historical facts are forward-looking statements within the meaning of Section 27A of the Securities Act of 1933, as amended, and Section 21E of the Securities Exchange Act of 1934, as amended. These statements could contain words such as “expected” or other similar expressions. Forward-looking statements are based on management’s current expectations and assumptions, and are subject to inherent uncertainties, risks and changes in circumstances that are beyond our control, and in many cases, cannot be predicted. Should one or more of these risks or uncertainties materialize, or should underlying assumptions prove incorrect, actual results may vary materially from those indicated. Factors that could cause actual results to differ materially include, but are not limited to, the level of activity in offshore oil and gas exploration and development, exploration success by producers, operating hazards and delays, risks associated with international operations, actions by customers and other third parties, the fluctuation of current and future prices of oil and gas, the global and regional supply and demand for oil and gas, the intention to scrap certain drilling rigs, the effects of the spread of and mitigation efforts by governments, businesses and individuals related to contagious illnesses, and other factors, including our expectations regarding the timing, completion and anticipated benefits of the proposed business combination with Valaris Limited, an exempted company limited by shares incorporated under the laws of Bermuda, and other risks discussed in the company's most recent Annual Report on Form 10-K for the year ended December 31, 2025, and in the company's other filings with the SEC, which are available free of charge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We expressly disclaim any obligations or undertaking to release publicly any updates or revisions to any forward-looking statement to reflect any change in our expectations or beliefs with regard to the statement or any change in events, conditions or circumstances on which any forward-looking statement is based, except as required by law. All non-GAAP financial measure reconciliations to the most comparative GAAP measure are displayed in quantitative schedules on the company’s website at www.deepwater.com.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or referenced documents, do not constitute an offer to sell, or a solicitation of an offer to buy, any securities, and do not constitute an offering prospectus within the meaning of the Swiss Financial Services Act (“FinSA”) or advertising within the meaning of the FinSA. Nothing contained herein is, or shall be relied on as, a promise or representation as to the future performance of Transocean. Investors must rely on their own evaluation of Transocean and its securities, including the merits and risks involved, when making any investment decision involving Transocean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Davidson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+1 713-232-7217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Kristina Mays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+1 713-232-7734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2026-07-01T08:03:41Z</dcterms:created>
  <dcterms:modified xsi:type="dcterms:W3CDTF">2026-07-01T08:03:41Z</dcterms:modified>
</cp:coreProperties>
</file>