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80"/>
        <w:ind w:left="0" w:right="0" w:hanging="0"/>
        <w:jc w:val="left"/>
        <w:rPr/>
      </w:pPr>
      <w:hyperlink w:anchor="Toc">
        <w:bookmarkStart w:id="0" w:name="rig-20260630x10q.htm"/>
        <w:bookmarkStart w:id="1" w:name="ksrig20260630x10q"/>
        <w:bookmarkEnd w:id="0"/>
        <w:bookmarkEnd w:id="1"/>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sz w:val="20"/>
        </w:rPr>
      </w:pPr>
      <w:bookmarkStart w:id="2" w:name="_cee7fb4f_c34e_4943_94f5_46feadc67d88"/>
      <w:bookmarkEnd w:id="2"/>
      <w:r>
        <w:rPr>
          <w:rFonts w:ascii="Arial Narrow" w:hAnsi="Arial Narrow"/>
          <w:b/>
          <w:sz w:val="20"/>
        </w:rPr>
        <w:t>UNITED STATES</w:t>
      </w:r>
    </w:p>
    <w:p>
      <w:pPr>
        <w:pStyle w:val="TextBody"/>
        <w:bidi w:val="0"/>
        <w:spacing w:before="0" w:after="0"/>
        <w:ind w:left="0" w:right="0" w:hanging="0"/>
        <w:jc w:val="center"/>
        <w:rPr>
          <w:rFonts w:ascii="Arial Narrow" w:hAnsi="Arial Narrow"/>
          <w:b/>
          <w:sz w:val="20"/>
        </w:rPr>
      </w:pPr>
      <w:r>
        <w:rPr>
          <w:rFonts w:ascii="Arial Narrow" w:hAnsi="Arial Narrow"/>
          <w:b/>
          <w:sz w:val="20"/>
        </w:rPr>
        <w:t>SECURITIES AND EXCHANGE COMMISSION</w:t>
      </w:r>
    </w:p>
    <w:p>
      <w:pPr>
        <w:pStyle w:val="TextBody"/>
        <w:bidi w:val="0"/>
        <w:spacing w:before="0" w:after="0"/>
        <w:ind w:left="0" w:right="0" w:hanging="0"/>
        <w:jc w:val="center"/>
        <w:rPr>
          <w:rFonts w:ascii="Arial Narrow" w:hAnsi="Arial Narrow"/>
          <w:b/>
          <w:sz w:val="20"/>
        </w:rPr>
      </w:pPr>
      <w:r>
        <w:rPr>
          <w:rFonts w:ascii="Arial Narrow" w:hAnsi="Arial Narrow"/>
          <w:b/>
          <w:sz w:val="20"/>
        </w:rPr>
        <w:t>Washington, D.C. 20549</w:t>
      </w:r>
    </w:p>
    <w:p>
      <w:pPr>
        <w:pStyle w:val="TextBody"/>
        <w:bidi w:val="0"/>
        <w:spacing w:before="80" w:after="283"/>
        <w:ind w:left="0" w:right="0" w:hanging="0"/>
        <w:jc w:val="center"/>
        <w:rPr/>
      </w:pPr>
      <w:r>
        <w:rPr/>
        <w:t>​</w:t>
      </w:r>
    </w:p>
    <w:p>
      <w:pPr>
        <w:pStyle w:val="TextBody"/>
        <w:bidi w:val="0"/>
        <w:spacing w:before="0" w:after="0"/>
        <w:ind w:left="0" w:right="0" w:hanging="0"/>
        <w:jc w:val="center"/>
        <w:rPr/>
      </w:pPr>
      <w:r>
        <w:rPr/>
        <w:t>​</w:t>
      </w:r>
    </w:p>
    <w:p>
      <w:pPr>
        <w:pStyle w:val="TextBody"/>
        <w:bidi w:val="0"/>
        <w:spacing w:before="120" w:after="0"/>
        <w:ind w:left="0" w:right="0" w:hanging="0"/>
        <w:jc w:val="center"/>
        <w:rPr>
          <w:rFonts w:ascii="Arial Narrow" w:hAnsi="Arial Narrow"/>
          <w:b/>
          <w:sz w:val="28"/>
        </w:rPr>
      </w:pPr>
      <w:r>
        <w:rPr>
          <w:rFonts w:ascii="Arial Narrow" w:hAnsi="Arial Narrow"/>
          <w:b/>
          <w:sz w:val="28"/>
        </w:rPr>
        <w:t>FORM 10-Q</w:t>
      </w:r>
    </w:p>
    <w:p>
      <w:pPr>
        <w:pStyle w:val="TextBody"/>
        <w:bidi w:val="0"/>
        <w:spacing w:before="0" w:after="0"/>
        <w:ind w:left="0" w:right="0" w:firstLine="360"/>
        <w:jc w:val="both"/>
        <w:rPr>
          <w:rFonts w:ascii="Arial Narrow" w:hAnsi="Arial Narrow"/>
          <w:sz w:val="18"/>
        </w:rPr>
      </w:pPr>
      <w:r>
        <w:rPr>
          <w:rFonts w:ascii="Arial Narrow" w:hAnsi="Arial Narrow"/>
          <w:sz w:val="18"/>
        </w:rPr>
        <w:t>(Mark one)</w:t>
      </w:r>
    </w:p>
    <w:p>
      <w:pPr>
        <w:pStyle w:val="TextBody"/>
        <w:bidi w:val="0"/>
        <w:spacing w:before="40" w:after="0"/>
        <w:ind w:left="0" w:right="0" w:firstLine="360"/>
        <w:jc w:val="both"/>
        <w:rPr/>
      </w:pPr>
      <w:r>
        <w:rPr/>
        <w:t>☑  </w:t>
      </w:r>
      <w:r>
        <w:rPr>
          <w:rFonts w:ascii="Arial Narrow" w:hAnsi="Arial Narrow"/>
          <w:sz w:val="20"/>
        </w:rPr>
        <w:t>QUARTERLY REPORT PURSUANT TO SECTION 13 OR 15(d) OF THE SECURITIES EXCHANGE ACT OF 1934</w:t>
      </w:r>
    </w:p>
    <w:p>
      <w:pPr>
        <w:pStyle w:val="TextBody"/>
        <w:bidi w:val="0"/>
        <w:spacing w:before="40" w:after="0"/>
        <w:ind w:left="0" w:right="0" w:hanging="0"/>
        <w:jc w:val="center"/>
        <w:rPr>
          <w:rFonts w:ascii="Arial Narrow" w:hAnsi="Arial Narrow"/>
          <w:b/>
          <w:sz w:val="20"/>
        </w:rPr>
      </w:pPr>
      <w:r>
        <w:rPr>
          <w:rFonts w:ascii="Arial Narrow" w:hAnsi="Arial Narrow"/>
          <w:b/>
          <w:sz w:val="20"/>
        </w:rPr>
        <w:t>For the quarterly period ended June 30, 2026</w:t>
      </w:r>
    </w:p>
    <w:p>
      <w:pPr>
        <w:pStyle w:val="TextBody"/>
        <w:bidi w:val="0"/>
        <w:spacing w:before="40" w:after="0"/>
        <w:ind w:left="0" w:right="0" w:hanging="0"/>
        <w:jc w:val="center"/>
        <w:rPr>
          <w:rFonts w:ascii="Arial Narrow" w:hAnsi="Arial Narrow"/>
          <w:b/>
          <w:sz w:val="20"/>
        </w:rPr>
      </w:pPr>
      <w:r>
        <w:rPr>
          <w:rFonts w:ascii="Arial Narrow" w:hAnsi="Arial Narrow"/>
          <w:b/>
          <w:sz w:val="20"/>
        </w:rPr>
        <w:t>OR</w:t>
      </w:r>
    </w:p>
    <w:p>
      <w:pPr>
        <w:pStyle w:val="TextBody"/>
        <w:bidi w:val="0"/>
        <w:spacing w:before="40" w:after="0"/>
        <w:ind w:left="0" w:right="0" w:firstLine="360"/>
        <w:jc w:val="both"/>
        <w:rPr/>
      </w:pPr>
      <w:r>
        <w:rPr/>
        <w:t>☐  </w:t>
      </w:r>
      <w:r>
        <w:rPr>
          <w:rFonts w:ascii="Arial Narrow" w:hAnsi="Arial Narrow"/>
          <w:sz w:val="20"/>
        </w:rPr>
        <w:t>TRANSITION REPORT PURSUANT TO SECTION 13 OR 15(d) OF THE SECURITIES EXCHANGE ACT OF 1934</w:t>
      </w:r>
    </w:p>
    <w:p>
      <w:pPr>
        <w:pStyle w:val="TextBody"/>
        <w:bidi w:val="0"/>
        <w:spacing w:before="0" w:after="0"/>
        <w:ind w:left="0" w:right="0" w:hanging="0"/>
        <w:jc w:val="center"/>
        <w:rPr>
          <w:rFonts w:ascii="Arial Narrow" w:hAnsi="Arial Narrow"/>
          <w:b/>
          <w:sz w:val="20"/>
        </w:rPr>
      </w:pPr>
      <w:r>
        <w:rPr>
          <w:rFonts w:ascii="Arial Narrow" w:hAnsi="Arial Narrow"/>
          <w:b/>
          <w:sz w:val="20"/>
        </w:rPr>
        <w:t>For the transition period from _____ to _____</w:t>
      </w:r>
    </w:p>
    <w:p>
      <w:pPr>
        <w:pStyle w:val="TextBody"/>
        <w:bidi w:val="0"/>
        <w:spacing w:before="80" w:after="283"/>
        <w:ind w:left="0" w:right="0" w:hanging="0"/>
        <w:jc w:val="center"/>
        <w:rPr/>
      </w:pPr>
      <w:r>
        <w:rPr/>
        <w:t>​</w:t>
      </w:r>
    </w:p>
    <w:p>
      <w:pPr>
        <w:pStyle w:val="TextBody"/>
        <w:bidi w:val="0"/>
        <w:spacing w:before="80" w:after="283"/>
        <w:ind w:left="0" w:right="0" w:hanging="0"/>
        <w:jc w:val="center"/>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Commission file number 001-38373</w:t>
      </w:r>
    </w:p>
    <w:p>
      <w:pPr>
        <w:pStyle w:val="TextBody"/>
        <w:bidi w:val="0"/>
        <w:spacing w:before="180" w:after="0"/>
        <w:ind w:left="0" w:right="0" w:hanging="0"/>
        <w:jc w:val="center"/>
        <w:rPr/>
      </w:pPr>
      <w:r>
        <w:rPr/>
        <w:drawing>
          <wp:inline distT="0" distB="0" distL="0" distR="0">
            <wp:extent cx="2420620"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0620" cy="5486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b/>
          <w:sz w:val="30"/>
        </w:rPr>
      </w:pPr>
      <w:r>
        <w:rPr>
          <w:rFonts w:ascii="Arial Narrow" w:hAnsi="Arial Narrow"/>
          <w:b/>
          <w:sz w:val="30"/>
        </w:rPr>
        <w:t>Transocean Ltd.</w:t>
      </w:r>
    </w:p>
    <w:p>
      <w:pPr>
        <w:pStyle w:val="TextBody"/>
        <w:bidi w:val="0"/>
        <w:spacing w:before="0" w:after="0"/>
        <w:ind w:left="0" w:right="0" w:hanging="0"/>
        <w:jc w:val="center"/>
        <w:rPr>
          <w:rFonts w:ascii="Arial Narrow" w:hAnsi="Arial Narrow"/>
          <w:b w:val="false"/>
          <w:sz w:val="18"/>
        </w:rPr>
      </w:pPr>
      <w:r>
        <w:rPr>
          <w:rFonts w:ascii="Arial Narrow" w:hAnsi="Arial Narrow"/>
          <w:b w:val="false"/>
          <w:sz w:val="18"/>
        </w:rPr>
        <w:t>(Exact name of registrant as specified in its charter)</w:t>
      </w:r>
    </w:p>
    <w:p>
      <w:pPr>
        <w:pStyle w:val="TextBody"/>
        <w:bidi w:val="0"/>
        <w:spacing w:before="80" w:after="283"/>
        <w:ind w:left="0" w:right="0" w:hanging="0"/>
        <w:jc w:val="center"/>
        <w:rPr/>
      </w:pPr>
      <w:r>
        <w:rPr/>
        <w:t>​</w:t>
      </w:r>
    </w:p>
    <w:p>
      <w:pPr>
        <w:pStyle w:val="TextBody"/>
        <w:bidi w:val="0"/>
        <w:spacing w:before="80" w:after="283"/>
        <w:ind w:left="0" w:right="0" w:hanging="0"/>
        <w:jc w:val="center"/>
        <w:rPr/>
      </w:pPr>
      <w:r>
        <w:rPr/>
        <w:t>​</w:t>
      </w:r>
    </w:p>
    <w:p>
      <w:pPr>
        <w:pStyle w:val="Normal"/>
        <w:bidi w:val="0"/>
        <w:spacing w:before="0" w:after="0"/>
        <w:jc w:val="left"/>
        <w:rPr>
          <w:sz w:val="4"/>
          <w:szCs w:val="4"/>
        </w:rPr>
      </w:pPr>
      <w:r>
        <w:rPr>
          <w:sz w:val="4"/>
          <w:szCs w:val="4"/>
        </w:rPr>
      </w:r>
      <w:bookmarkStart w:id="3" w:name="Tc_UzjuKluKMkuSp7Us0gCx5w_8_0"/>
      <w:bookmarkStart w:id="4" w:name="Tc_fCG-7sVOQEOSp2sRZIvljg_7_0"/>
      <w:bookmarkStart w:id="5" w:name="Tc_39p3SfLA-kKnj_tb4CxTPw_4_1"/>
      <w:bookmarkStart w:id="6" w:name="Tc_UvDBk9L1X0GvkHUBbdDJ-A_4_0"/>
      <w:bookmarkStart w:id="7" w:name="Tc_HVvLCLTZzk6OUZUc3Lqyzg_3_0"/>
      <w:bookmarkStart w:id="8" w:name="Tc__0V7abhpwUO98W6-JR4CxQ_1_1"/>
      <w:bookmarkStart w:id="9" w:name="Tc_-LxS5-Pcz06h67-_BzPt_w_1_0"/>
      <w:bookmarkStart w:id="10" w:name="_0d02fdd4_610c_45a6_903b_7f382e9f561c"/>
      <w:bookmarkStart w:id="11" w:name="Tc_UzjuKluKMkuSp7Us0gCx5w_8_0"/>
      <w:bookmarkStart w:id="12" w:name="Tc_fCG-7sVOQEOSp2sRZIvljg_7_0"/>
      <w:bookmarkStart w:id="13" w:name="Tc_39p3SfLA-kKnj_tb4CxTPw_4_1"/>
      <w:bookmarkStart w:id="14" w:name="Tc_UvDBk9L1X0GvkHUBbdDJ-A_4_0"/>
      <w:bookmarkStart w:id="15" w:name="Tc_HVvLCLTZzk6OUZUc3Lqyzg_3_0"/>
      <w:bookmarkStart w:id="16" w:name="Tc__0V7abhpwUO98W6-JR4CxQ_1_1"/>
      <w:bookmarkStart w:id="17" w:name="Tc_-LxS5-Pcz06h67-_BzPt_w_1_0"/>
      <w:bookmarkStart w:id="18" w:name="_0d02fdd4_610c_45a6_903b_7f382e9f561c"/>
      <w:bookmarkEnd w:id="11"/>
      <w:bookmarkEnd w:id="12"/>
      <w:bookmarkEnd w:id="13"/>
      <w:bookmarkEnd w:id="14"/>
      <w:bookmarkEnd w:id="15"/>
      <w:bookmarkEnd w:id="16"/>
      <w:bookmarkEnd w:id="17"/>
      <w:bookmarkEnd w:id="18"/>
    </w:p>
    <w:tbl>
      <w:tblPr>
        <w:tblW w:w="6137" w:type="dxa"/>
        <w:jc w:val="left"/>
        <w:tblInd w:w="0" w:type="dxa"/>
        <w:tblLayout w:type="fixed"/>
        <w:tblCellMar>
          <w:top w:w="0" w:type="dxa"/>
          <w:left w:w="0" w:type="dxa"/>
          <w:bottom w:w="0" w:type="dxa"/>
          <w:right w:w="0" w:type="dxa"/>
        </w:tblCellMar>
      </w:tblPr>
      <w:tblGrid>
        <w:gridCol w:w="3751"/>
        <w:gridCol w:w="2386"/>
      </w:tblGrid>
      <w:tr>
        <w:trPr/>
        <w:tc>
          <w:tcPr>
            <w:tcW w:w="375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Switzerland</w:t>
            </w:r>
          </w:p>
        </w:tc>
        <w:tc>
          <w:tcPr>
            <w:tcW w:w="2386"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98-0599916</w:t>
            </w:r>
          </w:p>
        </w:tc>
      </w:tr>
      <w:tr>
        <w:trPr/>
        <w:tc>
          <w:tcPr>
            <w:tcW w:w="3751"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(State or other jurisdiction of incorporation or organization)</w:t>
            </w:r>
          </w:p>
        </w:tc>
        <w:tc>
          <w:tcPr>
            <w:tcW w:w="2386"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(I.R.S. Employer Identification No.)</w:t>
            </w:r>
          </w:p>
        </w:tc>
      </w:tr>
      <w:tr>
        <w:trPr/>
        <w:tc>
          <w:tcPr>
            <w:tcW w:w="375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Turmstrasse 30</w:t>
            </w:r>
          </w:p>
          <w:p>
            <w:pPr>
              <w:pStyle w:val="TableContents"/>
              <w:bidi w:val="0"/>
              <w:spacing w:before="0" w:after="0"/>
              <w:ind w:left="0" w:right="0" w:hanging="0"/>
              <w:jc w:val="center"/>
              <w:rPr>
                <w:rFonts w:ascii="Arial Narrow" w:hAnsi="Arial Narrow"/>
                <w:b/>
                <w:sz w:val="20"/>
              </w:rPr>
            </w:pPr>
            <w:r>
              <w:rPr>
                <w:rFonts w:ascii="Arial Narrow" w:hAnsi="Arial Narrow"/>
                <w:b/>
                <w:sz w:val="20"/>
              </w:rPr>
              <w:t>Steinhausen, Switzerland</w:t>
            </w:r>
          </w:p>
        </w:tc>
        <w:tc>
          <w:tcPr>
            <w:tcW w:w="2386"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6312</w:t>
            </w:r>
          </w:p>
        </w:tc>
      </w:tr>
      <w:tr>
        <w:trPr/>
        <w:tc>
          <w:tcPr>
            <w:tcW w:w="3751"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(Address of principal executive offices)</w:t>
            </w:r>
          </w:p>
        </w:tc>
        <w:tc>
          <w:tcPr>
            <w:tcW w:w="2386"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(Zip Code)</w:t>
            </w:r>
          </w:p>
        </w:tc>
      </w:tr>
      <w:tr>
        <w:trPr/>
        <w:tc>
          <w:tcPr>
            <w:tcW w:w="375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6137" w:type="dxa"/>
            <w:gridSpan w:val="2"/>
            <w:tcBorders/>
            <w:vAlign w:val="center"/>
          </w:tcPr>
          <w:p>
            <w:pPr>
              <w:pStyle w:val="TableContents"/>
              <w:bidi w:val="0"/>
              <w:spacing w:before="80" w:after="283"/>
              <w:ind w:left="0" w:right="0" w:hanging="0"/>
              <w:jc w:val="center"/>
              <w:rPr/>
            </w:pPr>
            <w:r>
              <w:rPr/>
              <w:t>​</w:t>
            </w:r>
          </w:p>
        </w:tc>
      </w:tr>
      <w:tr>
        <w:trPr/>
        <w:tc>
          <w:tcPr>
            <w:tcW w:w="6137" w:type="dxa"/>
            <w:gridSpan w:val="2"/>
            <w:tcBorders/>
            <w:vAlign w:val="center"/>
          </w:tcPr>
          <w:p>
            <w:pPr>
              <w:pStyle w:val="TableContents"/>
              <w:bidi w:val="0"/>
              <w:spacing w:before="40" w:after="40"/>
              <w:ind w:left="0" w:right="0" w:hanging="0"/>
              <w:jc w:val="center"/>
              <w:rPr>
                <w:rFonts w:ascii="Arial Narrow" w:hAnsi="Arial Narrow"/>
                <w:b/>
                <w:sz w:val="20"/>
              </w:rPr>
            </w:pPr>
            <w:r>
              <w:rPr>
                <w:rFonts w:ascii="Arial Narrow" w:hAnsi="Arial Narrow"/>
                <w:b/>
                <w:sz w:val="20"/>
              </w:rPr>
              <w:t>+41 (41) 749-0500</w:t>
            </w:r>
          </w:p>
        </w:tc>
      </w:tr>
      <w:tr>
        <w:trPr/>
        <w:tc>
          <w:tcPr>
            <w:tcW w:w="6137" w:type="dxa"/>
            <w:gridSpan w:val="2"/>
            <w:tcBorders/>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(Registrant’s telephone number, including area code)</w:t>
            </w:r>
          </w:p>
        </w:tc>
      </w:tr>
      <w:tr>
        <w:trPr/>
        <w:tc>
          <w:tcPr>
            <w:tcW w:w="375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6137" w:type="dxa"/>
            <w:gridSpan w:val="2"/>
            <w:tcBorders/>
            <w:vAlign w:val="center"/>
          </w:tcPr>
          <w:p>
            <w:pPr>
              <w:pStyle w:val="TableContents"/>
              <w:bidi w:val="0"/>
              <w:spacing w:before="80" w:after="283"/>
              <w:ind w:left="0" w:right="0" w:hanging="0"/>
              <w:jc w:val="center"/>
              <w:rPr/>
            </w:pPr>
            <w:r>
              <w:rPr/>
              <w:t>​</w:t>
            </w:r>
          </w:p>
        </w:tc>
      </w:tr>
    </w:tbl>
    <w:p>
      <w:pPr>
        <w:pStyle w:val="TextBody"/>
        <w:bidi w:val="0"/>
        <w:spacing w:before="120" w:after="60"/>
        <w:ind w:left="0" w:right="0" w:firstLine="360"/>
        <w:jc w:val="left"/>
        <w:rPr>
          <w:rFonts w:ascii="Arial Narrow" w:hAnsi="Arial Narrow"/>
          <w:sz w:val="18"/>
        </w:rPr>
      </w:pPr>
      <w:r>
        <w:rPr>
          <w:rFonts w:ascii="Arial Narrow" w:hAnsi="Arial Narrow"/>
          <w:sz w:val="18"/>
        </w:rPr>
        <w:t>Securities registered pursuant to Section 12(b) of the Act:</w:t>
      </w:r>
    </w:p>
    <w:p>
      <w:pPr>
        <w:pStyle w:val="Normal"/>
        <w:bidi w:val="0"/>
        <w:spacing w:before="0" w:after="0"/>
        <w:jc w:val="left"/>
        <w:rPr>
          <w:sz w:val="4"/>
          <w:szCs w:val="4"/>
        </w:rPr>
      </w:pPr>
      <w:r>
        <w:rPr>
          <w:sz w:val="4"/>
          <w:szCs w:val="4"/>
        </w:rPr>
      </w:r>
      <w:bookmarkStart w:id="19" w:name="Tc_Q55i2UzVvU-DJEnKvcS33A_3_0"/>
      <w:bookmarkStart w:id="20" w:name="Tc_GY6bPrwCLUGI5Kb6oJA-9w_2_2"/>
      <w:bookmarkStart w:id="21" w:name="Tc_0vB5nyUUj0Sy6RAuDad11A_2_1"/>
      <w:bookmarkStart w:id="22" w:name="Tc_AcbTOAXaSUCn8oFZyM0LaA_2_0"/>
      <w:bookmarkStart w:id="23" w:name="_f683fb09_dda8_4640_8bf0_bd8aecd4148c"/>
      <w:bookmarkStart w:id="24" w:name="Tc_Q55i2UzVvU-DJEnKvcS33A_3_0"/>
      <w:bookmarkStart w:id="25" w:name="Tc_GY6bPrwCLUGI5Kb6oJA-9w_2_2"/>
      <w:bookmarkStart w:id="26" w:name="Tc_0vB5nyUUj0Sy6RAuDad11A_2_1"/>
      <w:bookmarkStart w:id="27" w:name="Tc_AcbTOAXaSUCn8oFZyM0LaA_2_0"/>
      <w:bookmarkStart w:id="28" w:name="_f683fb09_dda8_4640_8bf0_bd8aecd4148c"/>
      <w:bookmarkEnd w:id="24"/>
      <w:bookmarkEnd w:id="25"/>
      <w:bookmarkEnd w:id="26"/>
      <w:bookmarkEnd w:id="27"/>
      <w:bookmarkEnd w:id="28"/>
    </w:p>
    <w:tbl>
      <w:tblPr>
        <w:tblW w:w="5628" w:type="dxa"/>
        <w:jc w:val="left"/>
        <w:tblInd w:w="0" w:type="dxa"/>
        <w:tblLayout w:type="fixed"/>
        <w:tblCellMar>
          <w:top w:w="0" w:type="dxa"/>
          <w:left w:w="0" w:type="dxa"/>
          <w:bottom w:w="0" w:type="dxa"/>
          <w:right w:w="0" w:type="dxa"/>
        </w:tblCellMar>
      </w:tblPr>
      <w:tblGrid>
        <w:gridCol w:w="1621"/>
        <w:gridCol w:w="1066"/>
        <w:gridCol w:w="2941"/>
      </w:tblGrid>
      <w:tr>
        <w:trPr/>
        <w:tc>
          <w:tcPr>
            <w:tcW w:w="162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Title of each class</w:t>
            </w:r>
          </w:p>
        </w:tc>
        <w:tc>
          <w:tcPr>
            <w:tcW w:w="10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Trading symbol</w:t>
            </w:r>
          </w:p>
        </w:tc>
        <w:tc>
          <w:tcPr>
            <w:tcW w:w="29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Name of each exchange on which registered</w:t>
            </w:r>
          </w:p>
        </w:tc>
      </w:tr>
      <w:tr>
        <w:trPr/>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left"/>
              <w:rPr>
                <w:rFonts w:ascii="Arial Narrow" w:hAnsi="Arial Narrow"/>
                <w:sz w:val="18"/>
              </w:rPr>
            </w:pPr>
            <w:r>
              <w:rPr>
                <w:rFonts w:ascii="Arial Narrow" w:hAnsi="Arial Narrow"/>
                <w:sz w:val="18"/>
              </w:rPr>
              <w:t>Shares, $0.10 par value</w:t>
            </w:r>
          </w:p>
        </w:tc>
        <w:tc>
          <w:tcPr>
            <w:tcW w:w="10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RIG</w:t>
            </w:r>
          </w:p>
        </w:tc>
        <w:tc>
          <w:tcPr>
            <w:tcW w:w="29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New York Stock Exchange</w:t>
            </w:r>
          </w:p>
        </w:tc>
      </w:tr>
    </w:tbl>
    <w:p>
      <w:pPr>
        <w:pStyle w:val="TextBody"/>
        <w:bidi w:val="0"/>
        <w:spacing w:before="80" w:after="283"/>
        <w:ind w:left="0" w:right="0" w:hanging="0"/>
        <w:jc w:val="both"/>
        <w:rPr/>
      </w:pPr>
      <w:r>
        <w:rPr/>
        <w:t>​</w:t>
      </w:r>
    </w:p>
    <w:p>
      <w:pPr>
        <w:pStyle w:val="TextBody"/>
        <w:bidi w:val="0"/>
        <w:spacing w:before="40" w:after="0"/>
        <w:ind w:left="0" w:right="0" w:firstLine="360"/>
        <w:jc w:val="both"/>
        <w:rPr>
          <w:rFonts w:ascii="Arial Narrow" w:hAnsi="Arial Narrow"/>
          <w:sz w:val="18"/>
        </w:rPr>
      </w:pPr>
      <w:r>
        <w:rPr>
          <w:rFonts w:ascii="Arial Narrow" w:hAnsi="Arial Narrow"/>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Narrow" w:hAnsi="Arial Narrow"/>
          <w:sz w:val="16"/>
        </w:rPr>
        <w:t>Yes</w:t>
      </w:r>
      <w:r>
        <w:rPr>
          <w:rFonts w:ascii="Arial Narrow" w:hAnsi="Arial Narrow"/>
          <w:sz w:val="18"/>
        </w:rPr>
        <w:t xml:space="preserve"> ☑   </w:t>
      </w:r>
      <w:r>
        <w:rPr>
          <w:rFonts w:ascii="Arial Narrow" w:hAnsi="Arial Narrow"/>
          <w:sz w:val="16"/>
        </w:rPr>
        <w:t>No </w:t>
      </w:r>
      <w:r>
        <w:rPr>
          <w:rFonts w:ascii="Arial Narrow" w:hAnsi="Arial Narrow"/>
          <w:sz w:val="18"/>
        </w:rPr>
        <w:t>☐</w:t>
      </w:r>
    </w:p>
    <w:p>
      <w:pPr>
        <w:pStyle w:val="TextBody"/>
        <w:bidi w:val="0"/>
        <w:spacing w:before="40" w:after="0"/>
        <w:ind w:left="0" w:right="0" w:firstLine="360"/>
        <w:jc w:val="both"/>
        <w:rPr>
          <w:rFonts w:ascii="Arial Narrow" w:hAnsi="Arial Narrow"/>
          <w:sz w:val="18"/>
        </w:rPr>
      </w:pPr>
      <w:r>
        <w:rPr>
          <w:rFonts w:ascii="Arial Narrow" w:hAnsi="Arial Narrow"/>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Narrow" w:hAnsi="Arial Narrow"/>
          <w:sz w:val="16"/>
        </w:rPr>
        <w:t>Yes</w:t>
      </w:r>
      <w:r>
        <w:rPr>
          <w:rFonts w:ascii="Arial Narrow" w:hAnsi="Arial Narrow"/>
          <w:sz w:val="18"/>
        </w:rPr>
        <w:t xml:space="preserve"> ☑   </w:t>
      </w:r>
      <w:r>
        <w:rPr>
          <w:rFonts w:ascii="Arial Narrow" w:hAnsi="Arial Narrow"/>
          <w:sz w:val="16"/>
        </w:rPr>
        <w:t>No </w:t>
      </w:r>
      <w:r>
        <w:rPr>
          <w:rFonts w:ascii="Arial Narrow" w:hAnsi="Arial Narrow"/>
          <w:sz w:val="18"/>
        </w:rPr>
        <w:t>☐</w:t>
      </w:r>
    </w:p>
    <w:p>
      <w:pPr>
        <w:pStyle w:val="TextBody"/>
        <w:bidi w:val="0"/>
        <w:spacing w:before="40" w:after="0"/>
        <w:ind w:left="0" w:right="0" w:firstLine="360"/>
        <w:jc w:val="both"/>
        <w:rPr>
          <w:rFonts w:ascii="Arial Narrow" w:hAnsi="Arial Narrow"/>
          <w:sz w:val="18"/>
        </w:rPr>
      </w:pPr>
      <w:r>
        <w:rPr>
          <w:rFonts w:ascii="Arial Narrow" w:hAnsi="Arial Narrow"/>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40" w:after="0"/>
        <w:ind w:left="0" w:right="0" w:hanging="0"/>
        <w:jc w:val="center"/>
        <w:rPr>
          <w:rFonts w:ascii="Arial Narrow" w:hAnsi="Arial Narrow"/>
          <w:sz w:val="18"/>
        </w:rPr>
      </w:pPr>
      <w:r>
        <w:rPr>
          <w:rFonts w:ascii="Arial Narrow" w:hAnsi="Arial Narrow"/>
          <w:sz w:val="16"/>
        </w:rPr>
        <w:t>Large accelerated filer</w:t>
      </w:r>
      <w:r>
        <w:rPr>
          <w:rFonts w:ascii="Arial Narrow" w:hAnsi="Arial Narrow"/>
          <w:sz w:val="18"/>
        </w:rPr>
        <w:t xml:space="preserve"> ☑ </w:t>
      </w:r>
      <w:r>
        <w:rPr>
          <w:rFonts w:ascii="Arial Narrow" w:hAnsi="Arial Narrow"/>
          <w:sz w:val="16"/>
        </w:rPr>
        <w:t>Accelerated filer </w:t>
      </w:r>
      <w:r>
        <w:rPr>
          <w:rFonts w:ascii="Arial Narrow" w:hAnsi="Arial Narrow"/>
          <w:sz w:val="18"/>
        </w:rPr>
        <w:t xml:space="preserve">☐ </w:t>
      </w:r>
      <w:r>
        <w:rPr>
          <w:rFonts w:ascii="Arial Narrow" w:hAnsi="Arial Narrow"/>
          <w:sz w:val="16"/>
        </w:rPr>
        <w:t>Non</w:t>
      </w:r>
      <w:r>
        <w:rPr>
          <w:rFonts w:ascii="Arial Narrow" w:hAnsi="Arial Narrow"/>
          <w:sz w:val="18"/>
        </w:rPr>
        <w:t>-</w:t>
      </w:r>
      <w:r>
        <w:rPr>
          <w:rFonts w:ascii="Arial Narrow" w:hAnsi="Arial Narrow"/>
          <w:sz w:val="16"/>
        </w:rPr>
        <w:t>accelerated filer </w:t>
      </w:r>
      <w:r>
        <w:rPr>
          <w:rFonts w:ascii="Arial Narrow" w:hAnsi="Arial Narrow"/>
          <w:sz w:val="18"/>
        </w:rPr>
        <w:t xml:space="preserve">☐ </w:t>
      </w:r>
      <w:r>
        <w:rPr>
          <w:rFonts w:ascii="Arial Narrow" w:hAnsi="Arial Narrow"/>
          <w:sz w:val="16"/>
        </w:rPr>
        <w:t>Smaller reporting company </w:t>
      </w:r>
      <w:r>
        <w:rPr>
          <w:rFonts w:ascii="Arial Narrow" w:hAnsi="Arial Narrow"/>
          <w:sz w:val="18"/>
        </w:rPr>
        <w:t xml:space="preserve">☐ </w:t>
      </w:r>
      <w:r>
        <w:rPr>
          <w:rFonts w:ascii="Arial Narrow" w:hAnsi="Arial Narrow"/>
          <w:sz w:val="16"/>
        </w:rPr>
        <w:t>Emerging growth company </w:t>
      </w:r>
      <w:r>
        <w:rPr>
          <w:rFonts w:ascii="Arial Narrow" w:hAnsi="Arial Narrow"/>
          <w:sz w:val="18"/>
        </w:rPr>
        <w:t>☐</w:t>
      </w:r>
    </w:p>
    <w:p>
      <w:pPr>
        <w:pStyle w:val="TextBody"/>
        <w:bidi w:val="0"/>
        <w:spacing w:before="120" w:after="0"/>
        <w:ind w:left="0" w:right="0" w:firstLine="360"/>
        <w:jc w:val="both"/>
        <w:rPr>
          <w:rFonts w:ascii="Arial Narrow" w:hAnsi="Arial Narrow"/>
          <w:sz w:val="16"/>
        </w:rPr>
      </w:pPr>
      <w:r>
        <w:rPr>
          <w:rFonts w:ascii="Arial Narrow" w:hAnsi="Arial Narrow"/>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Narrow" w:hAnsi="Arial Narrow"/>
          <w:sz w:val="16"/>
        </w:rPr>
        <w:t>☐</w:t>
      </w:r>
    </w:p>
    <w:p>
      <w:pPr>
        <w:pStyle w:val="TextBody"/>
        <w:bidi w:val="0"/>
        <w:spacing w:before="80" w:after="0"/>
        <w:ind w:left="0" w:right="0" w:firstLine="360"/>
        <w:jc w:val="both"/>
        <w:rPr>
          <w:rFonts w:ascii="Arial Narrow" w:hAnsi="Arial Narrow"/>
          <w:sz w:val="18"/>
        </w:rPr>
      </w:pPr>
      <w:r>
        <w:rPr>
          <w:rFonts w:ascii="Arial Narrow" w:hAnsi="Arial Narrow"/>
          <w:sz w:val="18"/>
        </w:rPr>
        <w:t xml:space="preserve">Indicate by check mark whether the registrant is a shell company (as defined in Rule 12b-2 of the Exchange Act).   </w:t>
      </w:r>
      <w:r>
        <w:rPr>
          <w:rFonts w:ascii="Arial Narrow" w:hAnsi="Arial Narrow"/>
          <w:sz w:val="16"/>
        </w:rPr>
        <w:t>Yes </w:t>
      </w:r>
      <w:r>
        <w:rPr>
          <w:rFonts w:ascii="Arial Narrow" w:hAnsi="Arial Narrow"/>
          <w:sz w:val="18"/>
        </w:rPr>
        <w:t xml:space="preserve">☐   </w:t>
      </w:r>
      <w:r>
        <w:rPr>
          <w:rFonts w:ascii="Arial Narrow" w:hAnsi="Arial Narrow"/>
          <w:sz w:val="16"/>
        </w:rPr>
        <w:t>No </w:t>
      </w:r>
      <w:r>
        <w:rPr>
          <w:rFonts w:ascii="Arial Narrow" w:hAnsi="Arial Narrow"/>
          <w:sz w:val="18"/>
        </w:rPr>
        <w:t>☑</w:t>
      </w:r>
    </w:p>
    <w:p>
      <w:pPr>
        <w:pStyle w:val="TextBody"/>
        <w:bidi w:val="0"/>
        <w:spacing w:before="80" w:after="283"/>
        <w:ind w:left="0" w:right="0" w:firstLine="360"/>
        <w:jc w:val="both"/>
        <w:rPr/>
      </w:pPr>
      <w:r>
        <w:rPr/>
        <w:t>​</w:t>
      </w:r>
    </w:p>
    <w:p>
      <w:pPr>
        <w:pStyle w:val="TextBody"/>
        <w:bidi w:val="0"/>
        <w:spacing w:before="40" w:after="0"/>
        <w:ind w:left="0" w:right="0" w:firstLine="360"/>
        <w:jc w:val="both"/>
        <w:rPr>
          <w:rFonts w:ascii="Arial Narrow" w:hAnsi="Arial Narrow"/>
          <w:sz w:val="18"/>
        </w:rPr>
      </w:pPr>
      <w:r>
        <w:rPr>
          <w:rFonts w:ascii="Arial Narrow" w:hAnsi="Arial Narrow"/>
          <w:sz w:val="18"/>
        </w:rPr>
        <w:t>As of July 28, 2026, 1,116,880,085 shares were outstanding.</w:t>
      </w:r>
    </w:p>
    <w:p>
      <w:pPr>
        <w:pStyle w:val="TextBody"/>
        <w:bidi w:val="0"/>
        <w:spacing w:before="0" w:after="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29" w:name="_c6907626_2470_4a33_b5f5_69c1623900a3"/>
      <w:bookmarkEnd w:id="29"/>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30" w:name="Toc"/>
      <w:bookmarkEnd w:id="30"/>
      <w:r>
        <w:rPr>
          <w:rFonts w:ascii="Arial Narrow" w:hAnsi="Arial Narrow"/>
          <w:b/>
          <w:caps/>
          <w:sz w:val="22"/>
        </w:rPr>
        <w:t>INDEX TO QUARTERLY REPORT ON FORM 10-Q</w:t>
      </w:r>
    </w:p>
    <w:p>
      <w:pPr>
        <w:pStyle w:val="TextBody"/>
        <w:bidi w:val="0"/>
        <w:spacing w:before="0" w:after="120"/>
        <w:ind w:left="0" w:right="0" w:hanging="0"/>
        <w:jc w:val="center"/>
        <w:rPr>
          <w:rFonts w:ascii="Arial Narrow" w:hAnsi="Arial Narrow"/>
          <w:b/>
          <w:caps/>
          <w:sz w:val="22"/>
        </w:rPr>
      </w:pPr>
      <w:r>
        <w:rPr>
          <w:rFonts w:ascii="Arial Narrow" w:hAnsi="Arial Narrow"/>
          <w:b/>
          <w:caps/>
          <w:sz w:val="22"/>
        </w:rPr>
        <w:t>QUARTER ENDED June 30, 2026</w:t>
      </w:r>
    </w:p>
    <w:p>
      <w:pPr>
        <w:pStyle w:val="TextBody"/>
        <w:bidi w:val="0"/>
        <w:spacing w:before="0" w:after="0"/>
        <w:ind w:left="0" w:right="0" w:hanging="0"/>
        <w:jc w:val="left"/>
        <w:rPr/>
      </w:pPr>
      <w:r>
        <w:rPr/>
        <w:t>​</w:t>
      </w:r>
    </w:p>
    <w:tbl>
      <w:tblPr>
        <w:tblW w:w="7608" w:type="dxa"/>
        <w:jc w:val="left"/>
        <w:tblInd w:w="0" w:type="dxa"/>
        <w:tblLayout w:type="fixed"/>
        <w:tblCellMar>
          <w:top w:w="0" w:type="dxa"/>
          <w:left w:w="0" w:type="dxa"/>
          <w:bottom w:w="0" w:type="dxa"/>
          <w:right w:w="0" w:type="dxa"/>
        </w:tblCellMar>
      </w:tblPr>
      <w:tblGrid>
        <w:gridCol w:w="721"/>
        <w:gridCol w:w="6346"/>
        <w:gridCol w:w="541"/>
      </w:tblGrid>
      <w:tr>
        <w:trPr/>
        <w:tc>
          <w:tcPr>
            <w:tcW w:w="721" w:type="dxa"/>
            <w:tcBorders/>
            <w:vAlign w:val="center"/>
          </w:tcPr>
          <w:p>
            <w:pPr>
              <w:pStyle w:val="TableContents"/>
              <w:bidi w:val="0"/>
              <w:spacing w:before="0" w:after="0"/>
              <w:ind w:left="0" w:right="0" w:hanging="0"/>
              <w:jc w:val="left"/>
              <w:rPr>
                <w:rFonts w:ascii="Arial Narrow" w:hAnsi="Arial Narrow"/>
                <w:sz w:val="2"/>
              </w:rPr>
            </w:pPr>
            <w:r>
              <w:rPr>
                <w:rFonts w:ascii="Arial Narrow" w:hAnsi="Arial Narrow"/>
                <w:sz w:val="2"/>
              </w:rPr>
              <w:t>9</w:t>
            </w:r>
          </w:p>
        </w:tc>
        <w:tc>
          <w:tcPr>
            <w:tcW w:w="634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left"/>
              <w:rPr/>
            </w:pPr>
            <w:r>
              <w:rPr/>
              <w:t>​</w:t>
            </w:r>
          </w:p>
        </w:tc>
      </w:tr>
      <w:tr>
        <w:trPr/>
        <w:tc>
          <w:tcPr>
            <w:tcW w:w="7067" w:type="dxa"/>
            <w:gridSpan w:val="2"/>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Page</w:t>
            </w:r>
          </w:p>
        </w:tc>
      </w:tr>
      <w:tr>
        <w:trPr/>
        <w:tc>
          <w:tcPr>
            <w:tcW w:w="721" w:type="dxa"/>
            <w:tcBorders/>
            <w:shd w:fill="00556F" w:val="clear"/>
            <w:vAlign w:val="center"/>
          </w:tcPr>
          <w:p>
            <w:pPr>
              <w:pStyle w:val="TableContents"/>
              <w:bidi w:val="0"/>
              <w:spacing w:before="0" w:after="283"/>
              <w:ind w:left="0" w:right="0" w:hanging="0"/>
              <w:jc w:val="left"/>
              <w:rPr>
                <w:sz w:val="4"/>
                <w:szCs w:val="4"/>
              </w:rPr>
            </w:pPr>
            <w:r>
              <w:rPr>
                <w:sz w:val="4"/>
                <w:szCs w:val="4"/>
              </w:rPr>
            </w:r>
          </w:p>
        </w:tc>
        <w:tc>
          <w:tcPr>
            <w:tcW w:w="6346" w:type="dxa"/>
            <w:tcBorders/>
            <w:shd w:fill="00556F" w:val="clear"/>
            <w:vAlign w:val="center"/>
          </w:tcPr>
          <w:p>
            <w:pPr>
              <w:pStyle w:val="TableContents"/>
              <w:bidi w:val="0"/>
              <w:spacing w:before="0" w:after="120"/>
              <w:ind w:left="0" w:right="0" w:hanging="0"/>
              <w:jc w:val="center"/>
              <w:rPr>
                <w:rFonts w:ascii="Arial Narrow" w:hAnsi="Arial Narrow"/>
                <w:b/>
                <w:caps/>
                <w:color w:val="FFFFFF"/>
                <w:sz w:val="22"/>
              </w:rPr>
            </w:pPr>
            <w:r>
              <w:rPr>
                <w:rFonts w:ascii="Arial Narrow" w:hAnsi="Arial Narrow"/>
                <w:b/>
                <w:caps/>
                <w:color w:val="FFFFFF"/>
                <w:sz w:val="22"/>
              </w:rPr>
              <w:t>Part I. FINANCIAL INFORMATION</w:t>
            </w:r>
          </w:p>
        </w:tc>
        <w:tc>
          <w:tcPr>
            <w:tcW w:w="541" w:type="dxa"/>
            <w:tcBorders/>
            <w:shd w:fill="00556F" w:val="clear"/>
            <w:vAlign w:val="center"/>
          </w:tcPr>
          <w:p>
            <w:pPr>
              <w:pStyle w:val="TableContents"/>
              <w:bidi w:val="0"/>
              <w:spacing w:before="0" w:after="0"/>
              <w:ind w:left="0" w:right="0" w:hanging="0"/>
              <w:jc w:val="right"/>
              <w:rPr>
                <w:color w:val="FFFFFF"/>
              </w:rPr>
            </w:pPr>
            <w:r>
              <w:rPr>
                <w:color w:val="FFFFFF"/>
              </w:rPr>
              <w:t>​</w:t>
            </w:r>
          </w:p>
        </w:tc>
      </w:tr>
      <w:tr>
        <w:trPr/>
        <w:tc>
          <w:tcPr>
            <w:tcW w:w="721" w:type="dxa"/>
            <w:tcBorders/>
            <w:shd w:fill="CEDBE2" w:val="clear"/>
            <w:vAlign w:val="center"/>
          </w:tcPr>
          <w:p>
            <w:pPr>
              <w:pStyle w:val="TableContents"/>
              <w:bidi w:val="0"/>
              <w:spacing w:before="0" w:after="0"/>
              <w:ind w:left="0" w:right="0" w:hanging="0"/>
              <w:jc w:val="left"/>
              <w:rPr/>
            </w:pPr>
            <w:hyperlink w:anchor="Item1FinancialStatements_644848">
              <w:r>
                <w:rPr>
                  <w:rStyle w:val="InternetLink"/>
                  <w:rFonts w:ascii="Arial Narrow" w:hAnsi="Arial Narrow"/>
                  <w:b w:val="false"/>
                  <w:i w:val="false"/>
                  <w:caps w:val="false"/>
                  <w:smallCaps w:val="false"/>
                  <w:sz w:val="20"/>
                </w:rPr>
                <w:t>Item 1.</w:t>
              </w:r>
            </w:hyperlink>
          </w:p>
        </w:tc>
        <w:tc>
          <w:tcPr>
            <w:tcW w:w="6346" w:type="dxa"/>
            <w:tcBorders/>
            <w:shd w:fill="CEDBE2" w:val="clear"/>
            <w:vAlign w:val="center"/>
          </w:tcPr>
          <w:p>
            <w:pPr>
              <w:pStyle w:val="TableContents"/>
              <w:pBdr/>
              <w:bidi w:val="0"/>
              <w:spacing w:before="0" w:after="0"/>
              <w:ind w:left="0" w:right="0" w:hanging="0"/>
              <w:jc w:val="left"/>
              <w:rPr/>
            </w:pPr>
            <w:hyperlink w:anchor="Item1FinancialStatements_644848">
              <w:r>
                <w:rPr>
                  <w:rStyle w:val="InternetLink"/>
                  <w:rFonts w:ascii="Arial Narrow" w:hAnsi="Arial Narrow"/>
                  <w:b w:val="false"/>
                  <w:i w:val="false"/>
                  <w:caps w:val="false"/>
                  <w:smallCaps w:val="false"/>
                  <w:sz w:val="20"/>
                </w:rPr>
                <w:t>Financial Statements (Unaudited)</w:t>
              </w:r>
            </w:hyperlink>
          </w:p>
        </w:tc>
        <w:tc>
          <w:tcPr>
            <w:tcW w:w="541" w:type="dxa"/>
            <w:tcBorders/>
            <w:shd w:fill="CEDBE2" w:val="clear"/>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hyperlink w:anchor="STATEMENTSOFOPERATIONS_303716">
              <w:r>
                <w:rPr>
                  <w:rStyle w:val="InternetLink"/>
                  <w:rFonts w:ascii="Arial Narrow" w:hAnsi="Arial Narrow"/>
                  <w:b w:val="false"/>
                  <w:i w:val="false"/>
                  <w:caps w:val="false"/>
                  <w:smallCaps w:val="false"/>
                  <w:sz w:val="20"/>
                </w:rPr>
                <w:t>Condensed Consolidated Statements of Operations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r>
      <w:tr>
        <w:trPr/>
        <w:tc>
          <w:tcPr>
            <w:tcW w:w="721" w:type="dxa"/>
            <w:tcBorders/>
            <w:shd w:fill="CEDBE2" w:val="clear"/>
            <w:vAlign w:val="center"/>
          </w:tcPr>
          <w:p>
            <w:pPr>
              <w:pStyle w:val="TableContents"/>
              <w:bidi w:val="0"/>
              <w:spacing w:before="0" w:after="0"/>
              <w:ind w:left="0" w:right="0" w:hanging="0"/>
              <w:jc w:val="left"/>
              <w:rPr/>
            </w:pPr>
            <w:r>
              <w:rPr/>
              <w:t>​</w:t>
            </w:r>
          </w:p>
        </w:tc>
        <w:tc>
          <w:tcPr>
            <w:tcW w:w="6346" w:type="dxa"/>
            <w:tcBorders/>
            <w:shd w:fill="CEDBE2" w:val="clear"/>
            <w:vAlign w:val="center"/>
          </w:tcPr>
          <w:p>
            <w:pPr>
              <w:pStyle w:val="TableContents"/>
              <w:pBdr/>
              <w:bidi w:val="0"/>
              <w:spacing w:before="0" w:after="0"/>
              <w:ind w:left="0" w:right="0" w:hanging="0"/>
              <w:jc w:val="left"/>
              <w:rPr/>
            </w:pPr>
            <w:hyperlink w:anchor="COMPREHENSIVEINCOME_537868">
              <w:r>
                <w:rPr>
                  <w:rStyle w:val="InternetLink"/>
                  <w:rFonts w:ascii="Arial Narrow" w:hAnsi="Arial Narrow"/>
                  <w:b w:val="false"/>
                  <w:i w:val="false"/>
                  <w:caps w:val="false"/>
                  <w:smallCaps w:val="false"/>
                  <w:sz w:val="20"/>
                </w:rPr>
                <w:t>Condensed Consolidated Statements of Comprehensive Income (Loss</w:t>
              </w:r>
            </w:hyperlink>
            <w:r>
              <w:rPr>
                <w:rFonts w:ascii="Arial Narrow" w:hAnsi="Arial Narrow"/>
                <w:sz w:val="20"/>
              </w:rPr>
              <w:t>)</w:t>
            </w:r>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hyperlink w:anchor="BALANCESHEETS_727729">
              <w:r>
                <w:rPr>
                  <w:rStyle w:val="InternetLink"/>
                  <w:rFonts w:ascii="Arial Narrow" w:hAnsi="Arial Narrow"/>
                  <w:b w:val="false"/>
                  <w:i w:val="false"/>
                  <w:caps w:val="false"/>
                  <w:smallCaps w:val="false"/>
                  <w:sz w:val="20"/>
                </w:rPr>
                <w:t>Condensed Consolidated Balance Sheets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r>
      <w:tr>
        <w:trPr/>
        <w:tc>
          <w:tcPr>
            <w:tcW w:w="721" w:type="dxa"/>
            <w:tcBorders/>
            <w:shd w:fill="CEDBE2" w:val="clear"/>
            <w:vAlign w:val="center"/>
          </w:tcPr>
          <w:p>
            <w:pPr>
              <w:pStyle w:val="TableContents"/>
              <w:bidi w:val="0"/>
              <w:spacing w:before="0" w:after="0"/>
              <w:ind w:left="0" w:right="0" w:hanging="0"/>
              <w:jc w:val="left"/>
              <w:rPr/>
            </w:pPr>
            <w:r>
              <w:rPr/>
              <w:t>​</w:t>
            </w:r>
          </w:p>
        </w:tc>
        <w:tc>
          <w:tcPr>
            <w:tcW w:w="6346" w:type="dxa"/>
            <w:tcBorders/>
            <w:shd w:fill="CEDBE2" w:val="clear"/>
            <w:vAlign w:val="center"/>
          </w:tcPr>
          <w:p>
            <w:pPr>
              <w:pStyle w:val="TableContents"/>
              <w:pBdr/>
              <w:bidi w:val="0"/>
              <w:spacing w:before="0" w:after="0"/>
              <w:ind w:left="0" w:right="0" w:hanging="0"/>
              <w:jc w:val="left"/>
              <w:rPr/>
            </w:pPr>
            <w:hyperlink w:anchor="EQUITY_473348">
              <w:r>
                <w:rPr>
                  <w:rStyle w:val="InternetLink"/>
                  <w:rFonts w:ascii="Arial Narrow" w:hAnsi="Arial Narrow"/>
                  <w:b w:val="false"/>
                  <w:i w:val="false"/>
                  <w:caps w:val="false"/>
                  <w:smallCaps w:val="false"/>
                  <w:sz w:val="20"/>
                </w:rPr>
                <w:t>Condensed Consolidated Statements of Equity</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hyperlink w:anchor="CASHFLOWS_27735">
              <w:r>
                <w:rPr>
                  <w:rStyle w:val="InternetLink"/>
                  <w:rFonts w:ascii="Arial Narrow" w:hAnsi="Arial Narrow"/>
                  <w:b w:val="false"/>
                  <w:i w:val="false"/>
                  <w:caps w:val="false"/>
                  <w:smallCaps w:val="false"/>
                  <w:sz w:val="20"/>
                </w:rPr>
                <w:t>Condensed Consolidated Statements of Cash Flows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w:t>
            </w:r>
          </w:p>
        </w:tc>
      </w:tr>
      <w:tr>
        <w:trPr/>
        <w:tc>
          <w:tcPr>
            <w:tcW w:w="721" w:type="dxa"/>
            <w:tcBorders/>
            <w:shd w:fill="CEDBE2" w:val="clear"/>
            <w:vAlign w:val="center"/>
          </w:tcPr>
          <w:p>
            <w:pPr>
              <w:pStyle w:val="TableContents"/>
              <w:bidi w:val="0"/>
              <w:spacing w:before="0" w:after="0"/>
              <w:ind w:left="0" w:right="0" w:hanging="0"/>
              <w:jc w:val="left"/>
              <w:rPr/>
            </w:pPr>
            <w:r>
              <w:rPr/>
              <w:t>​</w:t>
            </w:r>
          </w:p>
        </w:tc>
        <w:tc>
          <w:tcPr>
            <w:tcW w:w="6346" w:type="dxa"/>
            <w:tcBorders/>
            <w:shd w:fill="CEDBE2" w:val="clear"/>
            <w:vAlign w:val="center"/>
          </w:tcPr>
          <w:p>
            <w:pPr>
              <w:pStyle w:val="TableContents"/>
              <w:pBdr/>
              <w:bidi w:val="0"/>
              <w:spacing w:before="0" w:after="0"/>
              <w:ind w:left="0" w:right="0" w:hanging="0"/>
              <w:jc w:val="left"/>
              <w:rPr/>
            </w:pPr>
            <w:hyperlink w:anchor="NotesToConsolidatedFinancialStatements">
              <w:r>
                <w:rPr>
                  <w:rStyle w:val="InternetLink"/>
                  <w:rFonts w:ascii="Arial Narrow" w:hAnsi="Arial Narrow"/>
                  <w:b w:val="false"/>
                  <w:i w:val="false"/>
                  <w:caps w:val="false"/>
                  <w:smallCaps w:val="false"/>
                  <w:sz w:val="20"/>
                </w:rPr>
                <w:t>Notes to Condensed Consolidated Financial Statements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w:t>
            </w:r>
          </w:p>
        </w:tc>
      </w:tr>
      <w:tr>
        <w:trPr/>
        <w:tc>
          <w:tcPr>
            <w:tcW w:w="721" w:type="dxa"/>
            <w:tcBorders/>
            <w:vAlign w:val="center"/>
          </w:tcPr>
          <w:p>
            <w:pPr>
              <w:pStyle w:val="TableContents"/>
              <w:bidi w:val="0"/>
              <w:spacing w:before="0" w:after="0"/>
              <w:ind w:left="0" w:right="0" w:hanging="0"/>
              <w:jc w:val="left"/>
              <w:rPr/>
            </w:pPr>
            <w:hyperlink w:anchor="Item7ManagementsDiscussionandAnalysis_88">
              <w:r>
                <w:rPr>
                  <w:rStyle w:val="InternetLink"/>
                  <w:rFonts w:ascii="Arial Narrow" w:hAnsi="Arial Narrow"/>
                  <w:b w:val="false"/>
                  <w:i w:val="false"/>
                  <w:caps w:val="false"/>
                  <w:smallCaps w:val="false"/>
                  <w:sz w:val="20"/>
                </w:rPr>
                <w:t>Item 2.</w:t>
              </w:r>
            </w:hyperlink>
          </w:p>
        </w:tc>
        <w:tc>
          <w:tcPr>
            <w:tcW w:w="6346" w:type="dxa"/>
            <w:tcBorders/>
            <w:vAlign w:val="center"/>
          </w:tcPr>
          <w:p>
            <w:pPr>
              <w:pStyle w:val="TableContents"/>
              <w:pBdr/>
              <w:bidi w:val="0"/>
              <w:spacing w:before="0" w:after="0"/>
              <w:ind w:left="0" w:right="0" w:hanging="0"/>
              <w:jc w:val="left"/>
              <w:rPr/>
            </w:pPr>
            <w:hyperlink w:anchor="Item7ManagementsDiscussionandAnalysis_88">
              <w:r>
                <w:rPr>
                  <w:rStyle w:val="InternetLink"/>
                  <w:rFonts w:ascii="Arial Narrow" w:hAnsi="Arial Narrow"/>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13</w:t>
            </w:r>
          </w:p>
        </w:tc>
      </w:tr>
      <w:tr>
        <w:trPr/>
        <w:tc>
          <w:tcPr>
            <w:tcW w:w="721" w:type="dxa"/>
            <w:tcBorders/>
            <w:shd w:fill="CEDBE2" w:val="clear"/>
            <w:vAlign w:val="center"/>
          </w:tcPr>
          <w:p>
            <w:pPr>
              <w:pStyle w:val="TableContents"/>
              <w:bidi w:val="0"/>
              <w:spacing w:before="0" w:after="0"/>
              <w:ind w:left="0" w:right="0" w:hanging="0"/>
              <w:jc w:val="left"/>
              <w:rPr/>
            </w:pPr>
            <w:hyperlink w:anchor="Item7AQuantitativeandQualitativeDisclosu">
              <w:r>
                <w:rPr>
                  <w:rStyle w:val="InternetLink"/>
                  <w:rFonts w:ascii="Arial Narrow" w:hAnsi="Arial Narrow"/>
                  <w:b w:val="false"/>
                  <w:i w:val="false"/>
                  <w:caps w:val="false"/>
                  <w:smallCaps w:val="false"/>
                  <w:sz w:val="20"/>
                </w:rPr>
                <w:t>Item 3.</w:t>
              </w:r>
            </w:hyperlink>
          </w:p>
        </w:tc>
        <w:tc>
          <w:tcPr>
            <w:tcW w:w="6346" w:type="dxa"/>
            <w:tcBorders/>
            <w:shd w:fill="CEDBE2" w:val="clear"/>
            <w:vAlign w:val="center"/>
          </w:tcPr>
          <w:p>
            <w:pPr>
              <w:pStyle w:val="TableContents"/>
              <w:pBdr/>
              <w:bidi w:val="0"/>
              <w:spacing w:before="0" w:after="0"/>
              <w:ind w:left="0" w:right="0" w:hanging="0"/>
              <w:jc w:val="left"/>
              <w:rPr/>
            </w:pPr>
            <w:hyperlink w:anchor="Item7AQuantitativeandQualitativeDisclosu">
              <w:r>
                <w:rPr>
                  <w:rStyle w:val="InternetLink"/>
                  <w:rFonts w:ascii="Arial Narrow" w:hAnsi="Arial Narrow"/>
                  <w:b w:val="false"/>
                  <w:i w:val="false"/>
                  <w:caps w:val="false"/>
                  <w:smallCaps w:val="false"/>
                  <w:sz w:val="20"/>
                </w:rPr>
                <w:t>Quantitative and Qualitative Disclosures About Market Risk</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22</w:t>
            </w:r>
          </w:p>
        </w:tc>
      </w:tr>
      <w:tr>
        <w:trPr/>
        <w:tc>
          <w:tcPr>
            <w:tcW w:w="721" w:type="dxa"/>
            <w:tcBorders/>
            <w:vAlign w:val="center"/>
          </w:tcPr>
          <w:p>
            <w:pPr>
              <w:pStyle w:val="TableContents"/>
              <w:bidi w:val="0"/>
              <w:spacing w:before="0" w:after="0"/>
              <w:ind w:left="0" w:right="0" w:hanging="0"/>
              <w:jc w:val="left"/>
              <w:rPr/>
            </w:pPr>
            <w:hyperlink w:anchor="Item9AControlsandProcedures_646698">
              <w:r>
                <w:rPr>
                  <w:rStyle w:val="InternetLink"/>
                  <w:rFonts w:ascii="Arial Narrow" w:hAnsi="Arial Narrow"/>
                  <w:b w:val="false"/>
                  <w:i w:val="false"/>
                  <w:caps w:val="false"/>
                  <w:smallCaps w:val="false"/>
                  <w:sz w:val="20"/>
                </w:rPr>
                <w:t>Item 4.</w:t>
              </w:r>
            </w:hyperlink>
          </w:p>
        </w:tc>
        <w:tc>
          <w:tcPr>
            <w:tcW w:w="6346" w:type="dxa"/>
            <w:tcBorders/>
            <w:vAlign w:val="center"/>
          </w:tcPr>
          <w:p>
            <w:pPr>
              <w:pStyle w:val="TableContents"/>
              <w:pBdr/>
              <w:bidi w:val="0"/>
              <w:spacing w:before="0" w:after="0"/>
              <w:ind w:left="0" w:right="0" w:hanging="0"/>
              <w:jc w:val="left"/>
              <w:rPr/>
            </w:pPr>
            <w:hyperlink w:anchor="Item9AControlsandProcedures_646698">
              <w:r>
                <w:rPr>
                  <w:rStyle w:val="InternetLink"/>
                  <w:rFonts w:ascii="Arial Narrow" w:hAnsi="Arial Narrow"/>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22</w:t>
            </w:r>
          </w:p>
        </w:tc>
      </w:tr>
      <w:tr>
        <w:trPr/>
        <w:tc>
          <w:tcPr>
            <w:tcW w:w="721"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pBdr/>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r>
      <w:tr>
        <w:trPr/>
        <w:tc>
          <w:tcPr>
            <w:tcW w:w="721" w:type="dxa"/>
            <w:tcBorders/>
            <w:shd w:fill="00556F" w:val="clear"/>
            <w:vAlign w:val="center"/>
          </w:tcPr>
          <w:p>
            <w:pPr>
              <w:pStyle w:val="TableContents"/>
              <w:bidi w:val="0"/>
              <w:spacing w:before="0" w:after="120"/>
              <w:ind w:left="0" w:right="0" w:hanging="0"/>
              <w:jc w:val="center"/>
              <w:rPr>
                <w:caps/>
                <w:color w:val="FFFFFF"/>
              </w:rPr>
            </w:pPr>
            <w:r>
              <w:rPr>
                <w:caps/>
                <w:color w:val="FFFFFF"/>
              </w:rPr>
              <w:t>​</w:t>
            </w:r>
          </w:p>
        </w:tc>
        <w:tc>
          <w:tcPr>
            <w:tcW w:w="6346" w:type="dxa"/>
            <w:tcBorders/>
            <w:shd w:fill="00556F" w:val="clear"/>
            <w:vAlign w:val="center"/>
          </w:tcPr>
          <w:p>
            <w:pPr>
              <w:pStyle w:val="TableContents"/>
              <w:bidi w:val="0"/>
              <w:spacing w:before="0" w:after="120"/>
              <w:ind w:left="0" w:right="0" w:hanging="0"/>
              <w:jc w:val="center"/>
              <w:rPr/>
            </w:pPr>
            <w:r>
              <w:rPr>
                <w:rFonts w:ascii="Arial Narrow" w:hAnsi="Arial Narrow"/>
                <w:b/>
                <w:caps/>
                <w:color w:val="FFFFFF"/>
                <w:sz w:val="22"/>
              </w:rPr>
              <w:t xml:space="preserve">Part II. </w:t>
            </w:r>
            <w:hyperlink w:anchor="PARTIIOTHERINFORMATION_708350">
              <w:r>
                <w:rPr>
                  <w:rStyle w:val="InternetLink"/>
                  <w:rFonts w:ascii="Arial Narrow" w:hAnsi="Arial Narrow"/>
                  <w:b/>
                  <w:i w:val="false"/>
                  <w:caps/>
                  <w:color w:val="FFFFFF"/>
                  <w:sz w:val="22"/>
                </w:rPr>
                <w:t>OTHER INFORMATION</w:t>
              </w:r>
            </w:hyperlink>
          </w:p>
        </w:tc>
        <w:tc>
          <w:tcPr>
            <w:tcW w:w="541" w:type="dxa"/>
            <w:tcBorders/>
            <w:shd w:fill="00556F" w:val="clear"/>
            <w:vAlign w:val="center"/>
          </w:tcPr>
          <w:p>
            <w:pPr>
              <w:pStyle w:val="TableContents"/>
              <w:bidi w:val="0"/>
              <w:spacing w:before="0" w:after="0"/>
              <w:ind w:left="0" w:right="0" w:hanging="0"/>
              <w:jc w:val="right"/>
              <w:rPr>
                <w:color w:val="FFFFFF"/>
              </w:rPr>
            </w:pPr>
            <w:r>
              <w:rPr>
                <w:color w:val="FFFFFF"/>
              </w:rPr>
              <w:t>​</w:t>
            </w:r>
          </w:p>
        </w:tc>
      </w:tr>
      <w:tr>
        <w:trPr/>
        <w:tc>
          <w:tcPr>
            <w:tcW w:w="721" w:type="dxa"/>
            <w:tcBorders/>
            <w:shd w:fill="CEDBE2" w:val="clear"/>
            <w:vAlign w:val="center"/>
          </w:tcPr>
          <w:p>
            <w:pPr>
              <w:pStyle w:val="TableContents"/>
              <w:bidi w:val="0"/>
              <w:spacing w:before="0" w:after="0"/>
              <w:ind w:left="0" w:right="0" w:hanging="0"/>
              <w:jc w:val="left"/>
              <w:rPr/>
            </w:pPr>
            <w:hyperlink w:anchor="Item3LegalProceedings_313392">
              <w:r>
                <w:rPr>
                  <w:rStyle w:val="InternetLink"/>
                  <w:rFonts w:ascii="Arial Narrow" w:hAnsi="Arial Narrow"/>
                  <w:b w:val="false"/>
                  <w:i w:val="false"/>
                  <w:caps w:val="false"/>
                  <w:smallCaps w:val="false"/>
                  <w:sz w:val="20"/>
                </w:rPr>
                <w:t>Item 1.</w:t>
              </w:r>
            </w:hyperlink>
          </w:p>
        </w:tc>
        <w:tc>
          <w:tcPr>
            <w:tcW w:w="6346" w:type="dxa"/>
            <w:tcBorders/>
            <w:shd w:fill="CEDBE2" w:val="clear"/>
            <w:vAlign w:val="center"/>
          </w:tcPr>
          <w:p>
            <w:pPr>
              <w:pStyle w:val="TableContents"/>
              <w:pBdr/>
              <w:bidi w:val="0"/>
              <w:spacing w:before="0" w:after="0"/>
              <w:ind w:left="0" w:right="0" w:hanging="0"/>
              <w:jc w:val="left"/>
              <w:rPr/>
            </w:pPr>
            <w:hyperlink w:anchor="Item3LegalProceedings_313392">
              <w:r>
                <w:rPr>
                  <w:rStyle w:val="InternetLink"/>
                  <w:rFonts w:ascii="Arial Narrow" w:hAnsi="Arial Narrow"/>
                  <w:b w:val="false"/>
                  <w:i w:val="false"/>
                  <w:caps w:val="false"/>
                  <w:smallCaps w:val="false"/>
                  <w:sz w:val="20"/>
                </w:rPr>
                <w:t>Legal Proceedings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22</w:t>
            </w:r>
          </w:p>
        </w:tc>
      </w:tr>
      <w:tr>
        <w:trPr/>
        <w:tc>
          <w:tcPr>
            <w:tcW w:w="721" w:type="dxa"/>
            <w:tcBorders/>
            <w:vAlign w:val="center"/>
          </w:tcPr>
          <w:p>
            <w:pPr>
              <w:pStyle w:val="TableContents"/>
              <w:bidi w:val="0"/>
              <w:spacing w:before="0" w:after="0"/>
              <w:ind w:left="0" w:right="0" w:hanging="0"/>
              <w:jc w:val="left"/>
              <w:rPr/>
            </w:pPr>
            <w:hyperlink w:anchor="Item1ARiskFactors_255413">
              <w:r>
                <w:rPr>
                  <w:rStyle w:val="InternetLink"/>
                  <w:rFonts w:ascii="Arial Narrow" w:hAnsi="Arial Narrow"/>
                  <w:b w:val="false"/>
                  <w:i w:val="false"/>
                  <w:caps w:val="false"/>
                  <w:smallCaps w:val="false"/>
                  <w:sz w:val="20"/>
                </w:rPr>
                <w:t>Item 1A.</w:t>
              </w:r>
            </w:hyperlink>
          </w:p>
        </w:tc>
        <w:tc>
          <w:tcPr>
            <w:tcW w:w="6346" w:type="dxa"/>
            <w:tcBorders/>
            <w:vAlign w:val="center"/>
          </w:tcPr>
          <w:p>
            <w:pPr>
              <w:pStyle w:val="TableContents"/>
              <w:pBdr/>
              <w:bidi w:val="0"/>
              <w:spacing w:before="0" w:after="0"/>
              <w:ind w:left="0" w:right="0" w:hanging="0"/>
              <w:jc w:val="left"/>
              <w:rPr/>
            </w:pPr>
            <w:hyperlink w:anchor="Item1ARiskFactors_255413">
              <w:r>
                <w:rPr>
                  <w:rStyle w:val="InternetLink"/>
                  <w:rFonts w:ascii="Arial Narrow" w:hAnsi="Arial Narrow"/>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r>
      <w:tr>
        <w:trPr/>
        <w:tc>
          <w:tcPr>
            <w:tcW w:w="721" w:type="dxa"/>
            <w:tcBorders/>
            <w:shd w:fill="CEDBE2" w:val="clear"/>
            <w:vAlign w:val="center"/>
          </w:tcPr>
          <w:p>
            <w:pPr>
              <w:pStyle w:val="TableContents"/>
              <w:bidi w:val="0"/>
              <w:spacing w:before="0" w:after="0"/>
              <w:ind w:left="0" w:right="0" w:hanging="0"/>
              <w:jc w:val="left"/>
              <w:rPr/>
            </w:pPr>
            <w:hyperlink w:anchor="Item2UnregisteredSalesofEquitySecurities">
              <w:r>
                <w:rPr>
                  <w:rStyle w:val="InternetLink"/>
                  <w:rFonts w:ascii="Arial Narrow" w:hAnsi="Arial Narrow"/>
                  <w:b w:val="false"/>
                  <w:i w:val="false"/>
                  <w:caps w:val="false"/>
                  <w:smallCaps w:val="false"/>
                  <w:sz w:val="20"/>
                </w:rPr>
                <w:t>Item 2.</w:t>
              </w:r>
            </w:hyperlink>
          </w:p>
        </w:tc>
        <w:tc>
          <w:tcPr>
            <w:tcW w:w="6346" w:type="dxa"/>
            <w:tcBorders/>
            <w:shd w:fill="CEDBE2" w:val="clear"/>
            <w:vAlign w:val="center"/>
          </w:tcPr>
          <w:p>
            <w:pPr>
              <w:pStyle w:val="TableContents"/>
              <w:pBdr/>
              <w:bidi w:val="0"/>
              <w:spacing w:before="0" w:after="0"/>
              <w:ind w:left="0" w:right="0" w:hanging="0"/>
              <w:jc w:val="left"/>
              <w:rPr/>
            </w:pPr>
            <w:hyperlink w:anchor="Item2UnregisteredSalesofEquitySecurities">
              <w:r>
                <w:rPr>
                  <w:rStyle w:val="InternetLink"/>
                  <w:rFonts w:ascii="Arial Narrow" w:hAnsi="Arial Narrow"/>
                  <w:b w:val="false"/>
                  <w:i w:val="false"/>
                  <w:caps w:val="false"/>
                  <w:smallCaps w:val="false"/>
                  <w:sz w:val="20"/>
                </w:rPr>
                <w:t>Unregistered Sales of Equity Securities and Use of Proceeds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r>
      <w:tr>
        <w:trPr/>
        <w:tc>
          <w:tcPr>
            <w:tcW w:w="721" w:type="dxa"/>
            <w:tcBorders/>
            <w:vAlign w:val="center"/>
          </w:tcPr>
          <w:p>
            <w:pPr>
              <w:pStyle w:val="TableContents"/>
              <w:bidi w:val="0"/>
              <w:spacing w:before="0" w:after="0"/>
              <w:ind w:left="0" w:right="0" w:hanging="0"/>
              <w:jc w:val="left"/>
              <w:rPr/>
            </w:pPr>
            <w:hyperlink w:anchor="Item_3_DefaultsUponSeniorSecurities">
              <w:r>
                <w:rPr>
                  <w:rStyle w:val="InternetLink"/>
                  <w:rFonts w:ascii="Arial Narrow" w:hAnsi="Arial Narrow"/>
                  <w:b w:val="false"/>
                  <w:i w:val="false"/>
                  <w:caps w:val="false"/>
                  <w:smallCaps w:val="false"/>
                  <w:sz w:val="20"/>
                </w:rPr>
                <w:t>Item 3.</w:t>
              </w:r>
            </w:hyperlink>
          </w:p>
        </w:tc>
        <w:tc>
          <w:tcPr>
            <w:tcW w:w="6346" w:type="dxa"/>
            <w:tcBorders/>
            <w:vAlign w:val="center"/>
          </w:tcPr>
          <w:p>
            <w:pPr>
              <w:pStyle w:val="TableContents"/>
              <w:bidi w:val="0"/>
              <w:spacing w:before="0" w:after="0"/>
              <w:ind w:left="0" w:right="0" w:hanging="0"/>
              <w:jc w:val="left"/>
              <w:rPr/>
            </w:pPr>
            <w:hyperlink w:anchor="Item_3_DefaultsUponSeniorSecurities">
              <w:r>
                <w:rPr>
                  <w:rStyle w:val="InternetLink"/>
                  <w:rFonts w:ascii="Arial Narrow" w:hAnsi="Arial Narrow"/>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r>
      <w:tr>
        <w:trPr/>
        <w:tc>
          <w:tcPr>
            <w:tcW w:w="721" w:type="dxa"/>
            <w:tcBorders/>
            <w:shd w:fill="CEDBE2" w:val="clear"/>
            <w:vAlign w:val="center"/>
          </w:tcPr>
          <w:p>
            <w:pPr>
              <w:pStyle w:val="TableContents"/>
              <w:bidi w:val="0"/>
              <w:spacing w:before="0" w:after="0"/>
              <w:ind w:left="0" w:right="0" w:hanging="0"/>
              <w:jc w:val="left"/>
              <w:rPr/>
            </w:pPr>
            <w:hyperlink w:anchor="Item_4_MineSafetyDisclosures">
              <w:r>
                <w:rPr>
                  <w:rStyle w:val="InternetLink"/>
                  <w:rFonts w:ascii="Arial Narrow" w:hAnsi="Arial Narrow"/>
                  <w:b w:val="false"/>
                  <w:i w:val="false"/>
                  <w:caps w:val="false"/>
                  <w:smallCaps w:val="false"/>
                  <w:sz w:val="20"/>
                </w:rPr>
                <w:t>Item 4.</w:t>
              </w:r>
            </w:hyperlink>
          </w:p>
        </w:tc>
        <w:tc>
          <w:tcPr>
            <w:tcW w:w="6346" w:type="dxa"/>
            <w:tcBorders/>
            <w:shd w:fill="CEDBE2" w:val="clear"/>
            <w:vAlign w:val="center"/>
          </w:tcPr>
          <w:p>
            <w:pPr>
              <w:pStyle w:val="TableContents"/>
              <w:bidi w:val="0"/>
              <w:spacing w:before="0" w:after="0"/>
              <w:ind w:left="0" w:right="0" w:hanging="0"/>
              <w:jc w:val="left"/>
              <w:rPr/>
            </w:pPr>
            <w:hyperlink w:anchor="Item_4_MineSafetyDisclosures">
              <w:r>
                <w:rPr>
                  <w:rStyle w:val="InternetLink"/>
                  <w:rFonts w:ascii="Arial Narrow" w:hAnsi="Arial Narrow"/>
                  <w:b w:val="false"/>
                  <w:i w:val="false"/>
                  <w:caps w:val="false"/>
                  <w:smallCaps w:val="false"/>
                  <w:sz w:val="20"/>
                </w:rPr>
                <w:t>Mine Safety Disclosures</w:t>
              </w:r>
            </w:hyperlink>
          </w:p>
        </w:tc>
        <w:tc>
          <w:tcPr>
            <w:tcW w:w="541" w:type="dxa"/>
            <w:tcBorders/>
            <w:shd w:fill="CEDBE2"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r>
      <w:tr>
        <w:trPr/>
        <w:tc>
          <w:tcPr>
            <w:tcW w:w="721" w:type="dxa"/>
            <w:tcBorders/>
            <w:vAlign w:val="center"/>
          </w:tcPr>
          <w:p>
            <w:pPr>
              <w:pStyle w:val="TableContents"/>
              <w:bidi w:val="0"/>
              <w:spacing w:before="0" w:after="0"/>
              <w:ind w:left="0" w:right="0" w:hanging="0"/>
              <w:jc w:val="left"/>
              <w:rPr/>
            </w:pPr>
            <w:hyperlink w:anchor="Item5OtherInfo">
              <w:r>
                <w:rPr>
                  <w:rStyle w:val="InternetLink"/>
                  <w:rFonts w:ascii="Arial Narrow" w:hAnsi="Arial Narrow"/>
                  <w:b w:val="false"/>
                  <w:i w:val="false"/>
                  <w:caps w:val="false"/>
                  <w:smallCaps w:val="false"/>
                  <w:sz w:val="20"/>
                </w:rPr>
                <w:t>Item 5.</w:t>
              </w:r>
            </w:hyperlink>
          </w:p>
        </w:tc>
        <w:tc>
          <w:tcPr>
            <w:tcW w:w="6346" w:type="dxa"/>
            <w:tcBorders/>
            <w:vAlign w:val="center"/>
          </w:tcPr>
          <w:p>
            <w:pPr>
              <w:pStyle w:val="TableContents"/>
              <w:pBdr/>
              <w:bidi w:val="0"/>
              <w:spacing w:before="0" w:after="0"/>
              <w:ind w:left="0" w:right="0" w:hanging="0"/>
              <w:jc w:val="left"/>
              <w:rPr/>
            </w:pPr>
            <w:hyperlink w:anchor="Item5OtherInfo">
              <w:r>
                <w:rPr>
                  <w:rStyle w:val="InternetLink"/>
                  <w:rFonts w:ascii="Arial Narrow" w:hAnsi="Arial Narrow"/>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r>
      <w:tr>
        <w:trPr/>
        <w:tc>
          <w:tcPr>
            <w:tcW w:w="721" w:type="dxa"/>
            <w:tcBorders/>
            <w:shd w:fill="CEDBE0" w:val="clear"/>
            <w:vAlign w:val="center"/>
          </w:tcPr>
          <w:p>
            <w:pPr>
              <w:pStyle w:val="TableContents"/>
              <w:bidi w:val="0"/>
              <w:spacing w:before="0" w:after="0"/>
              <w:ind w:left="0" w:right="0" w:hanging="0"/>
              <w:jc w:val="left"/>
              <w:rPr/>
            </w:pPr>
            <w:hyperlink w:anchor="Item6Exhibits_779881">
              <w:r>
                <w:rPr>
                  <w:rStyle w:val="InternetLink"/>
                  <w:rFonts w:ascii="Arial Narrow" w:hAnsi="Arial Narrow"/>
                  <w:b w:val="false"/>
                  <w:i w:val="false"/>
                  <w:caps w:val="false"/>
                  <w:smallCaps w:val="false"/>
                  <w:sz w:val="20"/>
                </w:rPr>
                <w:t>Item 6.</w:t>
              </w:r>
            </w:hyperlink>
          </w:p>
        </w:tc>
        <w:tc>
          <w:tcPr>
            <w:tcW w:w="6346" w:type="dxa"/>
            <w:tcBorders/>
            <w:shd w:fill="CEDBE0" w:val="clear"/>
            <w:vAlign w:val="center"/>
          </w:tcPr>
          <w:p>
            <w:pPr>
              <w:pStyle w:val="TableContents"/>
              <w:pBdr/>
              <w:bidi w:val="0"/>
              <w:spacing w:before="0" w:after="0"/>
              <w:ind w:left="0" w:right="0" w:hanging="0"/>
              <w:jc w:val="left"/>
              <w:rPr/>
            </w:pPr>
            <w:hyperlink w:anchor="Item6Exhibits_779881">
              <w:r>
                <w:rPr>
                  <w:rStyle w:val="InternetLink"/>
                  <w:rFonts w:ascii="Arial Narrow" w:hAnsi="Arial Narrow"/>
                  <w:b w:val="false"/>
                  <w:i w:val="false"/>
                  <w:caps w:val="false"/>
                  <w:smallCaps w:val="false"/>
                  <w:sz w:val="20"/>
                </w:rPr>
                <w:t>Exhibits</w:t>
              </w:r>
            </w:hyperlink>
          </w:p>
        </w:tc>
        <w:tc>
          <w:tcPr>
            <w:tcW w:w="541" w:type="dxa"/>
            <w:tcBorders/>
            <w:shd w:fill="CEDBE0" w:val="clear"/>
            <w:vAlign w:val="center"/>
          </w:tcPr>
          <w:p>
            <w:pPr>
              <w:pStyle w:val="TableContents"/>
              <w:bidi w:val="0"/>
              <w:spacing w:before="0" w:after="0"/>
              <w:ind w:left="0" w:right="144" w:hanging="0"/>
              <w:jc w:val="right"/>
              <w:rPr>
                <w:rFonts w:ascii="Arial Narrow" w:hAnsi="Arial Narrow"/>
                <w:sz w:val="20"/>
              </w:rPr>
            </w:pPr>
            <w:r>
              <w:rPr>
                <w:rFonts w:ascii="Arial Narrow" w:hAnsi="Arial Narrow"/>
                <w:sz w:val="20"/>
              </w:rPr>
              <w:t>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shd w:fill="00556F" w:val="clear"/>
        <w:bidi w:val="0"/>
        <w:spacing w:before="0" w:after="0"/>
        <w:ind w:left="0" w:right="0" w:hanging="1080"/>
        <w:jc w:val="center"/>
        <w:rPr>
          <w:rFonts w:ascii="Arial Narrow" w:hAnsi="Arial Narrow"/>
          <w:b/>
          <w:caps/>
          <w:color w:val="FFFFFF"/>
          <w:sz w:val="22"/>
        </w:rPr>
      </w:pPr>
      <w:bookmarkStart w:id="31" w:name="_b4dafd28_c11c_4622_a2bd_32a7a1739dee"/>
      <w:bookmarkEnd w:id="31"/>
      <w:r>
        <w:rPr>
          <w:rFonts w:ascii="Arial Narrow" w:hAnsi="Arial Narrow"/>
          <w:b/>
          <w:caps/>
          <w:color w:val="FFFFFF"/>
          <w:sz w:val="22"/>
        </w:rPr>
        <w:t>PART I. FINANCIAL INFORMATION</w:t>
      </w:r>
    </w:p>
    <w:p>
      <w:pPr>
        <w:pStyle w:val="Normal"/>
        <w:bidi w:val="0"/>
        <w:spacing w:before="0" w:after="0"/>
        <w:jc w:val="left"/>
        <w:rPr>
          <w:sz w:val="4"/>
          <w:szCs w:val="4"/>
        </w:rPr>
      </w:pPr>
      <w:r>
        <w:rPr>
          <w:sz w:val="4"/>
          <w:szCs w:val="4"/>
        </w:rPr>
      </w:r>
      <w:bookmarkStart w:id="32" w:name="Item1FinancialStatements"/>
      <w:bookmarkStart w:id="33" w:name="Item1FinancialStatements_644848"/>
      <w:bookmarkStart w:id="34" w:name="Item1FinancialStatements"/>
      <w:bookmarkStart w:id="35" w:name="Item1FinancialStatements_644848"/>
      <w:bookmarkEnd w:id="34"/>
      <w:bookmarkEnd w:id="35"/>
    </w:p>
    <w:tbl>
      <w:tblPr>
        <w:tblW w:w="3152" w:type="dxa"/>
        <w:jc w:val="left"/>
        <w:tblInd w:w="0" w:type="dxa"/>
        <w:tblLayout w:type="fixed"/>
        <w:tblCellMar>
          <w:top w:w="0" w:type="dxa"/>
          <w:left w:w="0" w:type="dxa"/>
          <w:bottom w:w="0" w:type="dxa"/>
          <w:right w:w="0" w:type="dxa"/>
        </w:tblCellMar>
      </w:tblPr>
      <w:tblGrid>
        <w:gridCol w:w="691"/>
        <w:gridCol w:w="2461"/>
      </w:tblGrid>
      <w:tr>
        <w:trPr/>
        <w:tc>
          <w:tcPr>
            <w:tcW w:w="69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Item I.</w:t>
            </w:r>
          </w:p>
        </w:tc>
        <w:tc>
          <w:tcPr>
            <w:tcW w:w="246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36" w:name="STATEMENTSOFOPERATIONS_303716"/>
      <w:bookmarkEnd w:id="36"/>
      <w:r>
        <w:rPr>
          <w:rFonts w:ascii="Arial Narrow" w:hAnsi="Arial Narrow"/>
          <w:b/>
          <w:caps/>
          <w:sz w:val="22"/>
        </w:rPr>
        <w:t>CONDENSED CONSOLIDATED STATEMENTS OF OPERATIONS</w:t>
      </w:r>
    </w:p>
    <w:p>
      <w:pPr>
        <w:pStyle w:val="TextBody"/>
        <w:bidi w:val="0"/>
        <w:spacing w:before="0" w:after="0"/>
        <w:ind w:left="0" w:right="0" w:hanging="0"/>
        <w:jc w:val="center"/>
        <w:rPr>
          <w:rFonts w:ascii="Arial Narrow" w:hAnsi="Arial Narrow"/>
          <w:sz w:val="20"/>
        </w:rPr>
      </w:pPr>
      <w:r>
        <w:rPr>
          <w:rFonts w:ascii="Arial Narrow" w:hAnsi="Arial Narrow"/>
          <w:sz w:val="20"/>
        </w:rPr>
        <w:t>(in millions, except per share data)</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7" w:name="Tc_TJi2iJrFbUW3R3UeCiVUOg_34_0"/>
      <w:bookmarkStart w:id="38" w:name="Tc_mhBaAJRxF0KKVLil2Y5Rxg_33_0"/>
      <w:bookmarkStart w:id="39" w:name="Tc_Qb8KFf38nka2LnyxGOWfdw_32_0"/>
      <w:bookmarkStart w:id="40" w:name="Tc_htZmqAe96UWBdwuT3Ju6ZQ_30_11"/>
      <w:bookmarkStart w:id="41" w:name="Tc_Imroo1STEEaN_wAjiLN9LA_30_8"/>
      <w:bookmarkStart w:id="42" w:name="Tc_gzBY3OM0TkqDv9CE104tYw_30_5"/>
      <w:bookmarkStart w:id="43" w:name="Tc_GFtqqTa3kU66_vLliHlAIw_30_2"/>
      <w:bookmarkStart w:id="44" w:name="Tc_mdw5y_5PIE2kqebp56vyiw_30_0"/>
      <w:bookmarkStart w:id="45" w:name="Tc_38MGuo-9Gk620m1dN4G8Lw_29_11"/>
      <w:bookmarkStart w:id="46" w:name="Tc_EWtt240Ck0iyym6riyrC0w_29_8"/>
      <w:bookmarkStart w:id="47" w:name="Tc_1_GjuvFP5UWLrJhTU1gp1w_29_5"/>
      <w:bookmarkStart w:id="48" w:name="Tc_Eu1VgBQ9Z0WOZVAtSau41w_29_2"/>
      <w:bookmarkStart w:id="49" w:name="Tc_DExZs84Oe0ywRkbqHsUMMg_29_0"/>
      <w:bookmarkStart w:id="50" w:name="Tc_gUFimIvxJ02BE_-5WlaJjg_28_0"/>
      <w:bookmarkStart w:id="51" w:name="Tc_lcQu7dV4okCK__fRTR3Shg_26_11"/>
      <w:bookmarkStart w:id="52" w:name="Tc_oCY9dnAS6k-5XGuYVNZA-A_26_8"/>
      <w:bookmarkStart w:id="53" w:name="Tc_FftGqw7VgEeX79gZGSlL6g_26_5"/>
      <w:bookmarkStart w:id="54" w:name="Tc_3UwHsZ8DH0Gs4xYvMLvXhA_26_2"/>
      <w:bookmarkStart w:id="55" w:name="Tc_kU0xefz9yUqmuYNwgLt6Kg_26_0"/>
      <w:bookmarkStart w:id="56" w:name="Tc_d7c8VMdP_0-a4alDVC_CvA_25_0"/>
      <w:bookmarkStart w:id="57" w:name="Tc_hWE2wPZEhUqztTF1JjJRnw_24_0"/>
      <w:bookmarkStart w:id="58" w:name="Tc_y8pqhWcN2E6Y0OJKfM8T9Q_21_3"/>
      <w:bookmarkStart w:id="59" w:name="Tc_oKP27tIbGk2MQ1BjlxPlow_21_0"/>
      <w:bookmarkStart w:id="60" w:name="Tc_RYcaZnKplkyb2Ld8aUElqg_20_12"/>
      <w:bookmarkStart w:id="61" w:name="Tc_ZihaDe50gE20HzO97Gd0zA_20_6"/>
      <w:bookmarkStart w:id="62" w:name="Tc_RhFOe4JzYUGFT7RAByvK4w_20_3"/>
      <w:bookmarkStart w:id="63" w:name="Tc_Z7ViYAqpKEi2_h9gKLmmCA_20_0"/>
      <w:bookmarkStart w:id="64" w:name="Tc_xajjuSJdNEW6F7iCqN_VEQ_19_0"/>
      <w:bookmarkStart w:id="65" w:name="Tc_59dJQgOnyU686QkLWADk_w_18_0"/>
      <w:bookmarkStart w:id="66" w:name="Tc_80o28ZcR2kGWXttUFEG9_g_17_0"/>
      <w:bookmarkStart w:id="67" w:name="Tc_t-dU4KyoykOc4iIJHHImvA_15_0"/>
      <w:bookmarkStart w:id="68" w:name="Tc_BIHnVhQowkSH5sq5fuMOfg_14_0"/>
      <w:bookmarkStart w:id="69" w:name="Tc_RTSjAyZnpEeNorOMGCzcKw_13_9"/>
      <w:bookmarkStart w:id="70" w:name="Tc_A0CLdFJv_EW-6I2ExJND0A_13_3"/>
      <w:bookmarkStart w:id="71" w:name="Tc_5uC190Eel0Wk6bI5o9fvaQ_13_0"/>
      <w:bookmarkStart w:id="72" w:name="Tc_2b7E3hTzIkSLF-hqmsdqDQ_10_0"/>
      <w:bookmarkStart w:id="73" w:name="Tc_ij7VBNLRzkq_I0OuBDu9jg_9_0"/>
      <w:bookmarkStart w:id="74" w:name="Tc_O4ImKaH7Wk2MLZz9XTx8kw_7_0"/>
      <w:bookmarkStart w:id="75" w:name="Tc_TdkD5TU2DEit5t8MvcTchQ_5_11"/>
      <w:bookmarkStart w:id="76" w:name="Tc_FF52zE1jOEe6G85Vwxr-8w_5_8"/>
      <w:bookmarkStart w:id="77" w:name="Tc_uD8JXHPbv0KDkZKoJcCnJg_5_5"/>
      <w:bookmarkStart w:id="78" w:name="Tc_aSG-COpYpUiERKRTdK317A_5_2"/>
      <w:bookmarkStart w:id="79" w:name="Tc_8bX14jb_l0-4hAe_HWHcCw_3_11"/>
      <w:bookmarkStart w:id="80" w:name="Tc_424TGgpScU2ScR6a0rhGow_3_8"/>
      <w:bookmarkStart w:id="81" w:name="Tc_leAmT56dkUuQgUewSyNMQg_3_5"/>
      <w:bookmarkStart w:id="82" w:name="Tc_1cmoMoTv40SKP4_FbtOX3Q_3_2"/>
      <w:bookmarkStart w:id="83" w:name="Tc_0Ve5J6xdHkugs5-t5ULsGQ_2_8"/>
      <w:bookmarkStart w:id="84" w:name="Tc_9BL66GH3t0akniYtyiUgmg_2_2"/>
      <w:bookmarkStart w:id="85" w:name="Tc_Z6SmGTNY3EOPwntFfH0JhQ_1_8"/>
      <w:bookmarkStart w:id="86" w:name="Tc_e4b2Bg4O2U6hdHQ_uPteMQ_1_2"/>
      <w:bookmarkStart w:id="87" w:name="_539c272d_58a2_47f5_8441_083e28141735"/>
      <w:bookmarkStart w:id="88" w:name="Tc_TJi2iJrFbUW3R3UeCiVUOg_34_0"/>
      <w:bookmarkStart w:id="89" w:name="Tc_mhBaAJRxF0KKVLil2Y5Rxg_33_0"/>
      <w:bookmarkStart w:id="90" w:name="Tc_Qb8KFf38nka2LnyxGOWfdw_32_0"/>
      <w:bookmarkStart w:id="91" w:name="Tc_htZmqAe96UWBdwuT3Ju6ZQ_30_11"/>
      <w:bookmarkStart w:id="92" w:name="Tc_Imroo1STEEaN_wAjiLN9LA_30_8"/>
      <w:bookmarkStart w:id="93" w:name="Tc_gzBY3OM0TkqDv9CE104tYw_30_5"/>
      <w:bookmarkStart w:id="94" w:name="Tc_GFtqqTa3kU66_vLliHlAIw_30_2"/>
      <w:bookmarkStart w:id="95" w:name="Tc_mdw5y_5PIE2kqebp56vyiw_30_0"/>
      <w:bookmarkStart w:id="96" w:name="Tc_38MGuo-9Gk620m1dN4G8Lw_29_11"/>
      <w:bookmarkStart w:id="97" w:name="Tc_EWtt240Ck0iyym6riyrC0w_29_8"/>
      <w:bookmarkStart w:id="98" w:name="Tc_1_GjuvFP5UWLrJhTU1gp1w_29_5"/>
      <w:bookmarkStart w:id="99" w:name="Tc_Eu1VgBQ9Z0WOZVAtSau41w_29_2"/>
      <w:bookmarkStart w:id="100" w:name="Tc_DExZs84Oe0ywRkbqHsUMMg_29_0"/>
      <w:bookmarkStart w:id="101" w:name="Tc_gUFimIvxJ02BE_-5WlaJjg_28_0"/>
      <w:bookmarkStart w:id="102" w:name="Tc_lcQu7dV4okCK__fRTR3Shg_26_11"/>
      <w:bookmarkStart w:id="103" w:name="Tc_oCY9dnAS6k-5XGuYVNZA-A_26_8"/>
      <w:bookmarkStart w:id="104" w:name="Tc_FftGqw7VgEeX79gZGSlL6g_26_5"/>
      <w:bookmarkStart w:id="105" w:name="Tc_3UwHsZ8DH0Gs4xYvMLvXhA_26_2"/>
      <w:bookmarkStart w:id="106" w:name="Tc_kU0xefz9yUqmuYNwgLt6Kg_26_0"/>
      <w:bookmarkStart w:id="107" w:name="Tc_d7c8VMdP_0-a4alDVC_CvA_25_0"/>
      <w:bookmarkStart w:id="108" w:name="Tc_hWE2wPZEhUqztTF1JjJRnw_24_0"/>
      <w:bookmarkStart w:id="109" w:name="Tc_y8pqhWcN2E6Y0OJKfM8T9Q_21_3"/>
      <w:bookmarkStart w:id="110" w:name="Tc_oKP27tIbGk2MQ1BjlxPlow_21_0"/>
      <w:bookmarkStart w:id="111" w:name="Tc_RYcaZnKplkyb2Ld8aUElqg_20_12"/>
      <w:bookmarkStart w:id="112" w:name="Tc_ZihaDe50gE20HzO97Gd0zA_20_6"/>
      <w:bookmarkStart w:id="113" w:name="Tc_RhFOe4JzYUGFT7RAByvK4w_20_3"/>
      <w:bookmarkStart w:id="114" w:name="Tc_Z7ViYAqpKEi2_h9gKLmmCA_20_0"/>
      <w:bookmarkStart w:id="115" w:name="Tc_xajjuSJdNEW6F7iCqN_VEQ_19_0"/>
      <w:bookmarkStart w:id="116" w:name="Tc_59dJQgOnyU686QkLWADk_w_18_0"/>
      <w:bookmarkStart w:id="117" w:name="Tc_80o28ZcR2kGWXttUFEG9_g_17_0"/>
      <w:bookmarkStart w:id="118" w:name="Tc_t-dU4KyoykOc4iIJHHImvA_15_0"/>
      <w:bookmarkStart w:id="119" w:name="Tc_BIHnVhQowkSH5sq5fuMOfg_14_0"/>
      <w:bookmarkStart w:id="120" w:name="Tc_RTSjAyZnpEeNorOMGCzcKw_13_9"/>
      <w:bookmarkStart w:id="121" w:name="Tc_A0CLdFJv_EW-6I2ExJND0A_13_3"/>
      <w:bookmarkStart w:id="122" w:name="Tc_5uC190Eel0Wk6bI5o9fvaQ_13_0"/>
      <w:bookmarkStart w:id="123" w:name="Tc_2b7E3hTzIkSLF-hqmsdqDQ_10_0"/>
      <w:bookmarkStart w:id="124" w:name="Tc_ij7VBNLRzkq_I0OuBDu9jg_9_0"/>
      <w:bookmarkStart w:id="125" w:name="Tc_O4ImKaH7Wk2MLZz9XTx8kw_7_0"/>
      <w:bookmarkStart w:id="126" w:name="Tc_TdkD5TU2DEit5t8MvcTchQ_5_11"/>
      <w:bookmarkStart w:id="127" w:name="Tc_FF52zE1jOEe6G85Vwxr-8w_5_8"/>
      <w:bookmarkStart w:id="128" w:name="Tc_uD8JXHPbv0KDkZKoJcCnJg_5_5"/>
      <w:bookmarkStart w:id="129" w:name="Tc_aSG-COpYpUiERKRTdK317A_5_2"/>
      <w:bookmarkStart w:id="130" w:name="Tc_8bX14jb_l0-4hAe_HWHcCw_3_11"/>
      <w:bookmarkStart w:id="131" w:name="Tc_424TGgpScU2ScR6a0rhGow_3_8"/>
      <w:bookmarkStart w:id="132" w:name="Tc_leAmT56dkUuQgUewSyNMQg_3_5"/>
      <w:bookmarkStart w:id="133" w:name="Tc_1cmoMoTv40SKP4_FbtOX3Q_3_2"/>
      <w:bookmarkStart w:id="134" w:name="Tc_0Ve5J6xdHkugs5-t5ULsGQ_2_8"/>
      <w:bookmarkStart w:id="135" w:name="Tc_9BL66GH3t0akniYtyiUgmg_2_2"/>
      <w:bookmarkStart w:id="136" w:name="Tc_Z6SmGTNY3EOPwntFfH0JhQ_1_8"/>
      <w:bookmarkStart w:id="137" w:name="Tc_e4b2Bg4O2U6hdHQ_uPteMQ_1_2"/>
      <w:bookmarkStart w:id="138" w:name="_539c272d_58a2_47f5_8441_083e2814173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7539" w:type="dxa"/>
        <w:jc w:val="left"/>
        <w:tblInd w:w="0" w:type="dxa"/>
        <w:tblLayout w:type="fixed"/>
        <w:tblCellMar>
          <w:top w:w="0" w:type="dxa"/>
          <w:left w:w="0" w:type="dxa"/>
          <w:bottom w:w="0" w:type="dxa"/>
          <w:right w:w="0" w:type="dxa"/>
        </w:tblCellMar>
      </w:tblPr>
      <w:tblGrid>
        <w:gridCol w:w="3136"/>
        <w:gridCol w:w="286"/>
        <w:gridCol w:w="196"/>
        <w:gridCol w:w="511"/>
        <w:gridCol w:w="286"/>
        <w:gridCol w:w="196"/>
        <w:gridCol w:w="631"/>
        <w:gridCol w:w="286"/>
        <w:gridCol w:w="196"/>
        <w:gridCol w:w="511"/>
        <w:gridCol w:w="286"/>
        <w:gridCol w:w="196"/>
        <w:gridCol w:w="631"/>
        <w:gridCol w:w="191"/>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991360" cy="175260"/>
                      <wp:effectExtent l="0" t="0" r="0" b="0"/>
                      <wp:wrapNone/>
                      <wp:docPr id="2" name="Frame1"/>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610" cy="175260"/>
                      <wp:effectExtent l="0" t="0" r="0" b="0"/>
                      <wp:wrapNone/>
                      <wp:docPr id="3" name="Frame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175260"/>
                      <wp:effectExtent l="0" t="0" r="0" b="0"/>
                      <wp:wrapNone/>
                      <wp:docPr id="5" name="Frame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81610" cy="175260"/>
                      <wp:effectExtent l="0" t="0" r="0" b="0"/>
                      <wp:wrapNone/>
                      <wp:docPr id="6" name="Frame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00685" cy="175260"/>
                      <wp:effectExtent l="0" t="0" r="0" b="0"/>
                      <wp:wrapNone/>
                      <wp:docPr id="8" name="Frame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1610" cy="175260"/>
                      <wp:effectExtent l="0" t="0" r="0" b="0"/>
                      <wp:wrapNone/>
                      <wp:docPr id="9" name="Frame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10"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24485" cy="175260"/>
                      <wp:effectExtent l="0" t="0" r="0" b="0"/>
                      <wp:wrapNone/>
                      <wp:docPr id="11" name="Frame1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81610" cy="175260"/>
                      <wp:effectExtent l="0" t="0" r="0" b="0"/>
                      <wp:wrapNone/>
                      <wp:docPr id="12" name="Frame1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00685" cy="175260"/>
                      <wp:effectExtent l="0" t="0" r="0" b="0"/>
                      <wp:wrapNone/>
                      <wp:docPr id="14" name="Frame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1285" cy="175260"/>
                      <wp:effectExtent l="0" t="0" r="0" b="0"/>
                      <wp:wrapNone/>
                      <wp:docPr id="15" name="Frame1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82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286" w:type="dxa"/>
            <w:tcBorders/>
            <w:vAlign w:val="center"/>
          </w:tcPr>
          <w:p>
            <w:pPr>
              <w:pStyle w:val="TableContents"/>
              <w:bidi w:val="0"/>
              <w:spacing w:before="0" w:after="0"/>
              <w:ind w:left="0" w:right="0" w:hanging="0"/>
              <w:jc w:val="center"/>
              <w:rPr/>
            </w:pPr>
            <w:r>
              <w:rPr/>
              <w:t>​</w:t>
            </w:r>
          </w:p>
        </w:tc>
        <w:tc>
          <w:tcPr>
            <w:tcW w:w="182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Six months ended </w:t>
            </w:r>
          </w:p>
        </w:tc>
        <w:tc>
          <w:tcPr>
            <w:tcW w:w="191" w:type="dxa"/>
            <w:tcBorders/>
            <w:vAlign w:val="center"/>
          </w:tcPr>
          <w:p>
            <w:pPr>
              <w:pStyle w:val="TableContents"/>
              <w:bidi w:val="0"/>
              <w:spacing w:before="0" w:after="0"/>
              <w:ind w:left="0" w:right="0" w:hanging="0"/>
              <w:jc w:val="center"/>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before="0" w:after="0"/>
              <w:ind w:left="0" w:right="0" w:hanging="0"/>
              <w:jc w:val="center"/>
              <w:rPr/>
            </w:pPr>
            <w:r>
              <w:rPr/>
              <w:t>​</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191" w:type="dxa"/>
            <w:tcBorders/>
            <w:vAlign w:val="center"/>
          </w:tcPr>
          <w:p>
            <w:pPr>
              <w:pStyle w:val="TableContents"/>
              <w:bidi w:val="0"/>
              <w:spacing w:before="0" w:after="0"/>
              <w:ind w:left="0" w:right="0" w:hanging="0"/>
              <w:jc w:val="center"/>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center"/>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0" w:after="0"/>
              <w:ind w:left="0" w:right="0" w:hanging="0"/>
              <w:jc w:val="center"/>
              <w:rPr/>
            </w:pPr>
            <w:r>
              <w:rPr/>
              <w:t>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center"/>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b/>
                <w:i w:val="false"/>
                <w:caps w:val="false"/>
                <w:smallCaps w:val="false"/>
                <w:sz w:val="20"/>
              </w:rPr>
            </w:pPr>
            <w:r>
              <w:rPr>
                <w:rFonts w:ascii="Arial Narrow" w:hAnsi="Arial Narrow"/>
                <w:b/>
                <w:i w:val="false"/>
                <w:caps w:val="false"/>
                <w:smallCaps w:val="false"/>
                <w:sz w:val="20"/>
              </w:rPr>
              <w:t>Contract drilling revenues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966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988</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2,047</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1,894</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Costs and expenses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b w:val="false"/>
                <w:i w:val="false"/>
                <w:caps w:val="false"/>
                <w:smallCaps w:val="false"/>
                <w:sz w:val="20"/>
              </w:rPr>
            </w:pPr>
            <w:r>
              <w:rPr>
                <w:rFonts w:ascii="Arial Narrow" w:hAnsi="Arial Narrow"/>
                <w:b w:val="false"/>
                <w:i w:val="false"/>
                <w:caps w:val="false"/>
                <w:smallCaps w:val="false"/>
                <w:sz w:val="20"/>
              </w:rPr>
              <w:t>Operating and maintenance</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608</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599</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1,214</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1,217</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Depreciation and amortization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291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351</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General and administrative</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56</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49</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105</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99</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812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823</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1,610</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1,667</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Loss on impairment of assets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(1,136)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(1,136)</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Gain (loss) on disposal of assets, net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Operating income (loss)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152</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(964)</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439</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(900)</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Other income (expense), net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Interest income</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22</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18</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Interest expense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(256)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(228)</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Loss on retirement of debt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net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(27)</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32</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(129)</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(238)</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(233)</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Income (loss) before income taxes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184</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(1,093)</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201</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(1,133)</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Income tax expense (benefit)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(155)</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(40)</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(116)</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36"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Net income (loss)</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(938)</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241</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(1,017)</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Earnings (loss) per share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Basic</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0.15</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0.22</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(1.15)</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Diluted</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0.04</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0.21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(1.15)</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Weighted-average shares outstanding</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3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Basic</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1,120</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888</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51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1,115</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885</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Diluted</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1,202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888</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1,125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885</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- 1 -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139" w:name="_346dc808_39ec_4e8d_bd4f_1cefd389d20d"/>
      <w:bookmarkEnd w:id="139"/>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140" w:name="COMPREHENSIVEINCOME_537868"/>
      <w:bookmarkEnd w:id="140"/>
      <w:r>
        <w:rPr>
          <w:rFonts w:ascii="Arial Narrow" w:hAnsi="Arial Narrow"/>
          <w:b/>
          <w:caps/>
          <w:sz w:val="22"/>
        </w:rPr>
        <w:t>CONDENSED CONSOLIDATED STATEMENTS OF COMPREHENSIVE INCOME (LOSS)</w:t>
      </w:r>
    </w:p>
    <w:p>
      <w:pPr>
        <w:pStyle w:val="TextBody"/>
        <w:bidi w:val="0"/>
        <w:spacing w:before="0" w:after="0"/>
        <w:ind w:left="0" w:right="0" w:hanging="0"/>
        <w:jc w:val="center"/>
        <w:rPr>
          <w:rFonts w:ascii="Arial Narrow" w:hAnsi="Arial Narrow"/>
          <w:sz w:val="20"/>
        </w:rPr>
      </w:pPr>
      <w:r>
        <w:rPr>
          <w:rFonts w:ascii="Arial Narrow" w:hAnsi="Arial Narrow"/>
          <w:sz w:val="20"/>
        </w:rPr>
        <w:t>(in millions)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 w:name="Tc_BT4ZCeUJZ06AhEKFyKTYxw_14_11"/>
      <w:bookmarkStart w:id="142" w:name="Tc_u_zT1ReKt0yCe5ue_T4xdg_14_8"/>
      <w:bookmarkStart w:id="143" w:name="Tc_h_8AM5GPz06awhMOT3FArg_14_5"/>
      <w:bookmarkStart w:id="144" w:name="Tc_CnVmFkyjd0mdb8iAPEqvcA_14_2"/>
      <w:bookmarkStart w:id="145" w:name="Tc_b9sNyeDca0mHP9G33wlooA_14_0"/>
      <w:bookmarkStart w:id="146" w:name="Tc_GLDwt0UCx0eMZar98nfUpg_12_6"/>
      <w:bookmarkStart w:id="147" w:name="Tc_yJRylof2QUyCnMI8Xp7K9g_12_0"/>
      <w:bookmarkStart w:id="148" w:name="Tc_zY1-WUUv9Uml2Jh3OPKbvw_10_12"/>
      <w:bookmarkStart w:id="149" w:name="Tc_6zRCLboAr0u_Ux0UUT2XFA_10_9"/>
      <w:bookmarkStart w:id="150" w:name="Tc_zHiEhbDqFEy985LlsF6K_w_10_6"/>
      <w:bookmarkStart w:id="151" w:name="Tc_ql6tHP5lVEGj_KzJgRIVQQ_10_3"/>
      <w:bookmarkStart w:id="152" w:name="Tc_z-4LNFpPjUiKQXqj9Q6mEA_10_0"/>
      <w:bookmarkStart w:id="153" w:name="Tc_vF37KZz2SUutNVgTj-0rcQ_9_6"/>
      <w:bookmarkStart w:id="154" w:name="Tc_q2kO0et-rEKa2Q27qqLqIQ_9_0"/>
      <w:bookmarkStart w:id="155" w:name="Tc_jbEGAYyEOEex0kkZ6X_qeg_8_12"/>
      <w:bookmarkStart w:id="156" w:name="Tc_oY2dfmfUTUW5MiGZDGQJIA_8_6"/>
      <w:bookmarkStart w:id="157" w:name="Tc_SatoJkT3eU-7bMIqe6u6fQ_8_0"/>
      <w:bookmarkStart w:id="158" w:name="Tc_xeSwDbsGtkSwCQH4aHv1jA_7_6"/>
      <w:bookmarkStart w:id="159" w:name="Tc_r12UUtSKdk2ORRc2_lvCgg_7_3"/>
      <w:bookmarkStart w:id="160" w:name="Tc_0rLRR6UJUEW4EyKyzK7YwQ_7_0"/>
      <w:bookmarkStart w:id="161" w:name="Tc_ayNFKH10IE2tP1VxM3KlUg_5_11"/>
      <w:bookmarkStart w:id="162" w:name="Tc_7-XBdkt4QEmY8IEdOYdTjw_5_8"/>
      <w:bookmarkStart w:id="163" w:name="Tc_O5nzIel7vEKZFaIR-xp2hA_5_5"/>
      <w:bookmarkStart w:id="164" w:name="Tc_MgWxmcp3NE6Ym2ZDxDLeYg_5_2"/>
      <w:bookmarkStart w:id="165" w:name="Tc_kHj2bfvS-EWFGDSzC4cb2w_5_0"/>
      <w:bookmarkStart w:id="166" w:name="Tc_BAxqMUzm3kaybXo33Bju0g_3_11"/>
      <w:bookmarkStart w:id="167" w:name="Tc_YbKEAXl8gkSamWs-9EkKjA_3_8"/>
      <w:bookmarkStart w:id="168" w:name="Tc__tY-if4KUU2Ldn1JtjTzzA_3_5"/>
      <w:bookmarkStart w:id="169" w:name="Tc_t21ccSmoSEirIzcgr-nBuQ_3_2"/>
      <w:bookmarkStart w:id="170" w:name="Tc_xkcMz_WL30qDrx9Xk6hB9A_2_8"/>
      <w:bookmarkStart w:id="171" w:name="Tc_PzEok3rY1ECt521olDdyUw_2_2"/>
      <w:bookmarkStart w:id="172" w:name="Tc_zsCwBmPFTUu1bg7u8sXUXA_1_8"/>
      <w:bookmarkStart w:id="173" w:name="Tc_22az3deDI06TsKztbzAq7w_1_2"/>
      <w:bookmarkStart w:id="174" w:name="_735e287b_5520_4a05_9956_9535f38451b5"/>
      <w:bookmarkStart w:id="175" w:name="Tc_BT4ZCeUJZ06AhEKFyKTYxw_14_11"/>
      <w:bookmarkStart w:id="176" w:name="Tc_u_zT1ReKt0yCe5ue_T4xdg_14_8"/>
      <w:bookmarkStart w:id="177" w:name="Tc_h_8AM5GPz06awhMOT3FArg_14_5"/>
      <w:bookmarkStart w:id="178" w:name="Tc_CnVmFkyjd0mdb8iAPEqvcA_14_2"/>
      <w:bookmarkStart w:id="179" w:name="Tc_b9sNyeDca0mHP9G33wlooA_14_0"/>
      <w:bookmarkStart w:id="180" w:name="Tc_GLDwt0UCx0eMZar98nfUpg_12_6"/>
      <w:bookmarkStart w:id="181" w:name="Tc_yJRylof2QUyCnMI8Xp7K9g_12_0"/>
      <w:bookmarkStart w:id="182" w:name="Tc_zY1-WUUv9Uml2Jh3OPKbvw_10_12"/>
      <w:bookmarkStart w:id="183" w:name="Tc_6zRCLboAr0u_Ux0UUT2XFA_10_9"/>
      <w:bookmarkStart w:id="184" w:name="Tc_zHiEhbDqFEy985LlsF6K_w_10_6"/>
      <w:bookmarkStart w:id="185" w:name="Tc_ql6tHP5lVEGj_KzJgRIVQQ_10_3"/>
      <w:bookmarkStart w:id="186" w:name="Tc_z-4LNFpPjUiKQXqj9Q6mEA_10_0"/>
      <w:bookmarkStart w:id="187" w:name="Tc_vF37KZz2SUutNVgTj-0rcQ_9_6"/>
      <w:bookmarkStart w:id="188" w:name="Tc_q2kO0et-rEKa2Q27qqLqIQ_9_0"/>
      <w:bookmarkStart w:id="189" w:name="Tc_jbEGAYyEOEex0kkZ6X_qeg_8_12"/>
      <w:bookmarkStart w:id="190" w:name="Tc_oY2dfmfUTUW5MiGZDGQJIA_8_6"/>
      <w:bookmarkStart w:id="191" w:name="Tc_SatoJkT3eU-7bMIqe6u6fQ_8_0"/>
      <w:bookmarkStart w:id="192" w:name="Tc_xeSwDbsGtkSwCQH4aHv1jA_7_6"/>
      <w:bookmarkStart w:id="193" w:name="Tc_r12UUtSKdk2ORRc2_lvCgg_7_3"/>
      <w:bookmarkStart w:id="194" w:name="Tc_0rLRR6UJUEW4EyKyzK7YwQ_7_0"/>
      <w:bookmarkStart w:id="195" w:name="Tc_ayNFKH10IE2tP1VxM3KlUg_5_11"/>
      <w:bookmarkStart w:id="196" w:name="Tc_7-XBdkt4QEmY8IEdOYdTjw_5_8"/>
      <w:bookmarkStart w:id="197" w:name="Tc_O5nzIel7vEKZFaIR-xp2hA_5_5"/>
      <w:bookmarkStart w:id="198" w:name="Tc_MgWxmcp3NE6Ym2ZDxDLeYg_5_2"/>
      <w:bookmarkStart w:id="199" w:name="Tc_kHj2bfvS-EWFGDSzC4cb2w_5_0"/>
      <w:bookmarkStart w:id="200" w:name="Tc_BAxqMUzm3kaybXo33Bju0g_3_11"/>
      <w:bookmarkStart w:id="201" w:name="Tc_YbKEAXl8gkSamWs-9EkKjA_3_8"/>
      <w:bookmarkStart w:id="202" w:name="Tc__tY-if4KUU2Ldn1JtjTzzA_3_5"/>
      <w:bookmarkStart w:id="203" w:name="Tc_t21ccSmoSEirIzcgr-nBuQ_3_2"/>
      <w:bookmarkStart w:id="204" w:name="Tc_xkcMz_WL30qDrx9Xk6hB9A_2_8"/>
      <w:bookmarkStart w:id="205" w:name="Tc_PzEok3rY1ECt521olDdyUw_2_2"/>
      <w:bookmarkStart w:id="206" w:name="Tc_zsCwBmPFTUu1bg7u8sXUXA_1_8"/>
      <w:bookmarkStart w:id="207" w:name="Tc_22az3deDI06TsKztbzAq7w_1_2"/>
      <w:bookmarkStart w:id="208" w:name="_735e287b_5520_4a05_9956_9535f38451b5"/>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tbl>
      <w:tblPr>
        <w:tblW w:w="9251" w:type="dxa"/>
        <w:jc w:val="left"/>
        <w:tblInd w:w="0" w:type="dxa"/>
        <w:tblLayout w:type="fixed"/>
        <w:tblCellMar>
          <w:top w:w="0" w:type="dxa"/>
          <w:left w:w="0" w:type="dxa"/>
          <w:bottom w:w="0" w:type="dxa"/>
          <w:right w:w="0" w:type="dxa"/>
        </w:tblCellMar>
      </w:tblPr>
      <w:tblGrid>
        <w:gridCol w:w="5281"/>
        <w:gridCol w:w="286"/>
        <w:gridCol w:w="197"/>
        <w:gridCol w:w="378"/>
        <w:gridCol w:w="288"/>
        <w:gridCol w:w="197"/>
        <w:gridCol w:w="499"/>
        <w:gridCol w:w="286"/>
        <w:gridCol w:w="196"/>
        <w:gridCol w:w="376"/>
        <w:gridCol w:w="286"/>
        <w:gridCol w:w="196"/>
        <w:gridCol w:w="631"/>
        <w:gridCol w:w="154"/>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353435" cy="175260"/>
                      <wp:effectExtent l="0" t="0" r="0" b="0"/>
                      <wp:wrapNone/>
                      <wp:docPr id="16" name="Frame15"/>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81610" cy="175260"/>
                      <wp:effectExtent l="0" t="0" r="0" b="0"/>
                      <wp:wrapNone/>
                      <wp:docPr id="17" name="Frame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5095" cy="175260"/>
                      <wp:effectExtent l="0" t="0" r="0" b="0"/>
                      <wp:wrapNone/>
                      <wp:docPr id="18" name="Frame17"/>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0030" cy="175260"/>
                      <wp:effectExtent l="0" t="0" r="0" b="0"/>
                      <wp:wrapNone/>
                      <wp:docPr id="19" name="Frame18"/>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2880" cy="175260"/>
                      <wp:effectExtent l="0" t="0" r="0" b="0"/>
                      <wp:wrapNone/>
                      <wp:docPr id="20" name="Frame1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5095" cy="175260"/>
                      <wp:effectExtent l="0" t="0" r="0" b="0"/>
                      <wp:wrapNone/>
                      <wp:docPr id="21" name="Frame2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16865" cy="175260"/>
                      <wp:effectExtent l="0" t="0" r="0" b="0"/>
                      <wp:wrapNone/>
                      <wp:docPr id="22" name="Frame21"/>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1610" cy="175260"/>
                      <wp:effectExtent l="0" t="0" r="0" b="0"/>
                      <wp:wrapNone/>
                      <wp:docPr id="23" name="Frame2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8760" cy="175260"/>
                      <wp:effectExtent l="0" t="0" r="0" b="0"/>
                      <wp:wrapNone/>
                      <wp:docPr id="25" name="Frame2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81610" cy="175260"/>
                      <wp:effectExtent l="0" t="0" r="0" b="0"/>
                      <wp:wrapNone/>
                      <wp:docPr id="26" name="Frame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00685" cy="175260"/>
                      <wp:effectExtent l="0" t="0" r="0" b="0"/>
                      <wp:wrapNone/>
                      <wp:docPr id="28" name="Frame2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7790" cy="175260"/>
                      <wp:effectExtent l="0" t="0" r="0" b="0"/>
                      <wp:wrapNone/>
                      <wp:docPr id="29" name="Frame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59"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286" w:type="dxa"/>
            <w:tcBorders/>
            <w:vAlign w:val="center"/>
          </w:tcPr>
          <w:p>
            <w:pPr>
              <w:pStyle w:val="TableContents"/>
              <w:bidi w:val="0"/>
              <w:spacing w:before="0" w:after="0"/>
              <w:ind w:left="0" w:right="0" w:hanging="0"/>
              <w:jc w:val="left"/>
              <w:rPr/>
            </w:pPr>
            <w:r>
              <w:rPr/>
              <w:t>​</w:t>
            </w:r>
          </w:p>
        </w:tc>
        <w:tc>
          <w:tcPr>
            <w:tcW w:w="1685"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5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before="0" w:after="0"/>
              <w:ind w:left="0" w:right="0" w:hanging="0"/>
              <w:jc w:val="left"/>
              <w:rPr/>
            </w:pPr>
            <w:r>
              <w:rPr/>
              <w:t>​</w:t>
            </w:r>
          </w:p>
        </w:tc>
        <w:tc>
          <w:tcPr>
            <w:tcW w:w="16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8" w:type="dxa"/>
            <w:tcBorders/>
            <w:vAlign w:val="center"/>
          </w:tcPr>
          <w:p>
            <w:pPr>
              <w:pStyle w:val="TableContents"/>
              <w:bidi w:val="0"/>
              <w:spacing w:before="0" w:after="0"/>
              <w:ind w:left="0" w:right="0" w:hanging="0"/>
              <w:jc w:val="center"/>
              <w:rPr/>
            </w:pPr>
            <w:r>
              <w:rPr/>
              <w:t>  ​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0" w:after="0"/>
              <w:ind w:left="0" w:right="0" w:hanging="0"/>
              <w:jc w:val="left"/>
              <w:rPr/>
            </w:pPr>
            <w:r>
              <w:rPr/>
              <w:t>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center"/>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378"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197" w:type="dxa"/>
            <w:tcBorders/>
            <w:vAlign w:val="center"/>
          </w:tcPr>
          <w:p>
            <w:pPr>
              <w:pStyle w:val="TableContents"/>
              <w:bidi w:val="0"/>
              <w:spacing w:before="0" w:after="0"/>
              <w:ind w:left="0" w:right="0" w:hanging="0"/>
              <w:jc w:val="center"/>
              <w:rPr/>
            </w:pPr>
            <w:r>
              <w:rPr/>
              <w:t>​</w:t>
            </w:r>
          </w:p>
        </w:tc>
        <w:tc>
          <w:tcPr>
            <w:tcW w:w="499"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shd w:fill="CEDBE0" w:val="cle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Net income (loss)</w:t>
            </w:r>
          </w:p>
        </w:tc>
        <w:tc>
          <w:tcPr>
            <w:tcW w:w="286" w:type="dxa"/>
            <w:tcBorders/>
            <w:shd w:fill="CEDBE0" w:val="clear"/>
            <w:vAlign w:val="center"/>
          </w:tcPr>
          <w:p>
            <w:pPr>
              <w:pStyle w:val="TableContents"/>
              <w:bidi w:val="0"/>
              <w:spacing w:before="0" w:after="0"/>
              <w:ind w:left="0" w:right="0" w:hanging="0"/>
              <w:jc w:val="both"/>
              <w:rPr/>
            </w:pPr>
            <w:r>
              <w:rPr/>
              <w:t>​</w:t>
            </w:r>
          </w:p>
        </w:tc>
        <w:tc>
          <w:tcPr>
            <w:tcW w:w="197"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378"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170</w:t>
            </w:r>
          </w:p>
        </w:tc>
        <w:tc>
          <w:tcPr>
            <w:tcW w:w="288" w:type="dxa"/>
            <w:tcBorders/>
            <w:shd w:fill="CEDBE0" w:val="clear"/>
            <w:vAlign w:val="center"/>
          </w:tcPr>
          <w:p>
            <w:pPr>
              <w:pStyle w:val="TableContents"/>
              <w:bidi w:val="0"/>
              <w:spacing w:before="0" w:after="0"/>
              <w:ind w:left="0" w:right="0" w:hanging="0"/>
              <w:jc w:val="left"/>
              <w:rPr/>
            </w:pPr>
            <w:r>
              <w:rPr/>
              <w:t>​</w:t>
            </w:r>
          </w:p>
        </w:tc>
        <w:tc>
          <w:tcPr>
            <w:tcW w:w="197"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9"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(938)</w:t>
            </w:r>
          </w:p>
        </w:tc>
        <w:tc>
          <w:tcPr>
            <w:tcW w:w="286" w:type="dxa"/>
            <w:tcBorders/>
            <w:shd w:fill="CEDBE0" w:val="clear"/>
            <w:vAlign w:val="center"/>
          </w:tcPr>
          <w:p>
            <w:pPr>
              <w:pStyle w:val="TableContents"/>
              <w:bidi w:val="0"/>
              <w:spacing w:before="0" w:after="0"/>
              <w:ind w:left="0" w:right="0" w:hanging="0"/>
              <w:jc w:val="both"/>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37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241</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(1,017)</w:t>
            </w:r>
          </w:p>
        </w:tc>
        <w:tc>
          <w:tcPr>
            <w:tcW w:w="154" w:type="dxa"/>
            <w:tcBorders/>
            <w:shd w:fill="CEDBE0" w:val="clear"/>
            <w:vAlign w:val="center"/>
          </w:tcPr>
          <w:p>
            <w:pPr>
              <w:pStyle w:val="TableContents"/>
              <w:bidi w:val="0"/>
              <w:spacing w:before="0" w:after="0"/>
              <w:ind w:left="0" w:right="0" w:hanging="0"/>
              <w:jc w:val="both"/>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28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Components of net periodic benefit costs before reclassifications</w:t>
            </w:r>
          </w:p>
        </w:tc>
        <w:tc>
          <w:tcPr>
            <w:tcW w:w="286" w:type="dxa"/>
            <w:tcBorders/>
            <w:shd w:fill="CEDBE0" w:val="clear"/>
            <w:vAlign w:val="center"/>
          </w:tcPr>
          <w:p>
            <w:pPr>
              <w:pStyle w:val="TableContents"/>
              <w:bidi w:val="0"/>
              <w:spacing w:before="0" w:after="0"/>
              <w:ind w:left="0" w:right="0" w:hanging="0"/>
              <w:jc w:val="left"/>
              <w:rPr/>
            </w:pPr>
            <w:r>
              <w:rPr/>
              <w:t>​</w:t>
            </w:r>
          </w:p>
        </w:tc>
        <w:tc>
          <w:tcPr>
            <w:tcW w:w="197" w:type="dxa"/>
            <w:tcBorders/>
            <w:shd w:fill="CEDBE0" w:val="clear"/>
            <w:vAlign w:val="center"/>
          </w:tcPr>
          <w:p>
            <w:pPr>
              <w:pStyle w:val="TableContents"/>
              <w:bidi w:val="0"/>
              <w:spacing w:before="0" w:after="0"/>
              <w:ind w:left="0" w:right="0" w:hanging="0"/>
              <w:jc w:val="left"/>
              <w:rPr/>
            </w:pPr>
            <w:r>
              <w:rPr/>
              <w:t>​</w:t>
            </w:r>
          </w:p>
        </w:tc>
        <w:tc>
          <w:tcPr>
            <w:tcW w:w="378" w:type="dxa"/>
            <w:tcBorders/>
            <w:shd w:fill="CEDBE0" w:val="clear"/>
            <w:vAlign w:val="center"/>
          </w:tcPr>
          <w:p>
            <w:pPr>
              <w:pStyle w:val="TableContents"/>
              <w:bidi w:val="0"/>
              <w:spacing w:before="0" w:after="0"/>
              <w:ind w:left="0" w:right="0" w:hanging="0"/>
              <w:jc w:val="right"/>
              <w:rPr/>
            </w:pPr>
            <w:r>
              <w:rPr/>
              <w:t>—</w:t>
            </w:r>
          </w:p>
        </w:tc>
        <w:tc>
          <w:tcPr>
            <w:tcW w:w="288" w:type="dxa"/>
            <w:tcBorders/>
            <w:shd w:fill="CEDBE0" w:val="clear"/>
            <w:vAlign w:val="center"/>
          </w:tcPr>
          <w:p>
            <w:pPr>
              <w:pStyle w:val="TableContents"/>
              <w:bidi w:val="0"/>
              <w:spacing w:before="0" w:after="0"/>
              <w:ind w:left="0" w:right="0" w:hanging="0"/>
              <w:jc w:val="left"/>
              <w:rPr/>
            </w:pPr>
            <w:r>
              <w:rPr/>
              <w:t>​</w:t>
            </w:r>
          </w:p>
        </w:tc>
        <w:tc>
          <w:tcPr>
            <w:tcW w:w="197" w:type="dxa"/>
            <w:tcBorders/>
            <w:shd w:fill="CEDBE0" w:val="clear"/>
            <w:vAlign w:val="center"/>
          </w:tcPr>
          <w:p>
            <w:pPr>
              <w:pStyle w:val="TableContents"/>
              <w:bidi w:val="0"/>
              <w:spacing w:before="0" w:after="0"/>
              <w:ind w:left="0" w:right="0" w:hanging="0"/>
              <w:jc w:val="left"/>
              <w:rPr/>
            </w:pPr>
            <w:r>
              <w:rPr/>
              <w:t>​</w:t>
            </w:r>
          </w:p>
        </w:tc>
        <w:tc>
          <w:tcPr>
            <w:tcW w:w="499"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37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54" w:type="dxa"/>
            <w:tcBorders/>
            <w:shd w:fill="CEDBE0" w:val="clear"/>
            <w:vAlign w:val="center"/>
          </w:tcPr>
          <w:p>
            <w:pPr>
              <w:pStyle w:val="TableContents"/>
              <w:bidi w:val="0"/>
              <w:spacing w:before="0" w:after="0"/>
              <w:ind w:left="0" w:right="0" w:hanging="0"/>
              <w:jc w:val="left"/>
              <w:rPr/>
            </w:pPr>
            <w:r>
              <w:rPr/>
              <w:t>​</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Components of net periodic benefit costs reclassified to net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281" w:type="dxa"/>
            <w:tcBorders/>
            <w:shd w:fill="CEDBE0" w:val="clear"/>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Other comprehensive income (loss) before income taxes</w:t>
            </w:r>
          </w:p>
        </w:tc>
        <w:tc>
          <w:tcPr>
            <w:tcW w:w="286" w:type="dxa"/>
            <w:tcBorders/>
            <w:shd w:fill="CEDBE0" w:val="clear"/>
            <w:vAlign w:val="center"/>
          </w:tcPr>
          <w:p>
            <w:pPr>
              <w:pStyle w:val="TableContents"/>
              <w:bidi w:val="0"/>
              <w:spacing w:before="0" w:after="0"/>
              <w:ind w:left="0" w:right="0" w:hanging="0"/>
              <w:jc w:val="left"/>
              <w:rPr/>
            </w:pPr>
            <w:r>
              <w:rPr/>
              <w:t>​</w:t>
            </w:r>
          </w:p>
        </w:tc>
        <w:tc>
          <w:tcPr>
            <w:tcW w:w="197" w:type="dxa"/>
            <w:tcBorders/>
            <w:shd w:fill="CEDBE0" w:val="clear"/>
            <w:vAlign w:val="center"/>
          </w:tcPr>
          <w:p>
            <w:pPr>
              <w:pStyle w:val="TableContents"/>
              <w:bidi w:val="0"/>
              <w:spacing w:before="0" w:after="0"/>
              <w:ind w:left="0" w:right="0" w:hanging="0"/>
              <w:jc w:val="left"/>
              <w:rPr/>
            </w:pPr>
            <w:r>
              <w:rPr/>
              <w:t>​</w:t>
            </w:r>
          </w:p>
        </w:tc>
        <w:tc>
          <w:tcPr>
            <w:tcW w:w="378"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8" w:type="dxa"/>
            <w:tcBorders/>
            <w:shd w:fill="CEDBE0" w:val="clear"/>
            <w:vAlign w:val="center"/>
          </w:tcPr>
          <w:p>
            <w:pPr>
              <w:pStyle w:val="TableContents"/>
              <w:bidi w:val="0"/>
              <w:spacing w:before="0" w:after="0"/>
              <w:ind w:left="0" w:right="0" w:hanging="0"/>
              <w:jc w:val="left"/>
              <w:rPr/>
            </w:pPr>
            <w:r>
              <w:rPr/>
              <w:t>​</w:t>
            </w:r>
          </w:p>
        </w:tc>
        <w:tc>
          <w:tcPr>
            <w:tcW w:w="197" w:type="dxa"/>
            <w:tcBorders/>
            <w:shd w:fill="CEDBE0" w:val="clear"/>
            <w:vAlign w:val="center"/>
          </w:tcPr>
          <w:p>
            <w:pPr>
              <w:pStyle w:val="TableContents"/>
              <w:bidi w:val="0"/>
              <w:spacing w:before="0" w:after="0"/>
              <w:ind w:left="0" w:right="0" w:hanging="0"/>
              <w:jc w:val="left"/>
              <w:rPr/>
            </w:pPr>
            <w:r>
              <w:rPr/>
              <w:t>​</w:t>
            </w:r>
          </w:p>
        </w:tc>
        <w:tc>
          <w:tcPr>
            <w:tcW w:w="499"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37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54" w:type="dxa"/>
            <w:tcBorders/>
            <w:shd w:fill="CEDBE0" w:val="clear"/>
            <w:vAlign w:val="center"/>
          </w:tcPr>
          <w:p>
            <w:pPr>
              <w:pStyle w:val="TableContents"/>
              <w:bidi w:val="0"/>
              <w:spacing w:before="0" w:after="0"/>
              <w:ind w:left="0" w:right="0" w:hanging="0"/>
              <w:jc w:val="left"/>
              <w:rPr/>
            </w:pPr>
            <w:r>
              <w:rPr/>
              <w:t>​</w: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Income taxes related to other comprehensive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both"/>
              <w:rPr/>
            </w:pPr>
            <w:r>
              <w:rPr/>
              <w:t>​</w:t>
            </w:r>
          </w:p>
        </w:tc>
        <w:tc>
          <w:tcPr>
            <w:tcW w:w="19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2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Other comprehensive income (loss)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8"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54"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9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281"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b/>
                <w:sz w:val="20"/>
              </w:rPr>
            </w:pPr>
            <w:r>
              <w:rPr>
                <w:rFonts w:ascii="Arial Narrow" w:hAnsi="Arial Narrow"/>
                <w:b/>
                <w:sz w:val="20"/>
              </w:rPr>
              <w:t>Total comprehensive income (loss)</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197"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378"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171</w:t>
            </w:r>
          </w:p>
        </w:tc>
        <w:tc>
          <w:tcPr>
            <w:tcW w:w="288"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7"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9"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(938)</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37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247</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(1,020)</w:t>
            </w:r>
          </w:p>
        </w:tc>
        <w:tc>
          <w:tcPr>
            <w:tcW w:w="154" w:type="dxa"/>
            <w:tcBorders>
              <w:bottom w:val="single" w:sz="12" w:space="0" w:color="000000"/>
            </w:tcBorders>
            <w:shd w:fill="CEDBE0" w:val="clear"/>
            <w:tcMar>
              <w:bottom w:w="28" w:type="dxa"/>
            </w:tcMar>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- 2 -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209" w:name="_19d42b9d_4d3f_4093_a80d_401064467b80"/>
      <w:bookmarkEnd w:id="209"/>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210" w:name="BALANCESHEETS_727729"/>
      <w:bookmarkEnd w:id="210"/>
      <w:r>
        <w:rPr>
          <w:rFonts w:ascii="Arial Narrow" w:hAnsi="Arial Narrow"/>
          <w:b/>
          <w:caps/>
          <w:sz w:val="22"/>
        </w:rPr>
        <w:t>CONDENSED CONSOLIDATED BALANCE SHEETS</w:t>
      </w:r>
    </w:p>
    <w:p>
      <w:pPr>
        <w:pStyle w:val="TextBody"/>
        <w:bidi w:val="0"/>
        <w:spacing w:before="0" w:after="0"/>
        <w:ind w:left="0" w:right="0" w:hanging="0"/>
        <w:jc w:val="center"/>
        <w:rPr>
          <w:rFonts w:ascii="Arial Narrow" w:hAnsi="Arial Narrow"/>
          <w:sz w:val="20"/>
        </w:rPr>
      </w:pPr>
      <w:r>
        <w:rPr>
          <w:rFonts w:ascii="Arial Narrow" w:hAnsi="Arial Narrow"/>
          <w:sz w:val="20"/>
        </w:rPr>
        <w:t>(in millions, except par value)</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1" w:name="Tc_jAXuIcyC0EuncR5723pzrg_41_5"/>
      <w:bookmarkStart w:id="212" w:name="Tc_zNS1o947t0C88OEarNyuVw_41_2"/>
      <w:bookmarkStart w:id="213" w:name="Tc_ZJ-8yF4AH0CjKmHvPrrpqg_41_0"/>
      <w:bookmarkStart w:id="214" w:name="Tc_nWiF-_32VEuZeAslkOJ8vQ_40_0"/>
      <w:bookmarkStart w:id="215" w:name="Tc_CumAt3wFMkCvhubTaKAIqQ_39_0"/>
      <w:bookmarkStart w:id="216" w:name="Tc_a3VLsrC8QUyYSZ-BLq3geg_38_0"/>
      <w:bookmarkStart w:id="217" w:name="Tc_NbgoojmB1EufG3PaC9_xLg_37_0"/>
      <w:bookmarkStart w:id="218" w:name="Tc_s0kP3YlvJE2FzFG1ptNW5Q_36_0"/>
      <w:bookmarkStart w:id="219" w:name="Tc_nsYVKyuDkkGMQ8XrEZ5Eyg_35_0"/>
      <w:bookmarkStart w:id="220" w:name="Tc_ZYuzO8PBJ0-qxqWMGkOrHw_34_0"/>
      <w:bookmarkStart w:id="221" w:name="Tc_KvuJHLYLWU2lLiiire5n6w_32_0"/>
      <w:bookmarkStart w:id="222" w:name="Tc_btJAxkAVKUmhbs7y58rzUg_30_0"/>
      <w:bookmarkStart w:id="223" w:name="Tc_UdV_Z-rGA0OaiTlsYC7sbQ_29_0"/>
      <w:bookmarkStart w:id="224" w:name="Tc_Q_qYqtirGEmFS_ccCufm0g_28_0"/>
      <w:bookmarkStart w:id="225" w:name="Tc_ct_PQ4ueGEWAVZtghGThDA_27_0"/>
      <w:bookmarkStart w:id="226" w:name="Tc_mqy_zlfNIUaeOo7mFY8TOg_25_0"/>
      <w:bookmarkStart w:id="227" w:name="Tc_HZCo8gt1qEqtqErdl70QQQ_24_0"/>
      <w:bookmarkStart w:id="228" w:name="Tc_8FxgKBlEqkWQUe9-QMKH2g_23_0"/>
      <w:bookmarkStart w:id="229" w:name="Tc_lAadsRQEV0WLqIYWX9DjDw_22_0"/>
      <w:bookmarkStart w:id="230" w:name="Tc_thzi5x0RxUiQbOCY3iiSRg_21_5"/>
      <w:bookmarkStart w:id="231" w:name="Tc_rVzhCRdnTEuK-kb-W9FwYA_21_2"/>
      <w:bookmarkStart w:id="232" w:name="Tc_sxLVNg4-D0aLicJIk-PYtw_21_0"/>
      <w:bookmarkStart w:id="233" w:name="Tc_ZA64J_3f9EWiUivOeW82lg_20_0"/>
      <w:bookmarkStart w:id="234" w:name="Tc_EUuXxuIGMEGd7xPjAQypaQ_18_5"/>
      <w:bookmarkStart w:id="235" w:name="Tc_yKmDsVHbdEO0Upt5Ehtsjw_18_2"/>
      <w:bookmarkStart w:id="236" w:name="Tc_V_U6NmMBY0GTlmZdqph4WQ_18_0"/>
      <w:bookmarkStart w:id="237" w:name="Tc_S9rweji3hUmiGpJ8J6VHbg_17_0"/>
      <w:bookmarkStart w:id="238" w:name="Tc_-Vy9PA3TL06TTDndM14pNw_16_0"/>
      <w:bookmarkStart w:id="239" w:name="Tc_KUnq3VyM7kOKl4wZOQTdYA_14_0"/>
      <w:bookmarkStart w:id="240" w:name="Tc_xHjaGhhrLE6iiA8DNAe7wQ_13_0"/>
      <w:bookmarkStart w:id="241" w:name="Tc_yRvmcjETXkiK_qBG5yIrgQ_12_0"/>
      <w:bookmarkStart w:id="242" w:name="Tc_CTkKqTxgNUequxLFiTRKyg_10_0"/>
      <w:bookmarkStart w:id="243" w:name="Tc__wk9ebebFUi3l9OpY619TA_9_0"/>
      <w:bookmarkStart w:id="244" w:name="Tc_cvMvcxulZUO9egjxJYuL5w_8_0"/>
      <w:bookmarkStart w:id="245" w:name="Tc_dBfHAw4dzkubsnTa34oAGw_7_0"/>
      <w:bookmarkStart w:id="246" w:name="Tc_oCPk7kmvDU2JDD2cVGcZ7A_6_0"/>
      <w:bookmarkStart w:id="247" w:name="Tc_FybMHD1P50ij07ZfxVQN9g_5_0"/>
      <w:bookmarkStart w:id="248" w:name="Tc_BCPI8k20Y0iZxNN0pV0aXw_4_5"/>
      <w:bookmarkStart w:id="249" w:name="Tc_YAEzFrQTCUueK_WmtcOgoA_4_2"/>
      <w:bookmarkStart w:id="250" w:name="Tc_0VcUbf43iUu8UvWRHLTqFw_4_0"/>
      <w:bookmarkStart w:id="251" w:name="Tc_rI8n0HtSaEOlRX5-nLpvPA_3_0"/>
      <w:bookmarkStart w:id="252" w:name="Tc_dB-3cHpY-UmTOewVPPkDoQ_2_5"/>
      <w:bookmarkStart w:id="253" w:name="Tc_vczqgVpea0un9aCQ9wGsdA_2_2"/>
      <w:bookmarkStart w:id="254" w:name="Tc_nqutzxVcTUif6vID3PK7NQ_1_5"/>
      <w:bookmarkStart w:id="255" w:name="Tc_gYBQoEtuwkm4GXwBvbt3yA_1_2"/>
      <w:bookmarkStart w:id="256" w:name="_52d1ddb8_0329_4cb1_a265_5c7b0cb2d784"/>
      <w:bookmarkStart w:id="257" w:name="Tc_jAXuIcyC0EuncR5723pzrg_41_5"/>
      <w:bookmarkStart w:id="258" w:name="Tc_zNS1o947t0C88OEarNyuVw_41_2"/>
      <w:bookmarkStart w:id="259" w:name="Tc_ZJ-8yF4AH0CjKmHvPrrpqg_41_0"/>
      <w:bookmarkStart w:id="260" w:name="Tc_nWiF-_32VEuZeAslkOJ8vQ_40_0"/>
      <w:bookmarkStart w:id="261" w:name="Tc_CumAt3wFMkCvhubTaKAIqQ_39_0"/>
      <w:bookmarkStart w:id="262" w:name="Tc_a3VLsrC8QUyYSZ-BLq3geg_38_0"/>
      <w:bookmarkStart w:id="263" w:name="Tc_NbgoojmB1EufG3PaC9_xLg_37_0"/>
      <w:bookmarkStart w:id="264" w:name="Tc_s0kP3YlvJE2FzFG1ptNW5Q_36_0"/>
      <w:bookmarkStart w:id="265" w:name="Tc_nsYVKyuDkkGMQ8XrEZ5Eyg_35_0"/>
      <w:bookmarkStart w:id="266" w:name="Tc_ZYuzO8PBJ0-qxqWMGkOrHw_34_0"/>
      <w:bookmarkStart w:id="267" w:name="Tc_KvuJHLYLWU2lLiiire5n6w_32_0"/>
      <w:bookmarkStart w:id="268" w:name="Tc_btJAxkAVKUmhbs7y58rzUg_30_0"/>
      <w:bookmarkStart w:id="269" w:name="Tc_UdV_Z-rGA0OaiTlsYC7sbQ_29_0"/>
      <w:bookmarkStart w:id="270" w:name="Tc_Q_qYqtirGEmFS_ccCufm0g_28_0"/>
      <w:bookmarkStart w:id="271" w:name="Tc_ct_PQ4ueGEWAVZtghGThDA_27_0"/>
      <w:bookmarkStart w:id="272" w:name="Tc_mqy_zlfNIUaeOo7mFY8TOg_25_0"/>
      <w:bookmarkStart w:id="273" w:name="Tc_HZCo8gt1qEqtqErdl70QQQ_24_0"/>
      <w:bookmarkStart w:id="274" w:name="Tc_8FxgKBlEqkWQUe9-QMKH2g_23_0"/>
      <w:bookmarkStart w:id="275" w:name="Tc_lAadsRQEV0WLqIYWX9DjDw_22_0"/>
      <w:bookmarkStart w:id="276" w:name="Tc_thzi5x0RxUiQbOCY3iiSRg_21_5"/>
      <w:bookmarkStart w:id="277" w:name="Tc_rVzhCRdnTEuK-kb-W9FwYA_21_2"/>
      <w:bookmarkStart w:id="278" w:name="Tc_sxLVNg4-D0aLicJIk-PYtw_21_0"/>
      <w:bookmarkStart w:id="279" w:name="Tc_ZA64J_3f9EWiUivOeW82lg_20_0"/>
      <w:bookmarkStart w:id="280" w:name="Tc_EUuXxuIGMEGd7xPjAQypaQ_18_5"/>
      <w:bookmarkStart w:id="281" w:name="Tc_yKmDsVHbdEO0Upt5Ehtsjw_18_2"/>
      <w:bookmarkStart w:id="282" w:name="Tc_V_U6NmMBY0GTlmZdqph4WQ_18_0"/>
      <w:bookmarkStart w:id="283" w:name="Tc_S9rweji3hUmiGpJ8J6VHbg_17_0"/>
      <w:bookmarkStart w:id="284" w:name="Tc_-Vy9PA3TL06TTDndM14pNw_16_0"/>
      <w:bookmarkStart w:id="285" w:name="Tc_KUnq3VyM7kOKl4wZOQTdYA_14_0"/>
      <w:bookmarkStart w:id="286" w:name="Tc_xHjaGhhrLE6iiA8DNAe7wQ_13_0"/>
      <w:bookmarkStart w:id="287" w:name="Tc_yRvmcjETXkiK_qBG5yIrgQ_12_0"/>
      <w:bookmarkStart w:id="288" w:name="Tc_CTkKqTxgNUequxLFiTRKyg_10_0"/>
      <w:bookmarkStart w:id="289" w:name="Tc__wk9ebebFUi3l9OpY619TA_9_0"/>
      <w:bookmarkStart w:id="290" w:name="Tc_cvMvcxulZUO9egjxJYuL5w_8_0"/>
      <w:bookmarkStart w:id="291" w:name="Tc_dBfHAw4dzkubsnTa34oAGw_7_0"/>
      <w:bookmarkStart w:id="292" w:name="Tc_oCPk7kmvDU2JDD2cVGcZ7A_6_0"/>
      <w:bookmarkStart w:id="293" w:name="Tc_FybMHD1P50ij07ZfxVQN9g_5_0"/>
      <w:bookmarkStart w:id="294" w:name="Tc_BCPI8k20Y0iZxNN0pV0aXw_4_5"/>
      <w:bookmarkStart w:id="295" w:name="Tc_YAEzFrQTCUueK_WmtcOgoA_4_2"/>
      <w:bookmarkStart w:id="296" w:name="Tc_0VcUbf43iUu8UvWRHLTqFw_4_0"/>
      <w:bookmarkStart w:id="297" w:name="Tc_rI8n0HtSaEOlRX5-nLpvPA_3_0"/>
      <w:bookmarkStart w:id="298" w:name="Tc_dB-3cHpY-UmTOewVPPkDoQ_2_5"/>
      <w:bookmarkStart w:id="299" w:name="Tc_vczqgVpea0un9aCQ9wGsdA_2_2"/>
      <w:bookmarkStart w:id="300" w:name="Tc_nqutzxVcTUif6vID3PK7NQ_1_5"/>
      <w:bookmarkStart w:id="301" w:name="Tc_gYBQoEtuwkm4GXwBvbt3yA_1_2"/>
      <w:bookmarkStart w:id="302" w:name="_52d1ddb8_0329_4cb1_a265_5c7b0cb2d784"/>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Layout w:type="fixed"/>
        <w:tblCellMar>
          <w:top w:w="0" w:type="dxa"/>
          <w:left w:w="0" w:type="dxa"/>
          <w:bottom w:w="0" w:type="dxa"/>
          <w:right w:w="0" w:type="dxa"/>
        </w:tblCellMar>
      </w:tblPr>
      <w:tblGrid>
        <w:gridCol w:w="7560"/>
        <w:gridCol w:w="286"/>
        <w:gridCol w:w="196"/>
        <w:gridCol w:w="628"/>
        <w:gridCol w:w="286"/>
        <w:gridCol w:w="260"/>
        <w:gridCol w:w="796"/>
        <w:gridCol w:w="193"/>
      </w:tblGrid>
      <w:tr>
        <w:trPr/>
        <w:tc>
          <w:tcPr>
            <w:tcW w:w="7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800600" cy="175260"/>
                      <wp:effectExtent l="0" t="0" r="0" b="0"/>
                      <wp:wrapNone/>
                      <wp:docPr id="30" name="Frame29"/>
                      <a:graphic xmlns:a="http://schemas.openxmlformats.org/drawingml/2006/main">
                        <a:graphicData uri="http://schemas.microsoft.com/office/word/2010/wordprocessingShape">
                          <wps:wsp>
                            <wps:cNvSpPr txBox="1"/>
                            <wps:spPr>
                              <a:xfrm>
                                <a:off x="0" y="0"/>
                                <a:ext cx="4800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1610" cy="175260"/>
                      <wp:effectExtent l="0" t="0" r="0" b="0"/>
                      <wp:wrapNone/>
                      <wp:docPr id="31"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98780" cy="175260"/>
                      <wp:effectExtent l="0" t="0" r="0" b="0"/>
                      <wp:wrapNone/>
                      <wp:docPr id="33" name="Frame32"/>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81610" cy="175260"/>
                      <wp:effectExtent l="0" t="0" r="0" b="0"/>
                      <wp:wrapNone/>
                      <wp:docPr id="34" name="Frame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5100" cy="175260"/>
                      <wp:effectExtent l="0" t="0" r="0" b="0"/>
                      <wp:wrapNone/>
                      <wp:docPr id="35" name="Frame3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5460" cy="175260"/>
                      <wp:effectExtent l="0" t="0" r="0" b="0"/>
                      <wp:wrapNone/>
                      <wp:docPr id="36"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2555" cy="175260"/>
                      <wp:effectExtent l="0" t="0" r="0" b="0"/>
                      <wp:wrapNone/>
                      <wp:docPr id="37" name="Frame36"/>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824" w:type="dxa"/>
            <w:gridSpan w:val="2"/>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December 31, </w:t>
            </w:r>
          </w:p>
        </w:tc>
        <w:tc>
          <w:tcPr>
            <w:tcW w:w="193" w:type="dxa"/>
            <w:tcBorders/>
            <w:vAlign w:val="center"/>
          </w:tcPr>
          <w:p>
            <w:pPr>
              <w:pStyle w:val="TableContents"/>
              <w:bidi w:val="0"/>
              <w:spacing w:before="0" w:after="0"/>
              <w:ind w:left="0" w:right="0" w:hanging="0"/>
              <w:jc w:val="center"/>
              <w:rPr/>
            </w:pPr>
            <w:r>
              <w:rPr/>
              <w:t>​</w:t>
            </w:r>
          </w:p>
        </w:tc>
      </w:tr>
      <w:tr>
        <w:trPr/>
        <w:tc>
          <w:tcPr>
            <w:tcW w:w="7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8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center"/>
              <w:rPr/>
            </w:pPr>
            <w:r>
              <w:rPr/>
              <w:t>  ​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93" w:type="dxa"/>
            <w:tcBorders/>
            <w:vAlign w:val="center"/>
          </w:tcPr>
          <w:p>
            <w:pPr>
              <w:pStyle w:val="TableContents"/>
              <w:bidi w:val="0"/>
              <w:spacing w:before="0" w:after="0"/>
              <w:ind w:left="0" w:right="0" w:hanging="0"/>
              <w:jc w:val="center"/>
              <w:rPr/>
            </w:pPr>
            <w:r>
              <w:rPr/>
              <w:t> </w:t>
            </w:r>
          </w:p>
        </w:tc>
      </w:tr>
      <w:tr>
        <w:trPr/>
        <w:tc>
          <w:tcPr>
            <w:tcW w:w="7560" w:type="dxa"/>
            <w:tcBorders/>
            <w:vAlign w:val="center"/>
          </w:tcPr>
          <w:p>
            <w:pPr>
              <w:pStyle w:val="TableContents"/>
              <w:bidi w:val="0"/>
              <w:spacing w:before="0" w:after="0"/>
              <w:ind w:left="0" w:right="0" w:hanging="0"/>
              <w:jc w:val="left"/>
              <w:rPr>
                <w:rFonts w:ascii="Arial Narrow" w:hAnsi="Arial Narrow"/>
                <w:b/>
                <w:sz w:val="19"/>
              </w:rPr>
            </w:pPr>
            <w:r>
              <w:rPr>
                <w:rFonts w:ascii="Arial Narrow" w:hAnsi="Arial Narrow"/>
                <w:b/>
                <w:sz w:val="19"/>
              </w:rPr>
              <w:t>Assets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8"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Cash and cash equivalents</w:t>
            </w:r>
          </w:p>
        </w:tc>
        <w:tc>
          <w:tcPr>
            <w:tcW w:w="286" w:type="dxa"/>
            <w:tcBorders/>
            <w:shd w:fill="CEDBE0" w:val="clear"/>
            <w:vAlign w:val="center"/>
          </w:tcPr>
          <w:p>
            <w:pPr>
              <w:pStyle w:val="TableContents"/>
              <w:bidi w:val="0"/>
              <w:spacing w:before="0" w:after="0"/>
              <w:ind w:left="0" w:right="0" w:hanging="0"/>
              <w:jc w:val="left"/>
              <w:rPr/>
            </w:pPr>
            <w:r>
              <w:rPr/>
              <w:t> </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509</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620</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9"/>
              </w:rPr>
              <w:t>Accounts receivable, net of allowance of $2</w:t>
            </w:r>
            <w:r>
              <w:rPr>
                <w:rFonts w:ascii="Arial Narrow" w:hAnsi="Arial Narrow"/>
                <w:sz w:val="18"/>
              </w:rPr>
              <w:t xml:space="preserve"> </w:t>
            </w:r>
            <w:r>
              <w:rPr>
                <w:rFonts w:ascii="Arial Narrow" w:hAnsi="Arial Narrow"/>
                <w:sz w:val="19"/>
              </w:rPr>
              <w:t>at June 30, 2026 and December 31, 2025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604</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540</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9"/>
              </w:rPr>
              <w:t>Materials and supplies, net of allowance of $146</w:t>
            </w:r>
            <w:r>
              <w:rPr>
                <w:rFonts w:ascii="Arial Narrow" w:hAnsi="Arial Narrow"/>
                <w:sz w:val="18"/>
              </w:rPr>
              <w:t xml:space="preserve"> </w:t>
            </w:r>
            <w:r>
              <w:rPr>
                <w:rFonts w:ascii="Arial Narrow" w:hAnsi="Arial Narrow"/>
                <w:sz w:val="19"/>
              </w:rPr>
              <w:t>and $140</w:t>
            </w:r>
            <w:r>
              <w:rPr>
                <w:rFonts w:ascii="Arial Narrow" w:hAnsi="Arial Narrow"/>
                <w:sz w:val="18"/>
              </w:rPr>
              <w:t xml:space="preserve"> </w:t>
            </w:r>
            <w:r>
              <w:rPr>
                <w:rFonts w:ascii="Arial Narrow" w:hAnsi="Arial Narrow"/>
                <w:sz w:val="19"/>
              </w:rPr>
              <w:t>at June 30, 2026 and December 31, 2025, respectively</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379</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378</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Assets held for sale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24</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Restricted cash and cash equivalents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286</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377</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Other current assets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133</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142</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Total current assets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1,912</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2,081</w:t>
            </w:r>
          </w:p>
        </w:tc>
        <w:tc>
          <w:tcPr>
            <w:tcW w:w="19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Property and equipment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17,490</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17,451</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Less accumulated depreciation</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(5,147)</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(4,874)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Property and equipment, net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12,343</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12,577</w:t>
            </w:r>
          </w:p>
        </w:tc>
        <w:tc>
          <w:tcPr>
            <w:tcW w:w="19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Deferred tax assets, net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70</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61</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Other assets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842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923</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60"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Total assets</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628"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15,167</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60"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796"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15,642</w:t>
            </w:r>
          </w:p>
        </w:tc>
        <w:tc>
          <w:tcPr>
            <w:tcW w:w="193"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rFonts w:ascii="Arial Narrow" w:hAnsi="Arial Narrow"/>
                <w:b/>
                <w:sz w:val="19"/>
              </w:rPr>
            </w:pPr>
            <w:r>
              <w:rPr>
                <w:rFonts w:ascii="Arial Narrow" w:hAnsi="Arial Narrow"/>
                <w:b/>
                <w:sz w:val="19"/>
              </w:rPr>
              <w:t>Liabilities and equity</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Accounts payable</w:t>
            </w:r>
          </w:p>
        </w:tc>
        <w:tc>
          <w:tcPr>
            <w:tcW w:w="286" w:type="dxa"/>
            <w:tcBorders/>
            <w:shd w:fill="CEDBE0" w:val="clear"/>
            <w:vAlign w:val="center"/>
          </w:tcPr>
          <w:p>
            <w:pPr>
              <w:pStyle w:val="TableContents"/>
              <w:bidi w:val="0"/>
              <w:spacing w:before="0" w:after="0"/>
              <w:ind w:left="0" w:right="0" w:hanging="0"/>
              <w:jc w:val="both"/>
              <w:rPr/>
            </w:pPr>
            <w:r>
              <w:rPr/>
              <w:t> </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283</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242</w:t>
            </w:r>
          </w:p>
        </w:tc>
        <w:tc>
          <w:tcPr>
            <w:tcW w:w="193" w:type="dxa"/>
            <w:tcBorders/>
            <w:shd w:fill="CEDBE0" w:val="clear"/>
            <w:vAlign w:val="center"/>
          </w:tcPr>
          <w:p>
            <w:pPr>
              <w:pStyle w:val="TableContents"/>
              <w:bidi w:val="0"/>
              <w:spacing w:before="0" w:after="0"/>
              <w:ind w:left="0" w:right="0" w:hanging="0"/>
              <w:jc w:val="both"/>
              <w:rPr/>
            </w:pPr>
            <w:r>
              <w:rPr/>
              <w:t>​</w:t>
            </w:r>
          </w:p>
        </w:tc>
      </w:tr>
      <w:tr>
        <w:trPr/>
        <w:tc>
          <w:tcPr>
            <w:tcW w:w="7560" w:type="dxa"/>
            <w:tcBorders/>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Accrued income taxes</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628"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9</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both"/>
              <w:rPr/>
            </w:pPr>
            <w:r>
              <w:rPr/>
              <w:t>​</w:t>
            </w:r>
          </w:p>
        </w:tc>
        <w:tc>
          <w:tcPr>
            <w:tcW w:w="796"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22</w:t>
            </w:r>
          </w:p>
        </w:tc>
        <w:tc>
          <w:tcPr>
            <w:tcW w:w="193" w:type="dxa"/>
            <w:tcBorders/>
            <w:vAlign w:val="center"/>
          </w:tcPr>
          <w:p>
            <w:pPr>
              <w:pStyle w:val="TableContents"/>
              <w:bidi w:val="0"/>
              <w:spacing w:before="0" w:after="0"/>
              <w:ind w:left="0" w:right="0" w:hanging="0"/>
              <w:jc w:val="both"/>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Debt due within one year</w:t>
            </w:r>
          </w:p>
        </w:tc>
        <w:tc>
          <w:tcPr>
            <w:tcW w:w="286" w:type="dxa"/>
            <w:tcBorders/>
            <w:shd w:fill="CEDBE0" w:val="clear"/>
            <w:vAlign w:val="center"/>
          </w:tcPr>
          <w:p>
            <w:pPr>
              <w:pStyle w:val="TableContents"/>
              <w:bidi w:val="0"/>
              <w:spacing w:before="0" w:after="0"/>
              <w:ind w:left="0" w:right="0" w:hanging="0"/>
              <w:jc w:val="both"/>
              <w:rPr/>
            </w:pPr>
            <w:r>
              <w:rPr/>
              <w:t>​</w:t>
            </w:r>
          </w:p>
        </w:tc>
        <w:tc>
          <w:tcPr>
            <w:tcW w:w="196" w:type="dxa"/>
            <w:tcBorders/>
            <w:shd w:fill="CEDBE0" w:val="clear"/>
            <w:vAlign w:val="center"/>
          </w:tcPr>
          <w:p>
            <w:pPr>
              <w:pStyle w:val="TableContents"/>
              <w:bidi w:val="0"/>
              <w:spacing w:before="0" w:after="0"/>
              <w:ind w:left="0" w:right="0" w:hanging="0"/>
              <w:jc w:val="both"/>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397</w:t>
            </w:r>
          </w:p>
        </w:tc>
        <w:tc>
          <w:tcPr>
            <w:tcW w:w="286" w:type="dxa"/>
            <w:tcBorders/>
            <w:shd w:fill="CEDBE0" w:val="clear"/>
            <w:vAlign w:val="center"/>
          </w:tcPr>
          <w:p>
            <w:pPr>
              <w:pStyle w:val="TableContents"/>
              <w:bidi w:val="0"/>
              <w:spacing w:before="0" w:after="0"/>
              <w:ind w:left="0" w:right="0" w:hanging="0"/>
              <w:jc w:val="both"/>
              <w:rPr/>
            </w:pPr>
            <w:r>
              <w:rPr/>
              <w:t>​</w:t>
            </w:r>
          </w:p>
        </w:tc>
        <w:tc>
          <w:tcPr>
            <w:tcW w:w="260" w:type="dxa"/>
            <w:tcBorders/>
            <w:shd w:fill="CEDBE0" w:val="clear"/>
            <w:vAlign w:val="center"/>
          </w:tcPr>
          <w:p>
            <w:pPr>
              <w:pStyle w:val="TableContents"/>
              <w:bidi w:val="0"/>
              <w:spacing w:before="0" w:after="0"/>
              <w:ind w:left="0" w:right="0" w:hanging="0"/>
              <w:jc w:val="both"/>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445</w:t>
            </w:r>
          </w:p>
        </w:tc>
        <w:tc>
          <w:tcPr>
            <w:tcW w:w="193" w:type="dxa"/>
            <w:tcBorders/>
            <w:shd w:fill="CEDBE0" w:val="clear"/>
            <w:vAlign w:val="center"/>
          </w:tcPr>
          <w:p>
            <w:pPr>
              <w:pStyle w:val="TableContents"/>
              <w:bidi w:val="0"/>
              <w:spacing w:before="0" w:after="0"/>
              <w:ind w:left="0" w:right="0" w:hanging="0"/>
              <w:jc w:val="both"/>
              <w:rPr/>
            </w:pPr>
            <w:r>
              <w:rPr/>
              <w:t>​</w:t>
            </w:r>
          </w:p>
        </w:tc>
      </w:tr>
      <w:tr>
        <w:trPr/>
        <w:tc>
          <w:tcPr>
            <w:tcW w:w="7560" w:type="dxa"/>
            <w:tcBorders>
              <w:bottom w:val="single" w:sz="2" w:space="0" w:color="000000"/>
            </w:tcBorders>
            <w:tcMar>
              <w:bottom w:w="28" w:type="dxa"/>
            </w:tcM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Other current liabilities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514</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627</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Total current liabilities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628"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1,203</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260"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c>
          <w:tcPr>
            <w:tcW w:w="7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1,336</w:t>
            </w:r>
          </w:p>
        </w:tc>
        <w:tc>
          <w:tcPr>
            <w:tcW w:w="193"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pPr>
            <w:r>
              <w:rPr/>
              <w:t>​</w:t>
            </w:r>
          </w:p>
        </w:tc>
      </w:tr>
      <w:tr>
        <w:trPr/>
        <w:tc>
          <w:tcPr>
            <w:tcW w:w="7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Long-term debt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4,722</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5,212</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Deferred tax liabilities, net</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340</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404</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Other long-term liabilities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532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582</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Total long-term liabilities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5,594</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6,198</w:t>
            </w:r>
          </w:p>
        </w:tc>
        <w:tc>
          <w:tcPr>
            <w:tcW w:w="19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Commitments and contingencies</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pPr>
            <w:r>
              <w:rPr/>
              <w:t>​</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pPr>
            <w:r>
              <w:rPr/>
              <w:t>​</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9"/>
              </w:rPr>
              <w:t>Shares, $0.10</w:t>
            </w:r>
            <w:r>
              <w:rPr>
                <w:rFonts w:ascii="Arial Narrow" w:hAnsi="Arial Narrow"/>
                <w:sz w:val="18"/>
              </w:rPr>
              <w:t xml:space="preserve"> </w:t>
            </w:r>
            <w:r>
              <w:rPr>
                <w:rFonts w:ascii="Arial Narrow" w:hAnsi="Arial Narrow"/>
                <w:sz w:val="19"/>
              </w:rPr>
              <w:t>par value,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9"/>
              </w:rPr>
              <w:t>1,445</w:t>
            </w:r>
            <w:r>
              <w:rPr>
                <w:rFonts w:ascii="Arial Narrow" w:hAnsi="Arial Narrow"/>
                <w:sz w:val="18"/>
              </w:rPr>
              <w:t xml:space="preserve"> </w:t>
            </w:r>
            <w:r>
              <w:rPr>
                <w:rFonts w:ascii="Arial Narrow" w:hAnsi="Arial Narrow"/>
                <w:sz w:val="19"/>
              </w:rPr>
              <w:t>authorized, 141</w:t>
            </w:r>
            <w:r>
              <w:rPr>
                <w:rFonts w:ascii="Arial Narrow" w:hAnsi="Arial Narrow"/>
                <w:sz w:val="18"/>
              </w:rPr>
              <w:t xml:space="preserve"> </w:t>
            </w:r>
            <w:r>
              <w:rPr>
                <w:rFonts w:ascii="Arial Narrow" w:hAnsi="Arial Narrow"/>
                <w:sz w:val="19"/>
              </w:rPr>
              <w:t>conditionally authorized, 1,304</w:t>
            </w:r>
            <w:r>
              <w:rPr>
                <w:rFonts w:ascii="Arial Narrow" w:hAnsi="Arial Narrow"/>
                <w:sz w:val="18"/>
              </w:rPr>
              <w:t xml:space="preserve"> </w:t>
            </w:r>
            <w:r>
              <w:rPr>
                <w:rFonts w:ascii="Arial Narrow" w:hAnsi="Arial Narrow"/>
                <w:sz w:val="19"/>
              </w:rPr>
              <w:t>issued and 1,117</w:t>
            </w:r>
            <w:r>
              <w:rPr>
                <w:rFonts w:ascii="Arial Narrow" w:hAnsi="Arial Narrow"/>
                <w:sz w:val="18"/>
              </w:rPr>
              <w:t xml:space="preserve"> </w:t>
            </w:r>
            <w:r>
              <w:rPr>
                <w:rFonts w:ascii="Arial Narrow" w:hAnsi="Arial Narrow"/>
                <w:sz w:val="19"/>
              </w:rPr>
              <w:t>outstanding at June 30, 2026 and</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9"/>
              </w:rPr>
              <w:t>1,204</w:t>
            </w:r>
            <w:r>
              <w:rPr>
                <w:rFonts w:ascii="Arial Narrow" w:hAnsi="Arial Narrow"/>
                <w:sz w:val="18"/>
              </w:rPr>
              <w:t xml:space="preserve"> </w:t>
            </w:r>
            <w:r>
              <w:rPr>
                <w:rFonts w:ascii="Arial Narrow" w:hAnsi="Arial Narrow"/>
                <w:sz w:val="19"/>
              </w:rPr>
              <w:t>authorized, 141</w:t>
            </w:r>
            <w:r>
              <w:rPr>
                <w:rFonts w:ascii="Arial Narrow" w:hAnsi="Arial Narrow"/>
                <w:sz w:val="18"/>
              </w:rPr>
              <w:t xml:space="preserve"> </w:t>
            </w:r>
            <w:r>
              <w:rPr>
                <w:rFonts w:ascii="Arial Narrow" w:hAnsi="Arial Narrow"/>
                <w:sz w:val="19"/>
              </w:rPr>
              <w:t>conditionally authorized, 1,204</w:t>
            </w:r>
            <w:r>
              <w:rPr>
                <w:rFonts w:ascii="Arial Narrow" w:hAnsi="Arial Narrow"/>
                <w:sz w:val="18"/>
              </w:rPr>
              <w:t xml:space="preserve"> </w:t>
            </w:r>
            <w:r>
              <w:rPr>
                <w:rFonts w:ascii="Arial Narrow" w:hAnsi="Arial Narrow"/>
                <w:sz w:val="19"/>
              </w:rPr>
              <w:t>issued and 1,102</w:t>
            </w:r>
            <w:r>
              <w:rPr>
                <w:rFonts w:ascii="Arial Narrow" w:hAnsi="Arial Narrow"/>
                <w:sz w:val="18"/>
              </w:rPr>
              <w:t xml:space="preserve"> </w:t>
            </w:r>
            <w:r>
              <w:rPr>
                <w:rFonts w:ascii="Arial Narrow" w:hAnsi="Arial Narrow"/>
                <w:sz w:val="19"/>
              </w:rPr>
              <w:t>outstanding at December 31, 2025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112</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110</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shd w:fill="CEDBE0" w:val="cle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Additional paid-in capital</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28"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15,617</w:t>
            </w:r>
          </w:p>
        </w:tc>
        <w:tc>
          <w:tcPr>
            <w:tcW w:w="286" w:type="dxa"/>
            <w:tcBorders/>
            <w:shd w:fill="CEDBE0" w:val="clear"/>
            <w:vAlign w:val="center"/>
          </w:tcPr>
          <w:p>
            <w:pPr>
              <w:pStyle w:val="TableContents"/>
              <w:bidi w:val="0"/>
              <w:spacing w:before="0" w:after="0"/>
              <w:ind w:left="0" w:right="0" w:hanging="0"/>
              <w:jc w:val="left"/>
              <w:rPr/>
            </w:pPr>
            <w:r>
              <w:rPr/>
              <w:t>​</w:t>
            </w:r>
          </w:p>
        </w:tc>
        <w:tc>
          <w:tcPr>
            <w:tcW w:w="260" w:type="dxa"/>
            <w:tcBorders/>
            <w:shd w:fill="CEDBE0" w:val="clear"/>
            <w:vAlign w:val="center"/>
          </w:tcPr>
          <w:p>
            <w:pPr>
              <w:pStyle w:val="TableContents"/>
              <w:bidi w:val="0"/>
              <w:spacing w:before="0" w:after="0"/>
              <w:ind w:left="0" w:right="0" w:hanging="0"/>
              <w:jc w:val="left"/>
              <w:rPr/>
            </w:pPr>
            <w:r>
              <w:rPr/>
              <w:t>​</w:t>
            </w:r>
          </w:p>
        </w:tc>
        <w:tc>
          <w:tcPr>
            <w:tcW w:w="796" w:type="dxa"/>
            <w:tcBorders/>
            <w:shd w:fill="CEDBE0" w:val="cle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15,604</w:t>
            </w:r>
          </w:p>
        </w:tc>
        <w:tc>
          <w:tcPr>
            <w:tcW w:w="193" w:type="dxa"/>
            <w:tcBorders/>
            <w:shd w:fill="CEDBE0" w:val="clear"/>
            <w:vAlign w:val="center"/>
          </w:tcPr>
          <w:p>
            <w:pPr>
              <w:pStyle w:val="TableContents"/>
              <w:bidi w:val="0"/>
              <w:spacing w:before="0" w:after="0"/>
              <w:ind w:left="0" w:right="0" w:hanging="0"/>
              <w:jc w:val="left"/>
              <w:rPr/>
            </w:pPr>
            <w:r>
              <w:rPr/>
              <w:t>​</w:t>
            </w:r>
          </w:p>
        </w:tc>
      </w:tr>
      <w:tr>
        <w:trPr/>
        <w:tc>
          <w:tcPr>
            <w:tcW w:w="7560" w:type="dxa"/>
            <w:tcBorders/>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Accumulated deficit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(7,219)</w:t>
            </w:r>
          </w:p>
        </w:tc>
        <w:tc>
          <w:tcPr>
            <w:tcW w:w="28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(7,460)</w:t>
            </w:r>
          </w:p>
        </w:tc>
        <w:tc>
          <w:tcPr>
            <w:tcW w:w="193" w:type="dxa"/>
            <w:tcBorders/>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before="0" w:after="0"/>
              <w:ind w:left="0" w:right="0" w:hanging="0"/>
              <w:jc w:val="both"/>
              <w:rPr>
                <w:rFonts w:ascii="Arial Narrow" w:hAnsi="Arial Narrow"/>
                <w:sz w:val="19"/>
              </w:rPr>
            </w:pPr>
            <w:r>
              <w:rPr>
                <w:rFonts w:ascii="Arial Narrow" w:hAnsi="Arial Narrow"/>
                <w:sz w:val="19"/>
              </w:rPr>
              <w:t>Accumulated other comprehensive loss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(140)</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(146)</w:t>
            </w:r>
          </w:p>
        </w:tc>
        <w:tc>
          <w:tcPr>
            <w:tcW w:w="193"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Total equity</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8,370</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8,108</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560"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Total liabilities and equity</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628"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15,167</w:t>
            </w:r>
          </w:p>
        </w:tc>
        <w:tc>
          <w:tcPr>
            <w:tcW w:w="28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60"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9"/>
              </w:rPr>
            </w:pPr>
            <w:r>
              <w:rPr>
                <w:rFonts w:ascii="Arial Narrow" w:hAnsi="Arial Narrow"/>
                <w:sz w:val="19"/>
              </w:rPr>
              <w:t>$</w:t>
            </w:r>
          </w:p>
        </w:tc>
        <w:tc>
          <w:tcPr>
            <w:tcW w:w="796"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9"/>
              </w:rPr>
            </w:pPr>
            <w:r>
              <w:rPr>
                <w:rFonts w:ascii="Arial Narrow" w:hAnsi="Arial Narrow"/>
                <w:sz w:val="19"/>
              </w:rPr>
              <w:t>15,642</w:t>
            </w:r>
          </w:p>
        </w:tc>
        <w:tc>
          <w:tcPr>
            <w:tcW w:w="193"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- 3 -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303" w:name="_faefcee4_781d_4106_9a4b_cab3da806c8b"/>
      <w:bookmarkEnd w:id="303"/>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304" w:name="EQUITY_473348"/>
      <w:bookmarkEnd w:id="304"/>
      <w:r>
        <w:rPr>
          <w:rFonts w:ascii="Arial Narrow" w:hAnsi="Arial Narrow"/>
          <w:b/>
          <w:caps/>
          <w:sz w:val="22"/>
        </w:rPr>
        <w:t>CONDENSED CONSOLIDATED STATEMENTS OF EQUITY</w:t>
      </w:r>
    </w:p>
    <w:p>
      <w:pPr>
        <w:pStyle w:val="TextBody"/>
        <w:bidi w:val="0"/>
        <w:spacing w:before="0" w:after="0"/>
        <w:ind w:left="0" w:right="0" w:hanging="0"/>
        <w:jc w:val="center"/>
        <w:rPr>
          <w:rFonts w:ascii="Arial Narrow" w:hAnsi="Arial Narrow"/>
          <w:sz w:val="20"/>
        </w:rPr>
      </w:pPr>
      <w:r>
        <w:rPr>
          <w:rFonts w:ascii="Arial Narrow" w:hAnsi="Arial Narrow"/>
          <w:sz w:val="20"/>
        </w:rPr>
        <w:t>(in millions)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5" w:name="Tc_N6_xVMY-pk-BGLg1OxFxAw_41_11"/>
      <w:bookmarkStart w:id="306" w:name="Tc_UbSI0yZWkkWYkgljbo178g_41_8"/>
      <w:bookmarkStart w:id="307" w:name="Tc_iAuzoCGUWUChAdqF2ihHTg_41_5"/>
      <w:bookmarkStart w:id="308" w:name="Tc_rBHSdBDJeECAxKvCutdp-w_41_2"/>
      <w:bookmarkStart w:id="309" w:name="Tc_C8Of1pIhQkWoeE6oCZdmgQ_41_0"/>
      <w:bookmarkStart w:id="310" w:name="Tc_wv7lRCf-u0eSZ5ACnv6Ixg_40_9"/>
      <w:bookmarkStart w:id="311" w:name="Tc_AJ1PI_TftEay8pQih1bCng_40_3"/>
      <w:bookmarkStart w:id="312" w:name="Tc_ZIghUUmwvUShFWqo26yyHA_40_0"/>
      <w:bookmarkStart w:id="313" w:name="Tc_vazpDBxM-EWA8nOMrlq9bw_39_0"/>
      <w:bookmarkStart w:id="314" w:name="Tc_FW855WCxZUyUfTHZwoOIIw_38_0"/>
      <w:bookmarkStart w:id="315" w:name="Tc_sGqVjSgm3UCNmxci_42rFw_37_11"/>
      <w:bookmarkStart w:id="316" w:name="Tc_rQz2zcpnPEamsnEZeycd7g_37_8"/>
      <w:bookmarkStart w:id="317" w:name="Tc_Gy5cODgCjkK6BJ26mOHlpw_37_5"/>
      <w:bookmarkStart w:id="318" w:name="Tc_XxXB3kDVSEu63huH7Vkg2g_37_2"/>
      <w:bookmarkStart w:id="319" w:name="Tc_1DaeIUSFFk2BSt8Q90hw9g_37_0"/>
      <w:bookmarkStart w:id="320" w:name="Tc_CCR7Wa1dFk-zn0RtCoA1ZQ_36_0"/>
      <w:bookmarkStart w:id="321" w:name="Tc_vyxtmJyAjUuiXSQ_eVURtg_34_11"/>
      <w:bookmarkStart w:id="322" w:name="Tc_jhXQiM2AgEyWrsuVL2u9_w_34_9"/>
      <w:bookmarkStart w:id="323" w:name="Tc_V-_Wcnfz_kWrOh1BpPbKDA_34_8"/>
      <w:bookmarkStart w:id="324" w:name="Tc_5BEiSzL0vEK9uOMp5Dd5qw_34_5"/>
      <w:bookmarkStart w:id="325" w:name="Tc_5Mdrj1I9X020l6RgjDOZFw_34_3"/>
      <w:bookmarkStart w:id="326" w:name="Tc_aYTDq8a_Gku3nuew5XJdvQ_34_2"/>
      <w:bookmarkStart w:id="327" w:name="Tc_MDtfdiZfKU6n-H-4LIKU6w_34_0"/>
      <w:bookmarkStart w:id="328" w:name="Tc_6Br3813JUE-gk2b7FfOIaQ_33_11"/>
      <w:bookmarkStart w:id="329" w:name="Tc_PQh7AU8EXkm5SJrUY4r6cg_33_9"/>
      <w:bookmarkStart w:id="330" w:name="Tc_ucZToE-MUUOjZVbLlq9tjQ_33_8"/>
      <w:bookmarkStart w:id="331" w:name="Tc_XW-tihU9z0-fTzBpKircHQ_33_5"/>
      <w:bookmarkStart w:id="332" w:name="Tc_MtOOMySMkk-E1U9KWUxf1g_33_3"/>
      <w:bookmarkStart w:id="333" w:name="Tc_89dkqCbtgki0cC3hKgmmKg_33_2"/>
      <w:bookmarkStart w:id="334" w:name="Tc_fnRK7JZAyUyH5Nnid0ARpw_33_0"/>
      <w:bookmarkStart w:id="335" w:name="Tc_5MC3wB41M0CeMTJllfOk7w_32_0"/>
      <w:bookmarkStart w:id="336" w:name="Tc_ytC31bqsHEKwLBp3L6yOVg_30_11"/>
      <w:bookmarkStart w:id="337" w:name="Tc_zO2ABbUnok2KfVw95TmNfQ_30_8"/>
      <w:bookmarkStart w:id="338" w:name="Tc_guxZvgOKN0K6HVnW2bN8Vg_30_5"/>
      <w:bookmarkStart w:id="339" w:name="Tc_VQPklbSBsE-8tnLOjhToLw_30_2"/>
      <w:bookmarkStart w:id="340" w:name="Tc_RUM-BXmdOUyPhuwaN9LlPg_30_0"/>
      <w:bookmarkStart w:id="341" w:name="Tc_udhoXkvD1UC8QX94qGJH0Q_29_9"/>
      <w:bookmarkStart w:id="342" w:name="Tc_g14upmTMAk6TYCSypdsUfQ_29_3"/>
      <w:bookmarkStart w:id="343" w:name="Tc_jwPXFYz3SE6e7yNHmDdtpA_29_0"/>
      <w:bookmarkStart w:id="344" w:name="Tc_3J1BCESsbkKQ6ATwx5rlHQ_28_0"/>
      <w:bookmarkStart w:id="345" w:name="Tc_Jn9BHU5JhE6WAYSsetLQuA_27_0"/>
      <w:bookmarkStart w:id="346" w:name="Tc_2bNikdCPtUyZJRKQtYgcqA_26_11"/>
      <w:bookmarkStart w:id="347" w:name="Tc_PmjweytwLEaNCf7KsqITGw_26_8"/>
      <w:bookmarkStart w:id="348" w:name="Tc_2YK4_hiHhkC0y0o03DvZ-Q_26_5"/>
      <w:bookmarkStart w:id="349" w:name="Tc_f5QDd9CJgEi_GLfU1WxNiQ_26_2"/>
      <w:bookmarkStart w:id="350" w:name="Tc_5wToJJzdJkaAnjRfYrLmvw_26_0"/>
      <w:bookmarkStart w:id="351" w:name="Tc_4dLdAqLBvEqgOyamuLaG-Q_25_0"/>
      <w:bookmarkStart w:id="352" w:name="Tc_cfnME6FOokmuzieZugpO_w_23_11"/>
      <w:bookmarkStart w:id="353" w:name="Tc_OcHBA3AlDkyM_4R1oDrwDw_23_8"/>
      <w:bookmarkStart w:id="354" w:name="Tc_IBR7MEOLF0KmKALDNZEVgA_23_5"/>
      <w:bookmarkStart w:id="355" w:name="Tc_FkyLtH3-o0WYA1SjEMSREQ_23_2"/>
      <w:bookmarkStart w:id="356" w:name="Tc_0-G1INTp5EefIEjpzn7Plw_23_0"/>
      <w:bookmarkStart w:id="357" w:name="Tc_BwZgu09IX0uGyfDdfZqFew_22_6"/>
      <w:bookmarkStart w:id="358" w:name="Tc_X-iyeVzRY0yVIUf67rPSzw_22_0"/>
      <w:bookmarkStart w:id="359" w:name="Tc_cek8dr5PsUCKzvIrYeDS5A_21_11"/>
      <w:bookmarkStart w:id="360" w:name="Tc_WRV2UTxMmEanbTNqIlskGA_21_8"/>
      <w:bookmarkStart w:id="361" w:name="Tc_l62DA1x5NEqkTdt3JzwRyQ_21_5"/>
      <w:bookmarkStart w:id="362" w:name="Tc_tGBZmhT60EydWhiDmWfqsw_21_2"/>
      <w:bookmarkStart w:id="363" w:name="Tc_E8N8JZD4pESYzIbd1Qc1lg_21_0"/>
      <w:bookmarkStart w:id="364" w:name="Tc_C44UYlQ2Z0uQ6OmY_GhitQ_20_0"/>
      <w:bookmarkStart w:id="365" w:name="Tc_m7o0SdF9EkOXwDajdZttlg_18_11"/>
      <w:bookmarkStart w:id="366" w:name="Tc_WpKUhz4u7ESF158X9xIYZQ_18_8"/>
      <w:bookmarkStart w:id="367" w:name="Tc_IlPfZvS2Xk6SpmlxcBVNSg_18_5"/>
      <w:bookmarkStart w:id="368" w:name="Tc_nMZSJM5zrkCGp_aEfleL9g_18_2"/>
      <w:bookmarkStart w:id="369" w:name="Tc_51fwdsXZGUO3BKGGR-8tJQ_18_0"/>
      <w:bookmarkStart w:id="370" w:name="Tc_Nymlrud2FEylLPK1IFu-QA_17_0"/>
      <w:bookmarkStart w:id="371" w:name="Tc_zTyC0EBOkEygr3JDAHp0TQ_16_11"/>
      <w:bookmarkStart w:id="372" w:name="Tc_zOVyJicewU2IPppF_a164g_16_8"/>
      <w:bookmarkStart w:id="373" w:name="Tc_dVrIlFoayUKog3ozioMSDw_16_5"/>
      <w:bookmarkStart w:id="374" w:name="Tc_8_CuKCuHhkChI8xO258N1A_16_2"/>
      <w:bookmarkStart w:id="375" w:name="Tc_6dnlpjTmCEuHDRRu48FLrg_16_0"/>
      <w:bookmarkStart w:id="376" w:name="Tc_dP4ULu5x7kKIBomiGYvK5Q_15_0"/>
      <w:bookmarkStart w:id="377" w:name="Tc_bgEYP-VtE0GPpcqgacgYTA_13_11"/>
      <w:bookmarkStart w:id="378" w:name="Tc_Pp_UyFngE0KdMnJEa25jBg_13_8"/>
      <w:bookmarkStart w:id="379" w:name="Tc_py0hFOcyFUGI8kRstUXmHA_13_5"/>
      <w:bookmarkStart w:id="380" w:name="Tc_plEq13wVXESYMDq0UqL_SA_13_2"/>
      <w:bookmarkStart w:id="381" w:name="Tc_rpIdCO9bv0icKsaRjqKH0g_13_0"/>
      <w:bookmarkStart w:id="382" w:name="Tc_h0e2-4G2oEqIdly9KlIFyw_12_0"/>
      <w:bookmarkStart w:id="383" w:name="Tc_L0pzNPtteEypAIL63nTKeQ_11_0"/>
      <w:bookmarkStart w:id="384" w:name="Tc_c8ozOXp8qEO5HrqqcFIS_w_10_11"/>
      <w:bookmarkStart w:id="385" w:name="Tc_7hUsp9wWYEOnfoVOL40OBw_10_8"/>
      <w:bookmarkStart w:id="386" w:name="Tc_ll6DOPkauEeUZnIhhwAX3g_10_5"/>
      <w:bookmarkStart w:id="387" w:name="Tc_Rjl4mkrQZEWrRSZnzDVExA_10_2"/>
      <w:bookmarkStart w:id="388" w:name="Tc_209lz4x4TkeGj0x4cmccoQ_10_0"/>
      <w:bookmarkStart w:id="389" w:name="Tc_CD0XHWYuXEallEqki9AI8A_9_0"/>
      <w:bookmarkStart w:id="390" w:name="Tc_I0RAzGlgsUKOdLUOd3I6iw_7_11"/>
      <w:bookmarkStart w:id="391" w:name="Tc_yYG182cJd0OFNPXEgY7lqQ_7_8"/>
      <w:bookmarkStart w:id="392" w:name="Tc_uwAHtMZQbUKIfLX5-hE6kQ_7_5"/>
      <w:bookmarkStart w:id="393" w:name="Tc_w4pR_DQZa0-7Cmdt-ZeX_A_7_2"/>
      <w:bookmarkStart w:id="394" w:name="Tc_lGagi9oXZ0mExb8bcGQy6A_7_0"/>
      <w:bookmarkStart w:id="395" w:name="Tc_k8QU_sLV0kaB6DNTMyhYsA_6_0"/>
      <w:bookmarkStart w:id="396" w:name="Tc_ueh7J9AZ-Eq_JRPGSwI9yA_5_11"/>
      <w:bookmarkStart w:id="397" w:name="Tc_qvZX9ziIDkWLsjaw41j-QA_5_8"/>
      <w:bookmarkStart w:id="398" w:name="Tc_2MaPk530SU-fBHnZRsnjwg_5_5"/>
      <w:bookmarkStart w:id="399" w:name="Tc_Xvw4Smp0NES4fbTxXls4lg_5_2"/>
      <w:bookmarkStart w:id="400" w:name="Tc_cymfCblAy0u9yz-CDTDaSQ_5_0"/>
      <w:bookmarkStart w:id="401" w:name="Tc_kmEVLRMx7UWlgVJj8VILpQ_4_0"/>
      <w:bookmarkStart w:id="402" w:name="Tc_ysoE927Gdk-F112WWbKVsg_3_11"/>
      <w:bookmarkStart w:id="403" w:name="Tc_iQmqWs9zt0-QAzH6CcIf1w_3_8"/>
      <w:bookmarkStart w:id="404" w:name="Tc_inS6l6xS00KmTTJ1a9gJvA_3_5"/>
      <w:bookmarkStart w:id="405" w:name="Tc_tWj3Ybrvp02LO9Hp2_OoNQ_3_2"/>
      <w:bookmarkStart w:id="406" w:name="Tc_lEEMmQIZqECbKzJGV59n6A_2_8"/>
      <w:bookmarkStart w:id="407" w:name="Tc_uIGsgQ0kREiACNqyoNNh-w_2_2"/>
      <w:bookmarkStart w:id="408" w:name="Tc_yrlcyls3OEGlvYYj4_F3cQ_1_8"/>
      <w:bookmarkStart w:id="409" w:name="Tc_tXpDI5J79EmThXB5aJRvAw_1_2"/>
      <w:bookmarkStart w:id="410" w:name="_32035dbd_60c5_4ac6_b984_cb9162b2bfa2"/>
      <w:bookmarkStart w:id="411" w:name="Tc_N6_xVMY-pk-BGLg1OxFxAw_41_11"/>
      <w:bookmarkStart w:id="412" w:name="Tc_UbSI0yZWkkWYkgljbo178g_41_8"/>
      <w:bookmarkStart w:id="413" w:name="Tc_iAuzoCGUWUChAdqF2ihHTg_41_5"/>
      <w:bookmarkStart w:id="414" w:name="Tc_rBHSdBDJeECAxKvCutdp-w_41_2"/>
      <w:bookmarkStart w:id="415" w:name="Tc_C8Of1pIhQkWoeE6oCZdmgQ_41_0"/>
      <w:bookmarkStart w:id="416" w:name="Tc_wv7lRCf-u0eSZ5ACnv6Ixg_40_9"/>
      <w:bookmarkStart w:id="417" w:name="Tc_AJ1PI_TftEay8pQih1bCng_40_3"/>
      <w:bookmarkStart w:id="418" w:name="Tc_ZIghUUmwvUShFWqo26yyHA_40_0"/>
      <w:bookmarkStart w:id="419" w:name="Tc_vazpDBxM-EWA8nOMrlq9bw_39_0"/>
      <w:bookmarkStart w:id="420" w:name="Tc_FW855WCxZUyUfTHZwoOIIw_38_0"/>
      <w:bookmarkStart w:id="421" w:name="Tc_sGqVjSgm3UCNmxci_42rFw_37_11"/>
      <w:bookmarkStart w:id="422" w:name="Tc_rQz2zcpnPEamsnEZeycd7g_37_8"/>
      <w:bookmarkStart w:id="423" w:name="Tc_Gy5cODgCjkK6BJ26mOHlpw_37_5"/>
      <w:bookmarkStart w:id="424" w:name="Tc_XxXB3kDVSEu63huH7Vkg2g_37_2"/>
      <w:bookmarkStart w:id="425" w:name="Tc_1DaeIUSFFk2BSt8Q90hw9g_37_0"/>
      <w:bookmarkStart w:id="426" w:name="Tc_CCR7Wa1dFk-zn0RtCoA1ZQ_36_0"/>
      <w:bookmarkStart w:id="427" w:name="Tc_vyxtmJyAjUuiXSQ_eVURtg_34_11"/>
      <w:bookmarkStart w:id="428" w:name="Tc_jhXQiM2AgEyWrsuVL2u9_w_34_9"/>
      <w:bookmarkStart w:id="429" w:name="Tc_V-_Wcnfz_kWrOh1BpPbKDA_34_8"/>
      <w:bookmarkStart w:id="430" w:name="Tc_5BEiSzL0vEK9uOMp5Dd5qw_34_5"/>
      <w:bookmarkStart w:id="431" w:name="Tc_5Mdrj1I9X020l6RgjDOZFw_34_3"/>
      <w:bookmarkStart w:id="432" w:name="Tc_aYTDq8a_Gku3nuew5XJdvQ_34_2"/>
      <w:bookmarkStart w:id="433" w:name="Tc_MDtfdiZfKU6n-H-4LIKU6w_34_0"/>
      <w:bookmarkStart w:id="434" w:name="Tc_6Br3813JUE-gk2b7FfOIaQ_33_11"/>
      <w:bookmarkStart w:id="435" w:name="Tc_PQh7AU8EXkm5SJrUY4r6cg_33_9"/>
      <w:bookmarkStart w:id="436" w:name="Tc_ucZToE-MUUOjZVbLlq9tjQ_33_8"/>
      <w:bookmarkStart w:id="437" w:name="Tc_XW-tihU9z0-fTzBpKircHQ_33_5"/>
      <w:bookmarkStart w:id="438" w:name="Tc_MtOOMySMkk-E1U9KWUxf1g_33_3"/>
      <w:bookmarkStart w:id="439" w:name="Tc_89dkqCbtgki0cC3hKgmmKg_33_2"/>
      <w:bookmarkStart w:id="440" w:name="Tc_fnRK7JZAyUyH5Nnid0ARpw_33_0"/>
      <w:bookmarkStart w:id="441" w:name="Tc_5MC3wB41M0CeMTJllfOk7w_32_0"/>
      <w:bookmarkStart w:id="442" w:name="Tc_ytC31bqsHEKwLBp3L6yOVg_30_11"/>
      <w:bookmarkStart w:id="443" w:name="Tc_zO2ABbUnok2KfVw95TmNfQ_30_8"/>
      <w:bookmarkStart w:id="444" w:name="Tc_guxZvgOKN0K6HVnW2bN8Vg_30_5"/>
      <w:bookmarkStart w:id="445" w:name="Tc_VQPklbSBsE-8tnLOjhToLw_30_2"/>
      <w:bookmarkStart w:id="446" w:name="Tc_RUM-BXmdOUyPhuwaN9LlPg_30_0"/>
      <w:bookmarkStart w:id="447" w:name="Tc_udhoXkvD1UC8QX94qGJH0Q_29_9"/>
      <w:bookmarkStart w:id="448" w:name="Tc_g14upmTMAk6TYCSypdsUfQ_29_3"/>
      <w:bookmarkStart w:id="449" w:name="Tc_jwPXFYz3SE6e7yNHmDdtpA_29_0"/>
      <w:bookmarkStart w:id="450" w:name="Tc_3J1BCESsbkKQ6ATwx5rlHQ_28_0"/>
      <w:bookmarkStart w:id="451" w:name="Tc_Jn9BHU5JhE6WAYSsetLQuA_27_0"/>
      <w:bookmarkStart w:id="452" w:name="Tc_2bNikdCPtUyZJRKQtYgcqA_26_11"/>
      <w:bookmarkStart w:id="453" w:name="Tc_PmjweytwLEaNCf7KsqITGw_26_8"/>
      <w:bookmarkStart w:id="454" w:name="Tc_2YK4_hiHhkC0y0o03DvZ-Q_26_5"/>
      <w:bookmarkStart w:id="455" w:name="Tc_f5QDd9CJgEi_GLfU1WxNiQ_26_2"/>
      <w:bookmarkStart w:id="456" w:name="Tc_5wToJJzdJkaAnjRfYrLmvw_26_0"/>
      <w:bookmarkStart w:id="457" w:name="Tc_4dLdAqLBvEqgOyamuLaG-Q_25_0"/>
      <w:bookmarkStart w:id="458" w:name="Tc_cfnME6FOokmuzieZugpO_w_23_11"/>
      <w:bookmarkStart w:id="459" w:name="Tc_OcHBA3AlDkyM_4R1oDrwDw_23_8"/>
      <w:bookmarkStart w:id="460" w:name="Tc_IBR7MEOLF0KmKALDNZEVgA_23_5"/>
      <w:bookmarkStart w:id="461" w:name="Tc_FkyLtH3-o0WYA1SjEMSREQ_23_2"/>
      <w:bookmarkStart w:id="462" w:name="Tc_0-G1INTp5EefIEjpzn7Plw_23_0"/>
      <w:bookmarkStart w:id="463" w:name="Tc_BwZgu09IX0uGyfDdfZqFew_22_6"/>
      <w:bookmarkStart w:id="464" w:name="Tc_X-iyeVzRY0yVIUf67rPSzw_22_0"/>
      <w:bookmarkStart w:id="465" w:name="Tc_cek8dr5PsUCKzvIrYeDS5A_21_11"/>
      <w:bookmarkStart w:id="466" w:name="Tc_WRV2UTxMmEanbTNqIlskGA_21_8"/>
      <w:bookmarkStart w:id="467" w:name="Tc_l62DA1x5NEqkTdt3JzwRyQ_21_5"/>
      <w:bookmarkStart w:id="468" w:name="Tc_tGBZmhT60EydWhiDmWfqsw_21_2"/>
      <w:bookmarkStart w:id="469" w:name="Tc_E8N8JZD4pESYzIbd1Qc1lg_21_0"/>
      <w:bookmarkStart w:id="470" w:name="Tc_C44UYlQ2Z0uQ6OmY_GhitQ_20_0"/>
      <w:bookmarkStart w:id="471" w:name="Tc_m7o0SdF9EkOXwDajdZttlg_18_11"/>
      <w:bookmarkStart w:id="472" w:name="Tc_WpKUhz4u7ESF158X9xIYZQ_18_8"/>
      <w:bookmarkStart w:id="473" w:name="Tc_IlPfZvS2Xk6SpmlxcBVNSg_18_5"/>
      <w:bookmarkStart w:id="474" w:name="Tc_nMZSJM5zrkCGp_aEfleL9g_18_2"/>
      <w:bookmarkStart w:id="475" w:name="Tc_51fwdsXZGUO3BKGGR-8tJQ_18_0"/>
      <w:bookmarkStart w:id="476" w:name="Tc_Nymlrud2FEylLPK1IFu-QA_17_0"/>
      <w:bookmarkStart w:id="477" w:name="Tc_zTyC0EBOkEygr3JDAHp0TQ_16_11"/>
      <w:bookmarkStart w:id="478" w:name="Tc_zOVyJicewU2IPppF_a164g_16_8"/>
      <w:bookmarkStart w:id="479" w:name="Tc_dVrIlFoayUKog3ozioMSDw_16_5"/>
      <w:bookmarkStart w:id="480" w:name="Tc_8_CuKCuHhkChI8xO258N1A_16_2"/>
      <w:bookmarkStart w:id="481" w:name="Tc_6dnlpjTmCEuHDRRu48FLrg_16_0"/>
      <w:bookmarkStart w:id="482" w:name="Tc_dP4ULu5x7kKIBomiGYvK5Q_15_0"/>
      <w:bookmarkStart w:id="483" w:name="Tc_bgEYP-VtE0GPpcqgacgYTA_13_11"/>
      <w:bookmarkStart w:id="484" w:name="Tc_Pp_UyFngE0KdMnJEa25jBg_13_8"/>
      <w:bookmarkStart w:id="485" w:name="Tc_py0hFOcyFUGI8kRstUXmHA_13_5"/>
      <w:bookmarkStart w:id="486" w:name="Tc_plEq13wVXESYMDq0UqL_SA_13_2"/>
      <w:bookmarkStart w:id="487" w:name="Tc_rpIdCO9bv0icKsaRjqKH0g_13_0"/>
      <w:bookmarkStart w:id="488" w:name="Tc_h0e2-4G2oEqIdly9KlIFyw_12_0"/>
      <w:bookmarkStart w:id="489" w:name="Tc_L0pzNPtteEypAIL63nTKeQ_11_0"/>
      <w:bookmarkStart w:id="490" w:name="Tc_c8ozOXp8qEO5HrqqcFIS_w_10_11"/>
      <w:bookmarkStart w:id="491" w:name="Tc_7hUsp9wWYEOnfoVOL40OBw_10_8"/>
      <w:bookmarkStart w:id="492" w:name="Tc_ll6DOPkauEeUZnIhhwAX3g_10_5"/>
      <w:bookmarkStart w:id="493" w:name="Tc_Rjl4mkrQZEWrRSZnzDVExA_10_2"/>
      <w:bookmarkStart w:id="494" w:name="Tc_209lz4x4TkeGj0x4cmccoQ_10_0"/>
      <w:bookmarkStart w:id="495" w:name="Tc_CD0XHWYuXEallEqki9AI8A_9_0"/>
      <w:bookmarkStart w:id="496" w:name="Tc_I0RAzGlgsUKOdLUOd3I6iw_7_11"/>
      <w:bookmarkStart w:id="497" w:name="Tc_yYG182cJd0OFNPXEgY7lqQ_7_8"/>
      <w:bookmarkStart w:id="498" w:name="Tc_uwAHtMZQbUKIfLX5-hE6kQ_7_5"/>
      <w:bookmarkStart w:id="499" w:name="Tc_w4pR_DQZa0-7Cmdt-ZeX_A_7_2"/>
      <w:bookmarkStart w:id="500" w:name="Tc_lGagi9oXZ0mExb8bcGQy6A_7_0"/>
      <w:bookmarkStart w:id="501" w:name="Tc_k8QU_sLV0kaB6DNTMyhYsA_6_0"/>
      <w:bookmarkStart w:id="502" w:name="Tc_ueh7J9AZ-Eq_JRPGSwI9yA_5_11"/>
      <w:bookmarkStart w:id="503" w:name="Tc_qvZX9ziIDkWLsjaw41j-QA_5_8"/>
      <w:bookmarkStart w:id="504" w:name="Tc_2MaPk530SU-fBHnZRsnjwg_5_5"/>
      <w:bookmarkStart w:id="505" w:name="Tc_Xvw4Smp0NES4fbTxXls4lg_5_2"/>
      <w:bookmarkStart w:id="506" w:name="Tc_cymfCblAy0u9yz-CDTDaSQ_5_0"/>
      <w:bookmarkStart w:id="507" w:name="Tc_kmEVLRMx7UWlgVJj8VILpQ_4_0"/>
      <w:bookmarkStart w:id="508" w:name="Tc_ysoE927Gdk-F112WWbKVsg_3_11"/>
      <w:bookmarkStart w:id="509" w:name="Tc_iQmqWs9zt0-QAzH6CcIf1w_3_8"/>
      <w:bookmarkStart w:id="510" w:name="Tc_inS6l6xS00KmTTJ1a9gJvA_3_5"/>
      <w:bookmarkStart w:id="511" w:name="Tc_tWj3Ybrvp02LO9Hp2_OoNQ_3_2"/>
      <w:bookmarkStart w:id="512" w:name="Tc_lEEMmQIZqECbKzJGV59n6A_2_8"/>
      <w:bookmarkStart w:id="513" w:name="Tc_uIGsgQ0kREiACNqyoNNh-w_2_2"/>
      <w:bookmarkStart w:id="514" w:name="Tc_yrlcyls3OEGlvYYj4_F3cQ_1_8"/>
      <w:bookmarkStart w:id="515" w:name="Tc_tXpDI5J79EmThXB5aJRvAw_1_2"/>
      <w:bookmarkStart w:id="516" w:name="_32035dbd_60c5_4ac6_b984_cb9162b2bfa2"/>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tbl>
      <w:tblPr>
        <w:tblW w:w="8394" w:type="dxa"/>
        <w:jc w:val="left"/>
        <w:tblInd w:w="0" w:type="dxa"/>
        <w:tblLayout w:type="fixed"/>
        <w:tblCellMar>
          <w:top w:w="0" w:type="dxa"/>
          <w:left w:w="0" w:type="dxa"/>
          <w:bottom w:w="0" w:type="dxa"/>
          <w:right w:w="0" w:type="dxa"/>
        </w:tblCellMar>
      </w:tblPr>
      <w:tblGrid>
        <w:gridCol w:w="3751"/>
        <w:gridCol w:w="286"/>
        <w:gridCol w:w="196"/>
        <w:gridCol w:w="631"/>
        <w:gridCol w:w="286"/>
        <w:gridCol w:w="196"/>
        <w:gridCol w:w="631"/>
        <w:gridCol w:w="286"/>
        <w:gridCol w:w="196"/>
        <w:gridCol w:w="631"/>
        <w:gridCol w:w="286"/>
        <w:gridCol w:w="196"/>
        <w:gridCol w:w="631"/>
        <w:gridCol w:w="191"/>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381885" cy="175260"/>
                      <wp:effectExtent l="0" t="0" r="0" b="0"/>
                      <wp:wrapNone/>
                      <wp:docPr id="38" name="Frame37"/>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1610" cy="175260"/>
                      <wp:effectExtent l="0" t="0" r="0" b="0"/>
                      <wp:wrapNone/>
                      <wp:docPr id="39" name="Frame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00685" cy="175260"/>
                      <wp:effectExtent l="0" t="0" r="0" b="0"/>
                      <wp:wrapNone/>
                      <wp:docPr id="41" name="Frame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1610" cy="175260"/>
                      <wp:effectExtent l="0" t="0" r="0" b="0"/>
                      <wp:wrapNone/>
                      <wp:docPr id="42" name="Frame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00685" cy="175260"/>
                      <wp:effectExtent l="0" t="0" r="0" b="0"/>
                      <wp:wrapNone/>
                      <wp:docPr id="44" name="Frame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1610" cy="175260"/>
                      <wp:effectExtent l="0" t="0" r="0" b="0"/>
                      <wp:wrapNone/>
                      <wp:docPr id="45" name="Frame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00685" cy="175260"/>
                      <wp:effectExtent l="0" t="0" r="0" b="0"/>
                      <wp:wrapNone/>
                      <wp:docPr id="47" name="Frame4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1610" cy="175260"/>
                      <wp:effectExtent l="0" t="0" r="0" b="0"/>
                      <wp:wrapNone/>
                      <wp:docPr id="48" name="Frame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00685" cy="175260"/>
                      <wp:effectExtent l="0" t="0" r="0" b="0"/>
                      <wp:wrapNone/>
                      <wp:docPr id="50" name="Frame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1285" cy="175260"/>
                      <wp:effectExtent l="0" t="0" r="0" b="0"/>
                      <wp:wrapNone/>
                      <wp:docPr id="51" name="Frame5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Three months ended </w:t>
            </w:r>
          </w:p>
        </w:tc>
        <w:tc>
          <w:tcPr>
            <w:tcW w:w="286" w:type="dxa"/>
            <w:tcBorders/>
            <w:vAlign w:val="center"/>
          </w:tcPr>
          <w:p>
            <w:pPr>
              <w:pStyle w:val="TableContents"/>
              <w:bidi w:val="0"/>
              <w:spacing w:before="0" w:after="0"/>
              <w:ind w:left="0" w:right="0" w:hanging="0"/>
              <w:jc w:val="left"/>
              <w:rPr/>
            </w:pPr>
            <w:r>
              <w:rPr/>
              <w:t>​</w:t>
            </w:r>
          </w:p>
        </w:tc>
        <w:tc>
          <w:tcPr>
            <w:tcW w:w="1940"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Six months ended </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191"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left"/>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0" w:after="0"/>
              <w:ind w:left="0" w:right="0" w:hanging="0"/>
              <w:jc w:val="left"/>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0" w:after="0"/>
              <w:ind w:left="0" w:right="0" w:hanging="0"/>
              <w:jc w:val="left"/>
              <w:rPr/>
            </w:pPr>
            <w:r>
              <w:rPr/>
              <w:t>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Shares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beginning of period</w:t>
            </w:r>
          </w:p>
        </w:tc>
        <w:tc>
          <w:tcPr>
            <w:tcW w:w="286" w:type="dxa"/>
            <w:tcBorders/>
            <w:shd w:fill="CEDBE0" w:val="clear"/>
            <w:vAlign w:val="center"/>
          </w:tcPr>
          <w:p>
            <w:pPr>
              <w:pStyle w:val="TableContents"/>
              <w:bidi w:val="0"/>
              <w:spacing w:before="0" w:after="0"/>
              <w:ind w:left="0" w:right="0" w:hanging="0"/>
              <w:jc w:val="left"/>
              <w:rPr/>
            </w:pPr>
            <w:r>
              <w:rPr/>
              <w:t> </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111</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88</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110</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87</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Issuance of shares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112</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112</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90</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Additional paid-in capital</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15,611</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14,887</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15,604</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14,880</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Share-based compensation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Issuance of shares</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71</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70</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15,617</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14,966</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15,617</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14,966</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Accumulated deficit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(7,389)</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(4,624)</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(7,460)</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(4,545)</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170</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(938)</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241</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(1,017)</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(7,219)</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(5,562)</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(7,219)</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(5,562)</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Accumulated other comprehensive loss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(141)</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(141)</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(146)</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(138)</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comprehensive income (loss)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(141)</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(141)</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Total controlling interest shareholders’ equity</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8,192</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10,210</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8,108</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10,284</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Total comprehensive income (loss)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171</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(938)</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247</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(1,020)</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Share-based compensation</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Issuance of shares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8,370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9,353</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8,370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9,353</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Noncontrolling interest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 xml:space="preserve">Balance, beginning of period </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both"/>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Total equity</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beginning of period</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8,192</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10,211</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8,108</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10,285</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Total comprehensive income (loss)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171</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(938)</w:t>
            </w:r>
          </w:p>
        </w:tc>
        <w:tc>
          <w:tcPr>
            <w:tcW w:w="28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(1,020)</w:t>
            </w:r>
          </w:p>
        </w:tc>
        <w:tc>
          <w:tcPr>
            <w:tcW w:w="191" w:type="dxa"/>
            <w:tcBorders/>
            <w:vAlign w:val="center"/>
          </w:tcPr>
          <w:p>
            <w:pPr>
              <w:pStyle w:val="TableContents"/>
              <w:bidi w:val="0"/>
              <w:spacing w:before="0" w:after="0"/>
              <w:ind w:left="0" w:right="0" w:hanging="0"/>
              <w:jc w:val="left"/>
              <w:rPr/>
            </w:pPr>
            <w:r>
              <w:rPr/>
              <w:t>​</w:t>
            </w:r>
          </w:p>
        </w:tc>
      </w:tr>
      <w:tr>
        <w:trPr/>
        <w:tc>
          <w:tcPr>
            <w:tcW w:w="375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Share-based compensation</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w:t>
            </w:r>
          </w:p>
        </w:tc>
        <w:tc>
          <w:tcPr>
            <w:tcW w:w="286" w:type="dxa"/>
            <w:tcBorders/>
            <w:shd w:fill="CEDBE0" w:val="clear"/>
            <w:vAlign w:val="center"/>
          </w:tcPr>
          <w:p>
            <w:pPr>
              <w:pStyle w:val="TableContents"/>
              <w:bidi w:val="0"/>
              <w:spacing w:before="0" w:after="0"/>
              <w:ind w:left="0" w:right="0" w:hanging="0"/>
              <w:jc w:val="righ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w:t>
            </w:r>
          </w:p>
        </w:tc>
        <w:tc>
          <w:tcPr>
            <w:tcW w:w="28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Issuance of shares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5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Balance, end of period</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8,370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9,354</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8,370</w:t>
            </w:r>
          </w:p>
        </w:tc>
        <w:tc>
          <w:tcPr>
            <w:tcW w:w="28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9,354</w:t>
            </w:r>
          </w:p>
        </w:tc>
        <w:tc>
          <w:tcPr>
            <w:tcW w:w="19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- 4 -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bookmarkStart w:id="517" w:name="_9c7ba3bd_2ad4_4bc0_a1c0_d6e3203a1b64"/>
      <w:bookmarkEnd w:id="517"/>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bookmarkStart w:id="518" w:name="CASHFLOWS_27735"/>
      <w:bookmarkEnd w:id="518"/>
      <w:r>
        <w:rPr>
          <w:rFonts w:ascii="Arial Narrow" w:hAnsi="Arial Narrow"/>
          <w:b/>
          <w:caps/>
          <w:sz w:val="22"/>
        </w:rPr>
        <w:t>CONDENSED CONSOLIDATED STATEMENTS OF CASH FLOWS</w:t>
      </w:r>
    </w:p>
    <w:p>
      <w:pPr>
        <w:pStyle w:val="TextBody"/>
        <w:bidi w:val="0"/>
        <w:spacing w:before="0" w:after="0"/>
        <w:ind w:left="0" w:right="0" w:hanging="0"/>
        <w:jc w:val="center"/>
        <w:rPr>
          <w:rFonts w:ascii="Arial Narrow" w:hAnsi="Arial Narrow"/>
          <w:sz w:val="20"/>
        </w:rPr>
      </w:pPr>
      <w:r>
        <w:rPr>
          <w:rFonts w:ascii="Arial Narrow" w:hAnsi="Arial Narrow"/>
          <w:sz w:val="20"/>
        </w:rPr>
        <w:t>(in millions)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19" w:name="Tc_yHHwg_fo70SkHJdsmsn81w_36_5"/>
      <w:bookmarkStart w:id="520" w:name="Tc_pkZckoXRvkuc5uDPceY6HQ_36_2"/>
      <w:bookmarkStart w:id="521" w:name="Tc_BMK50XArWkSVBSJ6AKTjOA_36_0"/>
      <w:bookmarkStart w:id="522" w:name="Tc_IBFDoC5430SU7rz3RR4xUQ_35_0"/>
      <w:bookmarkStart w:id="523" w:name="Tc_B11e-cBQp02C57nij9HE3g_34_0"/>
      <w:bookmarkStart w:id="524" w:name="Tc_YRazk1gx_U2f04vVFs7X9A_32_0"/>
      <w:bookmarkStart w:id="525" w:name="Tc_uxnsHMthzE-P0n2Kepx-Kw_31_0"/>
      <w:bookmarkStart w:id="526" w:name="Tc_soqi81nDUEWkIBFl3e0mLA_30_0"/>
      <w:bookmarkStart w:id="527" w:name="Tc_w9oy4p1eqkWp0knfzr9ASA_29_0"/>
      <w:bookmarkStart w:id="528" w:name="Tc_IoFujo00wkiVN-1oK2QupA_27_0"/>
      <w:bookmarkStart w:id="529" w:name="Tc_UKWKOCbWp0KbNbUleKaA0Q_26_3"/>
      <w:bookmarkStart w:id="530" w:name="Tc_rP4QWsTqh0uNVWEWNVmb3Q_26_0"/>
      <w:bookmarkStart w:id="531" w:name="Tc_B7GY2gBC_U63poU33qhBgA_25_6"/>
      <w:bookmarkStart w:id="532" w:name="Tc_Fci6qBqmuEiBJI7__e9H5Q_25_0"/>
      <w:bookmarkStart w:id="533" w:name="Tc_r190-8E_m0iWKlDFPfVubQ_24_0"/>
      <w:bookmarkStart w:id="534" w:name="Tc_BSNDg7Cv20CSvHDFfZr10A_23_6"/>
      <w:bookmarkStart w:id="535" w:name="Tc_W0YekQbMD0SM31F68jVS7w_23_0"/>
      <w:bookmarkStart w:id="536" w:name="Tc_WtglCXh9HUmLjKhzoxsmsg_22_0"/>
      <w:bookmarkStart w:id="537" w:name="Tc_iLfFQGvE0EaAx_Skd83k0g_21_0"/>
      <w:bookmarkStart w:id="538" w:name="Tc_nBcB_lNQvkqQ0QsO5_-Q8w_19_0"/>
      <w:bookmarkStart w:id="539" w:name="Tc_x-jWpCiRkECmpPsQP7Bmdg_18_0"/>
      <w:bookmarkStart w:id="540" w:name="Tc_9lb56LD3GECrGFvU7YibAA_17_0"/>
      <w:bookmarkStart w:id="541" w:name="Tc_jUNGikOVy0WuZg3nXnJmKg_16_0"/>
      <w:bookmarkStart w:id="542" w:name="Tc_dVERwVwcC068xS0a0zLKqg_15_0"/>
      <w:bookmarkStart w:id="543" w:name="Tc_ZF601hAjXUihl36G9cC2MQ_14_0"/>
      <w:bookmarkStart w:id="544" w:name="Tc_yNUZOAQC70SIAIRyn-uAGQ_13_6"/>
      <w:bookmarkStart w:id="545" w:name="Tc_yfBPoAX_Hkmx8CCe2RXJLQ_13_0"/>
      <w:bookmarkStart w:id="546" w:name="Tc_-Vc4g6wIS0C5TQwpk-di-g_12_0"/>
      <w:bookmarkStart w:id="547" w:name="Tc_hOqOo-5JPk2vsGU5QVs-wA_11_0"/>
      <w:bookmarkStart w:id="548" w:name="Tc__-r61-UrqEidI-MV6ezcYw_10_0"/>
      <w:bookmarkStart w:id="549" w:name="Tc_6CLVmzWtfUWQAVT8BQXxFw_9_3"/>
      <w:bookmarkStart w:id="550" w:name="Tc_X6wqRsnYckmQeV8dkxRX6g_9_0"/>
      <w:bookmarkStart w:id="551" w:name="Tc_vYSMfQ41qU-6Lnf3Dd5C8g_8_0"/>
      <w:bookmarkStart w:id="552" w:name="Tc_ejq9uoQYREiLqFnVsbMdfg_7_0"/>
      <w:bookmarkStart w:id="553" w:name="Tc_g5Z-8QnGnUmvqFjqoyHi_Q_6_0"/>
      <w:bookmarkStart w:id="554" w:name="Tc_Iifw1_YalUCIN5TwwAb__Q_5_5"/>
      <w:bookmarkStart w:id="555" w:name="Tc_I3JwX5NJfkmXqPcTj_-jGg_5_2"/>
      <w:bookmarkStart w:id="556" w:name="Tc_hp6tz9OvJECO6oJM76tImg_5_0"/>
      <w:bookmarkStart w:id="557" w:name="Tc_tgqQyPTMNU69Amz0IarsCw_4_0"/>
      <w:bookmarkStart w:id="558" w:name="Tc_YcS-i3kyx0uSq9B-IzVkWQ_3_5"/>
      <w:bookmarkStart w:id="559" w:name="Tc_aQLq92iKHkOCAs-drG9abg_3_2"/>
      <w:bookmarkStart w:id="560" w:name="Tc_44M3IFc6oEWSRCoUJwBfCw_2_2"/>
      <w:bookmarkStart w:id="561" w:name="Tc_BgENTZm6HEu2d09OSGxWNQ_1_2"/>
      <w:bookmarkStart w:id="562" w:name="_1e915c69_9ce9_484c_bf2c_d8a5cc4cb93e"/>
      <w:bookmarkStart w:id="563" w:name="Tc_yHHwg_fo70SkHJdsmsn81w_36_5"/>
      <w:bookmarkStart w:id="564" w:name="Tc_pkZckoXRvkuc5uDPceY6HQ_36_2"/>
      <w:bookmarkStart w:id="565" w:name="Tc_BMK50XArWkSVBSJ6AKTjOA_36_0"/>
      <w:bookmarkStart w:id="566" w:name="Tc_IBFDoC5430SU7rz3RR4xUQ_35_0"/>
      <w:bookmarkStart w:id="567" w:name="Tc_B11e-cBQp02C57nij9HE3g_34_0"/>
      <w:bookmarkStart w:id="568" w:name="Tc_YRazk1gx_U2f04vVFs7X9A_32_0"/>
      <w:bookmarkStart w:id="569" w:name="Tc_uxnsHMthzE-P0n2Kepx-Kw_31_0"/>
      <w:bookmarkStart w:id="570" w:name="Tc_soqi81nDUEWkIBFl3e0mLA_30_0"/>
      <w:bookmarkStart w:id="571" w:name="Tc_w9oy4p1eqkWp0knfzr9ASA_29_0"/>
      <w:bookmarkStart w:id="572" w:name="Tc_IoFujo00wkiVN-1oK2QupA_27_0"/>
      <w:bookmarkStart w:id="573" w:name="Tc_UKWKOCbWp0KbNbUleKaA0Q_26_3"/>
      <w:bookmarkStart w:id="574" w:name="Tc_rP4QWsTqh0uNVWEWNVmb3Q_26_0"/>
      <w:bookmarkStart w:id="575" w:name="Tc_B7GY2gBC_U63poU33qhBgA_25_6"/>
      <w:bookmarkStart w:id="576" w:name="Tc_Fci6qBqmuEiBJI7__e9H5Q_25_0"/>
      <w:bookmarkStart w:id="577" w:name="Tc_r190-8E_m0iWKlDFPfVubQ_24_0"/>
      <w:bookmarkStart w:id="578" w:name="Tc_BSNDg7Cv20CSvHDFfZr10A_23_6"/>
      <w:bookmarkStart w:id="579" w:name="Tc_W0YekQbMD0SM31F68jVS7w_23_0"/>
      <w:bookmarkStart w:id="580" w:name="Tc_WtglCXh9HUmLjKhzoxsmsg_22_0"/>
      <w:bookmarkStart w:id="581" w:name="Tc_iLfFQGvE0EaAx_Skd83k0g_21_0"/>
      <w:bookmarkStart w:id="582" w:name="Tc_nBcB_lNQvkqQ0QsO5_-Q8w_19_0"/>
      <w:bookmarkStart w:id="583" w:name="Tc_x-jWpCiRkECmpPsQP7Bmdg_18_0"/>
      <w:bookmarkStart w:id="584" w:name="Tc_9lb56LD3GECrGFvU7YibAA_17_0"/>
      <w:bookmarkStart w:id="585" w:name="Tc_jUNGikOVy0WuZg3nXnJmKg_16_0"/>
      <w:bookmarkStart w:id="586" w:name="Tc_dVERwVwcC068xS0a0zLKqg_15_0"/>
      <w:bookmarkStart w:id="587" w:name="Tc_ZF601hAjXUihl36G9cC2MQ_14_0"/>
      <w:bookmarkStart w:id="588" w:name="Tc_yNUZOAQC70SIAIRyn-uAGQ_13_6"/>
      <w:bookmarkStart w:id="589" w:name="Tc_yfBPoAX_Hkmx8CCe2RXJLQ_13_0"/>
      <w:bookmarkStart w:id="590" w:name="Tc_-Vc4g6wIS0C5TQwpk-di-g_12_0"/>
      <w:bookmarkStart w:id="591" w:name="Tc_hOqOo-5JPk2vsGU5QVs-wA_11_0"/>
      <w:bookmarkStart w:id="592" w:name="Tc__-r61-UrqEidI-MV6ezcYw_10_0"/>
      <w:bookmarkStart w:id="593" w:name="Tc_6CLVmzWtfUWQAVT8BQXxFw_9_3"/>
      <w:bookmarkStart w:id="594" w:name="Tc_X6wqRsnYckmQeV8dkxRX6g_9_0"/>
      <w:bookmarkStart w:id="595" w:name="Tc_vYSMfQ41qU-6Lnf3Dd5C8g_8_0"/>
      <w:bookmarkStart w:id="596" w:name="Tc_ejq9uoQYREiLqFnVsbMdfg_7_0"/>
      <w:bookmarkStart w:id="597" w:name="Tc_g5Z-8QnGnUmvqFjqoyHi_Q_6_0"/>
      <w:bookmarkStart w:id="598" w:name="Tc_Iifw1_YalUCIN5TwwAb__Q_5_5"/>
      <w:bookmarkStart w:id="599" w:name="Tc_I3JwX5NJfkmXqPcTj_-jGg_5_2"/>
      <w:bookmarkStart w:id="600" w:name="Tc_hp6tz9OvJECO6oJM76tImg_5_0"/>
      <w:bookmarkStart w:id="601" w:name="Tc_tgqQyPTMNU69Amz0IarsCw_4_0"/>
      <w:bookmarkStart w:id="602" w:name="Tc_YcS-i3kyx0uSq9B-IzVkWQ_3_5"/>
      <w:bookmarkStart w:id="603" w:name="Tc_aQLq92iKHkOCAs-drG9abg_3_2"/>
      <w:bookmarkStart w:id="604" w:name="Tc_44M3IFc6oEWSRCoUJwBfCw_2_2"/>
      <w:bookmarkStart w:id="605" w:name="Tc_BgENTZm6HEu2d09OSGxWNQ_1_2"/>
      <w:bookmarkStart w:id="606" w:name="_1e915c69_9ce9_484c_bf2c_d8a5cc4cb93e"/>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tbl>
      <w:tblPr>
        <w:tblW w:w="8633" w:type="dxa"/>
        <w:jc w:val="left"/>
        <w:tblInd w:w="0" w:type="dxa"/>
        <w:tblLayout w:type="fixed"/>
        <w:tblCellMar>
          <w:top w:w="0" w:type="dxa"/>
          <w:left w:w="0" w:type="dxa"/>
          <w:bottom w:w="0" w:type="dxa"/>
          <w:right w:w="0" w:type="dxa"/>
        </w:tblCellMar>
      </w:tblPr>
      <w:tblGrid>
        <w:gridCol w:w="6091"/>
        <w:gridCol w:w="346"/>
        <w:gridCol w:w="196"/>
        <w:gridCol w:w="496"/>
        <w:gridCol w:w="346"/>
        <w:gridCol w:w="196"/>
        <w:gridCol w:w="631"/>
        <w:gridCol w:w="331"/>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867785" cy="175260"/>
                      <wp:effectExtent l="0" t="0" r="0" b="0"/>
                      <wp:wrapNone/>
                      <wp:docPr id="52" name="Frame51"/>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14960" cy="175260"/>
                      <wp:effectExtent l="0" t="0" r="0" b="0"/>
                      <wp:wrapNone/>
                      <wp:docPr id="55" name="Frame5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0685" cy="175260"/>
                      <wp:effectExtent l="0" t="0" r="0" b="0"/>
                      <wp:wrapNone/>
                      <wp:docPr id="58" name="Frame5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0185" cy="175260"/>
                      <wp:effectExtent l="0" t="0" r="0" b="0"/>
                      <wp:wrapNone/>
                      <wp:docPr id="59" name="Frame5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65" w:type="dxa"/>
            <w:gridSpan w:val="5"/>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xml:space="preserve">Six months ended </w:t>
            </w:r>
          </w:p>
        </w:tc>
        <w:tc>
          <w:tcPr>
            <w:tcW w:w="331" w:type="dxa"/>
            <w:tcBorders/>
            <w:vAlign w:val="center"/>
          </w:tcPr>
          <w:p>
            <w:pPr>
              <w:pStyle w:val="TableContents"/>
              <w:bidi w:val="0"/>
              <w:spacing w:before="0" w:after="0"/>
              <w:ind w:left="0" w:right="0" w:hanging="0"/>
              <w:jc w:val="center"/>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June 30, </w:t>
            </w:r>
          </w:p>
        </w:tc>
        <w:tc>
          <w:tcPr>
            <w:tcW w:w="331" w:type="dxa"/>
            <w:tcBorders/>
            <w:vAlign w:val="center"/>
          </w:tcPr>
          <w:p>
            <w:pPr>
              <w:pStyle w:val="TableContents"/>
              <w:bidi w:val="0"/>
              <w:spacing w:before="0" w:after="0"/>
              <w:ind w:left="0" w:right="0" w:hanging="0"/>
              <w:jc w:val="center"/>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331" w:type="dxa"/>
            <w:tcBorders/>
            <w:vAlign w:val="center"/>
          </w:tcPr>
          <w:p>
            <w:pPr>
              <w:pStyle w:val="TableContents"/>
              <w:bidi w:val="0"/>
              <w:spacing w:before="0" w:after="0"/>
              <w:ind w:left="0" w:right="0" w:hanging="0"/>
              <w:jc w:val="center"/>
              <w:rPr/>
            </w:pPr>
            <w:r>
              <w:rPr/>
              <w:t>  ​ ​</w:t>
            </w:r>
          </w:p>
        </w:tc>
      </w:tr>
      <w:tr>
        <w:trPr/>
        <w:tc>
          <w:tcPr>
            <w:tcW w:w="609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Cash flows from operating activities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income (loss)</w:t>
            </w:r>
          </w:p>
        </w:tc>
        <w:tc>
          <w:tcPr>
            <w:tcW w:w="346" w:type="dxa"/>
            <w:tcBorders/>
            <w:shd w:fill="CEDBE0" w:val="clear"/>
            <w:vAlign w:val="center"/>
          </w:tcPr>
          <w:p>
            <w:pPr>
              <w:pStyle w:val="TableContents"/>
              <w:bidi w:val="0"/>
              <w:spacing w:before="0" w:after="0"/>
              <w:ind w:left="0" w:right="0" w:hanging="0"/>
              <w:jc w:val="left"/>
              <w:rPr/>
            </w:pPr>
            <w:r>
              <w:rPr/>
              <w:t> </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241</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(1,017)</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Adjustments to reconcile to 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Depreciation and amortization</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291</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351</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Loss on impairment of assets</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1,136</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Gain on disposal of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Amortization of debt-related balances, net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25</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(Gain) loss on adjustment to bifurcated compound exchange feature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(65)</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Loss on retirement of debt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11</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pPr>
            <w:r>
              <w:rPr/>
              <w:t>—</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Deferred income tax benefit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(157)</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net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31</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Changes in contract liabilities,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(84)</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Changes in deferred costs, net</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46</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Changes in other operating assets and liabilities, net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(89)</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cash provided by operating activities</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400</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154</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Capital expenditures</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(52)</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(84)</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Investment in equity of unconsolidated affiliates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Proceeds from disposal of assets, net of costs to sell</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26</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10</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Proceeds from disposal of investment in note receivable from unconsolidated affiliate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Proceeds from disposal of investment in equity of unconsolidated affiliate</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4</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cash used in investing activities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(70)</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rFonts w:ascii="Arial Narrow" w:hAnsi="Arial Narrow"/>
                <w:b/>
                <w:sz w:val="20"/>
              </w:rPr>
            </w:pPr>
            <w:r>
              <w:rPr>
                <w:rFonts w:ascii="Arial Narrow" w:hAnsi="Arial Narrow"/>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shd w:fill="CEDBE0" w:val="cle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 xml:space="preserve">Repayments of debt </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496"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(586)</w:t>
            </w:r>
          </w:p>
        </w:tc>
        <w:tc>
          <w:tcPr>
            <w:tcW w:w="346" w:type="dxa"/>
            <w:tcBorders/>
            <w:shd w:fill="CEDBE0" w:val="clear"/>
            <w:vAlign w:val="center"/>
          </w:tcPr>
          <w:p>
            <w:pPr>
              <w:pStyle w:val="TableContents"/>
              <w:bidi w:val="0"/>
              <w:spacing w:before="0" w:after="0"/>
              <w:ind w:left="0" w:right="0" w:hanging="0"/>
              <w:jc w:val="left"/>
              <w:rPr/>
            </w:pPr>
            <w:r>
              <w:rPr/>
              <w:t>​</w:t>
            </w:r>
          </w:p>
        </w:tc>
        <w:tc>
          <w:tcPr>
            <w:tcW w:w="196" w:type="dxa"/>
            <w:tcBorders/>
            <w:shd w:fill="CEDBE0" w:val="clear"/>
            <w:vAlign w:val="center"/>
          </w:tcPr>
          <w:p>
            <w:pPr>
              <w:pStyle w:val="TableContents"/>
              <w:bidi w:val="0"/>
              <w:spacing w:before="0" w:after="0"/>
              <w:ind w:left="0" w:right="0" w:hanging="0"/>
              <w:jc w:val="left"/>
              <w:rPr/>
            </w:pPr>
            <w:r>
              <w:rPr/>
              <w:t>​</w:t>
            </w:r>
          </w:p>
        </w:tc>
        <w:tc>
          <w:tcPr>
            <w:tcW w:w="631" w:type="dxa"/>
            <w:tcBorders/>
            <w:shd w:fill="CEDBE0" w:val="cle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(240)</w:t>
            </w:r>
          </w:p>
        </w:tc>
        <w:tc>
          <w:tcPr>
            <w:tcW w:w="331" w:type="dxa"/>
            <w:tcBorders/>
            <w:shd w:fill="CEDBE0" w:val="cle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Other, net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(13)</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cash used in financing activities</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(587)</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(253)</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Net decrease in unrestricted and restricted cash and cash equivalents</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(202)</w:t>
            </w:r>
          </w:p>
        </w:tc>
        <w:tc>
          <w:tcPr>
            <w:tcW w:w="34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(169)</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Unrestricted and restricted cash and cash equivalents, beginning of period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997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941</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09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Unrestricted and restricted cash and cash equivalents, end of period</w:t>
            </w:r>
          </w:p>
        </w:tc>
        <w:tc>
          <w:tcPr>
            <w:tcW w:w="34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496"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795</w:t>
            </w:r>
          </w:p>
        </w:tc>
        <w:tc>
          <w:tcPr>
            <w:tcW w:w="34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8"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20"/>
              </w:rPr>
            </w:pPr>
            <w:r>
              <w:rPr>
                <w:rFonts w:ascii="Arial Narrow" w:hAnsi="Arial Narrow"/>
                <w:sz w:val="20"/>
              </w:rPr>
              <w:t>772</w:t>
            </w:r>
          </w:p>
        </w:tc>
        <w:tc>
          <w:tcPr>
            <w:tcW w:w="331" w:type="dxa"/>
            <w:tcBorders>
              <w:bottom w:val="single" w:sz="18" w:space="0" w:color="000000"/>
            </w:tcBorders>
            <w:shd w:fill="CEDBE0"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 w:after="283"/>
        <w:ind w:left="0" w:right="0" w:firstLine="720"/>
        <w:jc w:val="both"/>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See accompanying notes.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- 5 -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pBdr>
          <w:bottom w:val="single" w:sz="18" w:space="1" w:color="ECA44A"/>
        </w:pBdr>
        <w:bidi w:val="0"/>
        <w:spacing w:before="0" w:after="60"/>
        <w:ind w:left="0" w:right="0" w:hanging="0"/>
        <w:jc w:val="left"/>
        <w:rPr>
          <w:rFonts w:ascii="Arial Narrow" w:hAnsi="Arial Narrow"/>
          <w:b/>
          <w:caps/>
          <w:color w:val="00556F"/>
          <w:sz w:val="22"/>
        </w:rPr>
      </w:pPr>
      <w:bookmarkStart w:id="607" w:name="FN_Business"/>
      <w:bookmarkStart w:id="608" w:name="NotesToConsolidatedFinancialStatements"/>
      <w:bookmarkEnd w:id="607"/>
      <w:bookmarkEnd w:id="608"/>
      <w:r>
        <w:rPr>
          <w:rFonts w:ascii="Arial Narrow" w:hAnsi="Arial Narrow"/>
          <w:b/>
          <w:caps/>
          <w:color w:val="00556F"/>
          <w:sz w:val="22"/>
        </w:rPr>
        <w:t>Note 1—Business</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Overview</w:t>
      </w:r>
    </w:p>
    <w:p>
      <w:pPr>
        <w:pStyle w:val="TextBody"/>
        <w:bidi w:val="0"/>
        <w:spacing w:before="60" w:after="120"/>
        <w:ind w:left="0" w:right="0" w:firstLine="720"/>
        <w:jc w:val="both"/>
        <w:rPr>
          <w:rFonts w:ascii="Arial Narrow" w:hAnsi="Arial Narrow"/>
          <w:sz w:val="20"/>
        </w:rPr>
      </w:pPr>
      <w:r>
        <w:rPr>
          <w:rFonts w:ascii="Arial Narrow" w:hAnsi="Arial Narrow"/>
          <w:sz w:val="20"/>
        </w:rPr>
        <w:t>Transocean Ltd. (together with its subsidiaries and predecessors, unless the context requires otherwise, “Transocean,” “we,” “us” or “our”) is a leading international provider of offshore contract drilling services for oil and gas wells.  As of June 30, 2026, we owned or had partial ownership interests in and operated a fleet of 27 mobile offshore drilling units, consisting of 20 ultra-deepwater drillships and seven harsh environment semisubmersibles.</w:t>
      </w:r>
    </w:p>
    <w:p>
      <w:pPr>
        <w:pStyle w:val="TextBody"/>
        <w:bidi w:val="0"/>
        <w:spacing w:before="180" w:after="60"/>
        <w:ind w:left="0" w:right="0" w:hanging="0"/>
        <w:jc w:val="left"/>
        <w:rPr>
          <w:rFonts w:ascii="Arial Narrow" w:hAnsi="Arial Narrow"/>
          <w:b/>
          <w:i/>
          <w:color w:val="00556F"/>
          <w:sz w:val="20"/>
        </w:rPr>
      </w:pPr>
      <w:r>
        <w:rPr>
          <w:rFonts w:ascii="Arial Narrow" w:hAnsi="Arial Narrow"/>
          <w:b/>
          <w:i/>
          <w:color w:val="00556F"/>
          <w:sz w:val="20"/>
        </w:rPr>
        <w:t>Agreement to acquire Valaris Limited</w:t>
      </w:r>
    </w:p>
    <w:p>
      <w:pPr>
        <w:pStyle w:val="TextBody"/>
        <w:bidi w:val="0"/>
        <w:spacing w:before="60" w:after="120"/>
        <w:ind w:left="0" w:right="0" w:firstLine="720"/>
        <w:jc w:val="both"/>
        <w:rPr>
          <w:rFonts w:ascii="Arial Narrow" w:hAnsi="Arial Narrow"/>
          <w:sz w:val="20"/>
        </w:rPr>
      </w:pPr>
      <w:r>
        <w:rPr>
          <w:rFonts w:ascii="Arial Narrow" w:hAnsi="Arial Narrow"/>
          <w:sz w:val="20"/>
        </w:rPr>
        <w:t>On February 9, 2026, we and Valaris Limited, an exempted company limited by shares incorporated under the laws of Bermuda, ("Valaris") entered into a Business Combination Agreement (the "Agreement"), providing for the combination of Transocean and Valaris (the "Business Combination").  Pursuant to the Agreement, and on the terms and subject to the conditions thereof, we will acquire all of the issued and outstanding common shares, par value $0.01 each, of Valaris (the “Valaris Shares”) in exchange for Transocean Ltd. shares, par value $0.10 each, at an exchange ratio of 15.235 Transocean Ltd. shares for each Valaris Share.  Pursuant to the Agreement, and on the terms and subject to the conditions thereof, at the time on which the order of the Supreme Court of Bermuda providing for its sanction of the Scheme of Arrangement is filed with the Registrar of Companies of Bermuda, the Business Combination will become effective and Valaris will become our wholly owned subsidiary.  The board of directors of Transocean and Valaris each unanimously approved and declared advisable the Agreement and the transactions contemplated thereby, including the Business Combination.  In the three and six months ended June 30, 2026, we incurred acquisition costs of $11 million and $17 million, respectively, recorded in general and administrative costs and expenses.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09" w:name="FNSAP"/>
      <w:bookmarkEnd w:id="609"/>
      <w:r>
        <w:rPr>
          <w:rFonts w:ascii="Arial Narrow" w:hAnsi="Arial Narrow"/>
          <w:b/>
          <w:caps/>
          <w:color w:val="00556F"/>
          <w:sz w:val="22"/>
        </w:rPr>
        <w:t>Note 2—Significant Accounting Policies</w:t>
      </w:r>
    </w:p>
    <w:p>
      <w:pPr>
        <w:pStyle w:val="TextBody"/>
        <w:bidi w:val="0"/>
        <w:spacing w:before="60" w:after="120"/>
        <w:ind w:left="0" w:right="0" w:firstLine="720"/>
        <w:jc w:val="both"/>
        <w:rPr/>
      </w:pPr>
      <w:r>
        <w:rPr>
          <w:rFonts w:ascii="Arial Narrow" w:hAnsi="Arial Narrow"/>
          <w:b/>
          <w:sz w:val="20"/>
        </w:rPr>
        <w:t>Presentation</w:t>
      </w:r>
      <w:r>
        <w:rPr>
          <w:rFonts w:ascii="Arial Narrow" w:hAnsi="Arial Narrow"/>
          <w:sz w:val="20"/>
        </w:rPr>
        <w:t xml:space="preserve">—We prepared our accompanying unaudited condensed consolidated financial statements in accordance with accounting principles generally accepted in the United States (“U.S.”) for interim financial information and with the instructions to Form 10-Q and Article 10 of Regulation S-X promulgated by the U.S. Securities and Exchange Commission.  Pursuant to such rules and regulations, these financial statements do not include all disclosures required by accounting principles generally accepted in the U.S. for complete financial statements.  The condensed consolidated financial statements reflect all adjustments, which are, in the opinion of management, necessary for a fair presentation of the financial position, results of operations and cash flows for the interim periods.  Such adjustments are considered to be of a normal recurring nature unless otherwise noted.  Operating results for the three and six months ended June 30, 2026, are not necessarily indicative of the results that may be expected for the year ending December 31, 2026, or for any future period.  The accompanying condensed consolidated financial statements and notes thereto should be read in conjunction with the audited consolidated financial statements and notes thereto as of December 31, 2025 and 2024, and for each of the three years in the period ended December 31, 2025, included in our annual report on </w:t>
      </w:r>
      <w:hyperlink r:id="rId3">
        <w:r>
          <w:rPr>
            <w:rStyle w:val="InternetLink"/>
            <w:rFonts w:ascii="Arial Narrow" w:hAnsi="Arial Narrow"/>
            <w:b w:val="false"/>
            <w:i w:val="false"/>
            <w:caps w:val="false"/>
            <w:smallCaps w:val="false"/>
            <w:sz w:val="20"/>
          </w:rPr>
          <w:t>Form 10K filed on February 23, 2026</w:t>
        </w:r>
      </w:hyperlink>
      <w:r>
        <w:rPr>
          <w:rFonts w:ascii="Arial Narrow" w:hAnsi="Arial Narrow"/>
          <w:sz w:val="20"/>
        </w:rPr>
        <w:t>.</w:t>
      </w:r>
    </w:p>
    <w:p>
      <w:pPr>
        <w:pStyle w:val="TextBody"/>
        <w:bidi w:val="0"/>
        <w:spacing w:before="60" w:after="120"/>
        <w:ind w:left="0" w:right="0" w:firstLine="720"/>
        <w:jc w:val="both"/>
        <w:rPr>
          <w:rFonts w:ascii="Arial Narrow" w:hAnsi="Arial Narrow"/>
          <w:sz w:val="20"/>
        </w:rPr>
      </w:pPr>
      <w:r>
        <w:rPr>
          <w:rFonts w:ascii="Arial Narrow" w:hAnsi="Arial Narrow"/>
          <w:b/>
          <w:sz w:val="20"/>
        </w:rPr>
        <w:t>Accounting estimates</w:t>
      </w:r>
      <w:r>
        <w:rPr>
          <w:rFonts w:ascii="Arial Narrow" w:hAnsi="Arial Narrow"/>
          <w:sz w:val="20"/>
        </w:rPr>
        <w:t>—To prepare financial statements in accordance with accounting principles generally accepted in the U.S., we must make judgments by applying estimates and assumptions that affect the reported amounts of assets, liabilities, revenues and expenses and the disclosures of contingent assets and liabilities.  On an ongoing basis, we evaluate our estimates and assumptions, including those related to our income taxes, property and equipment, equity investments, contingencies, allowance for excess materials and supplies, assets held for sale, postemployment benefit plans and share-based compensation.  We base our estimates and assumptions on historical experience and other factors that we believe are reasonable.  Actual results could differ from such estimates.</w:t>
      </w:r>
    </w:p>
    <w:p>
      <w:pPr>
        <w:pStyle w:val="TextBody"/>
        <w:bidi w:val="0"/>
        <w:spacing w:before="60" w:after="120"/>
        <w:ind w:left="0" w:right="0" w:firstLine="720"/>
        <w:jc w:val="both"/>
        <w:rPr>
          <w:rFonts w:ascii="Arial Narrow" w:hAnsi="Arial Narrow"/>
          <w:sz w:val="20"/>
        </w:rPr>
      </w:pPr>
      <w:r>
        <w:rPr>
          <w:rFonts w:ascii="Arial Narrow" w:hAnsi="Arial Narrow"/>
          <w:b/>
          <w:sz w:val="20"/>
        </w:rPr>
        <w:t>Fair value measurements</w:t>
      </w:r>
      <w:r>
        <w:rPr>
          <w:rFonts w:ascii="Arial Narrow" w:hAnsi="Arial Narrow"/>
          <w:sz w:val="20"/>
        </w:rPr>
        <w:t>—We estimate fair value at an exchange price that would be received to sell an asset or paid to transfer a liability in the principal or most advantageous market for the asset or liability in an orderly transaction between market participants.  Our valuation techniques require inputs that we categorize using a three-level hierarchy, from highest to lowest level of observable inputs, as follows: (1) significant observable inputs, including unadjusted quoted prices for identical assets or liabilities in active markets (“Level 1”), (2) significant other observable inputs, including direct or indirect market data for similar assets or liabilities in active markets or identical assets or liabilities in less active markets (“Level 2”) and (3) significant unobservable inputs, including those that require considerable judgment for which there is little or no market data (“Level 3”).  When a valuation requires multiple input levels, we categorize the entire fair value measurement according to the lowest level of input that is significant to the measurement even though we may have also utilized significant inputs that are more readily observable.</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r>
        <w:rPr>
          <w:rFonts w:ascii="Arial Narrow" w:hAnsi="Arial Narrow"/>
          <w:b/>
          <w:caps/>
          <w:color w:val="00556F"/>
          <w:sz w:val="22"/>
        </w:rPr>
        <w:t>Note 3—Accounting Standards Updates</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Recently issued accounting standards updates not yet adopted</w:t>
      </w:r>
    </w:p>
    <w:p>
      <w:pPr>
        <w:pStyle w:val="TextBody"/>
        <w:bidi w:val="0"/>
        <w:spacing w:before="60" w:after="0"/>
        <w:ind w:left="0" w:right="0" w:firstLine="720"/>
        <w:jc w:val="both"/>
        <w:rPr>
          <w:rFonts w:ascii="Arial Narrow" w:hAnsi="Arial Narrow"/>
          <w:sz w:val="20"/>
        </w:rPr>
      </w:pPr>
      <w:r>
        <w:rPr>
          <w:rFonts w:ascii="Arial Narrow" w:hAnsi="Arial Narrow"/>
          <w:b/>
          <w:sz w:val="20"/>
        </w:rPr>
        <w:t>Disaggregated income statement expenses</w:t>
      </w:r>
      <w:r>
        <w:rPr>
          <w:rFonts w:ascii="Arial Narrow" w:hAnsi="Arial Narrow"/>
          <w:sz w:val="20"/>
        </w:rPr>
        <w:t xml:space="preserve">—Effective for the year ending December 31, 2027, we will adopt the accounting standards update that requires, in the notes to consolidated financial statements, disaggregated disclosures of certain categories of expenses that are included in expense line items on the face of the consolidated statements of operations.  The disclosures will be required on an annual and interim basis.  We will provide the new disclosures, as required, for annual periods beginning with our annual report on Form 10-K </w:t>
      </w:r>
    </w:p>
    <w:p>
      <w:pPr>
        <w:pStyle w:val="TextBody"/>
        <w:bidi w:val="0"/>
        <w:spacing w:before="0" w:after="0"/>
        <w:ind w:left="0" w:right="0" w:hanging="0"/>
        <w:jc w:val="center"/>
        <w:rPr>
          <w:rFonts w:ascii="Arial Narrow" w:hAnsi="Arial Narrow"/>
          <w:sz w:val="20"/>
        </w:rPr>
      </w:pPr>
      <w:r>
        <w:rPr>
          <w:rFonts w:ascii="Arial Narrow" w:hAnsi="Arial Narrow"/>
          <w:sz w:val="20"/>
        </w:rPr>
        <w:t>- 6 -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hanging="0"/>
        <w:jc w:val="both"/>
        <w:rPr>
          <w:rFonts w:ascii="Arial Narrow" w:hAnsi="Arial Narrow"/>
          <w:sz w:val="20"/>
        </w:rPr>
      </w:pPr>
      <w:r>
        <w:rPr>
          <w:rFonts w:ascii="Arial Narrow" w:hAnsi="Arial Narrow"/>
          <w:sz w:val="20"/>
        </w:rPr>
        <w:t>for the year ending December 31, 2027, and subsequently, for interim periods beginning with our quarterly report on Form 10-Q for the quarterly period ending March 31, 2028.  We continue to evaluate the requirements.  Although our adoption will require us to augment certain disclosures in the notes to consolidated financial statements, we do not expect such adoption to have a material effect on our consolidated statements of financial position, operations or cash flows.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610" w:name="Tc__oUiEZeFaUuegEy6CY3cPg_6_5"/>
      <w:bookmarkStart w:id="611" w:name="Tc_ACyfbFfV-Um2MKGsQU1M_w_6_2"/>
      <w:bookmarkStart w:id="612" w:name="Tc_Jt_1cEsWs0ql888yaZntTQ_6_0"/>
      <w:bookmarkStart w:id="613" w:name="Tc_o8g3XOmS70aQ7yVRydPxTA_5_0"/>
      <w:bookmarkStart w:id="614" w:name="Tc_EG8HmsmD6kCDYiA0EhFl0g_4_0"/>
      <w:bookmarkStart w:id="615" w:name="Tc_c5hSp1-BiE-5M90UwEAUqg_3_5"/>
      <w:bookmarkStart w:id="616" w:name="Tc_tT3e_9n4H0aktAVMsF-v4g_3_2"/>
      <w:bookmarkStart w:id="617" w:name="Tc_c2DiNzrMg0OnfYsViSL4Lw_3_0"/>
      <w:bookmarkStart w:id="618" w:name="Tc__Y_xr-aYwEOQZitax7sI9A_2_5"/>
      <w:bookmarkStart w:id="619" w:name="Tc_2pDookFkd0ua6kYgARtsug_2_2"/>
      <w:bookmarkStart w:id="620" w:name="Tc_j4x56sdt8k6kF-x0RofhKg_1_2"/>
      <w:bookmarkStart w:id="621" w:name="_7db94f16_68df_4d76_b9da_4b996bac3281"/>
      <w:bookmarkStart w:id="622" w:name="Tc_V1AR4mUldUq36QFXbwC3JA_5_5"/>
      <w:bookmarkStart w:id="623" w:name="Tc_llDSTSoiSUGJi49Dn04efg_5_2"/>
      <w:bookmarkStart w:id="624" w:name="Tc_cvuDfZOH60Oxw70pSKTPyg_5_0"/>
      <w:bookmarkStart w:id="625" w:name="Tc_49UYJgKN90mKDSmjqHwT_w_4_0"/>
      <w:bookmarkStart w:id="626" w:name="Tc_jJbP30JrgkuaWNN6gSVlSA_3_5"/>
      <w:bookmarkStart w:id="627" w:name="Tc_V_bZNiLlNkWcnaGISZ0xnw_3_2"/>
      <w:bookmarkStart w:id="628" w:name="Tc_sNr6-vLH_0eazAg27gyq6A_3_0"/>
      <w:bookmarkStart w:id="629" w:name="Tc_LEvrXvPuVUSN6VztLvzrXw_2_5"/>
      <w:bookmarkStart w:id="630" w:name="Tc_LpDz0ozJaEiNA-sebSq3jQ_2_2"/>
      <w:bookmarkStart w:id="631" w:name="Tc_orJRe3P-NEOg79ZNvkhEQQ_1_5"/>
      <w:bookmarkStart w:id="632" w:name="Tc_aR-4_zD_pEmpJKRp82_vHA_1_2"/>
      <w:bookmarkStart w:id="633" w:name="_9317a6dc_02a6_461c_bdb9_337edc9f38d6"/>
      <w:bookmarkStart w:id="634" w:name="Tc_f4ps7bGQ40qYc5ieUwK5Hg_11_36"/>
      <w:bookmarkStart w:id="635" w:name="Tc_EpnKX0ZlUESQ2P1x5Qx_pg_11_33"/>
      <w:bookmarkStart w:id="636" w:name="Tc_WdK6MwkC10K4sf0JPmhQFA_11_30"/>
      <w:bookmarkStart w:id="637" w:name="Tc_-NJ3rgG-SEq1PfU2ejQk4g_11_27"/>
      <w:bookmarkStart w:id="638" w:name="Tc_L5584pyW8kC-T1bo22YbhQ_11_24"/>
      <w:bookmarkStart w:id="639" w:name="Tc_92hebi5wR0CiV-52yDJnWg_11_21"/>
      <w:bookmarkStart w:id="640" w:name="Tc_q9DD94l2_UaBrhmDyjQXHw_11_17"/>
      <w:bookmarkStart w:id="641" w:name="Tc_buaMlp616Uq2Bs1De39wCg_11_14"/>
      <w:bookmarkStart w:id="642" w:name="Tc_tr1W5AZ1qEGNi_on5PlUqg_11_11"/>
      <w:bookmarkStart w:id="643" w:name="Tc_kQSJZosjQEOBvKy7QW4XGQ_11_8"/>
      <w:bookmarkStart w:id="644" w:name="Tc_Pa-RGFzVe0Wi3rGLuK2Slw_11_5"/>
      <w:bookmarkStart w:id="645" w:name="Tc_Hq0lKEyprEOEFvCe_QGFhQ_11_2"/>
      <w:bookmarkStart w:id="646" w:name="Tc_RYvEDhK6CE6V25JtoFTQ4g_11_0"/>
      <w:bookmarkStart w:id="647" w:name="Tc_ZnV_VwEuIEWBv7o0y9SzhA_10_0"/>
      <w:bookmarkStart w:id="648" w:name="Tc_hYfjzWTMTk6gSF86yGUWVw_9_31"/>
      <w:bookmarkStart w:id="649" w:name="Tc_seMBH1qR8U61PgR1_GUrfw_9_22"/>
      <w:bookmarkStart w:id="650" w:name="Tc_FKXtGhc4OkWsTJuC5jRXFw_9_12"/>
      <w:bookmarkStart w:id="651" w:name="Tc_KJEmrAgUkE-bhYnPOEDjog_9_3"/>
      <w:bookmarkStart w:id="652" w:name="Tc_kh3KKyFVIUiEwu2g6JYgqg_9_0"/>
      <w:bookmarkStart w:id="653" w:name="Tc_hioegkgYwked5CWMxqqiAg_8_31"/>
      <w:bookmarkStart w:id="654" w:name="Tc_vo_k_4sHIkivJmC7A9ghgA_8_22"/>
      <w:bookmarkStart w:id="655" w:name="Tc_XiIRjsuyckON9l1AQqtoqw_8_12"/>
      <w:bookmarkStart w:id="656" w:name="Tc_WpNqD0uMI0mUpxeaArzALw_8_3"/>
      <w:bookmarkStart w:id="657" w:name="Tc_CBWkp6dAEkGv5i-9rSY5Jg_8_0"/>
      <w:bookmarkStart w:id="658" w:name="Tc__wmzkYFR5Uih4MlZm2OaPA_7_34"/>
      <w:bookmarkStart w:id="659" w:name="Tc_cYeqgJve0EWCjTTqapkCOw_7_25"/>
      <w:bookmarkStart w:id="660" w:name="Tc_jDO4lD7Z106MU7K8aLY7DQ_7_15"/>
      <w:bookmarkStart w:id="661" w:name="Tc_91o1DTEVAky8cBNXP2Qd0A_7_6"/>
      <w:bookmarkStart w:id="662" w:name="Tc_qVjjfnRtvE6D1o1d6Flz9g_7_0"/>
      <w:bookmarkStart w:id="663" w:name="Tc_U18F8QBq_EuIVYmyw3WVgg_6_36"/>
      <w:bookmarkStart w:id="664" w:name="Tc_bWdjoKB-XEyxErfU6FA0hg_6_34"/>
      <w:bookmarkStart w:id="665" w:name="Tc_LUH6Da-Sw0CmC3bI8YQ1Sg_6_33"/>
      <w:bookmarkStart w:id="666" w:name="Tc_yNCp7dq5XUOUduVUkMMPgw_6_30"/>
      <w:bookmarkStart w:id="667" w:name="Tc_2f9y-0rqgESmStXFrl8lzw_6_27"/>
      <w:bookmarkStart w:id="668" w:name="Tc_Ctvw8K1MvkeMPy3e_h95qQ_6_25"/>
      <w:bookmarkStart w:id="669" w:name="Tc_8xU51rj8R0WFguZMBEHRJw_6_24"/>
      <w:bookmarkStart w:id="670" w:name="Tc_RB1LNhxuEUe6C_WZ0i-xMg_6_21"/>
      <w:bookmarkStart w:id="671" w:name="Tc_IFezQ-IaaEKSRt9YYarXvQ_6_17"/>
      <w:bookmarkStart w:id="672" w:name="Tc_Vd89g8kwtUuiWQlcw-Enhw_6_15"/>
      <w:bookmarkStart w:id="673" w:name="Tc_HfwiKXl88EeOQGu81rUPFw_6_14"/>
      <w:bookmarkStart w:id="674" w:name="Tc_tD_Q6uV_dES0i2r6MDReog_6_11"/>
      <w:bookmarkStart w:id="675" w:name="Tc_PJqSmLW42U6lsrvmH6WNIQ_6_8"/>
      <w:bookmarkStart w:id="676" w:name="Tc_zyaXAkDBgkeRvqqIjBpXfQ_6_6"/>
      <w:bookmarkStart w:id="677" w:name="Tc_ZTboPi81x0GGwFEvlAYibA_6_5"/>
      <w:bookmarkStart w:id="678" w:name="Tc_ma80Xc8ApEiMLg0X7h4t1A_6_2"/>
      <w:bookmarkStart w:id="679" w:name="Tc_eZZOsQJSm06kCpA-WpdXlQ_6_0"/>
      <w:bookmarkStart w:id="680" w:name="Tc_gWkSj6mC_UyewfxKVWG35Q_5_36"/>
      <w:bookmarkStart w:id="681" w:name="Tc_6v-V1MOHoE6fYmgszBwj-Q_5_33"/>
      <w:bookmarkStart w:id="682" w:name="Tc_nJh3jU6ptEaEyzeeOynvNQ_5_30"/>
      <w:bookmarkStart w:id="683" w:name="Tc_cNbcaVX1_0SuootaXiWJ9w_5_27"/>
      <w:bookmarkStart w:id="684" w:name="Tc_bNvUy5RA9Ey-mPpKwhulgg_5_24"/>
      <w:bookmarkStart w:id="685" w:name="Tc_ZdBE5PlJjEOMyqaAxQdtcw_5_21"/>
      <w:bookmarkStart w:id="686" w:name="Tc_77aXRCSHD0m-_iAf4W-L5g_5_17"/>
      <w:bookmarkStart w:id="687" w:name="Tc_dlECB7_aRkCri7_Biz2HFA_5_14"/>
      <w:bookmarkStart w:id="688" w:name="Tc_iGN_RDLAU0Wusf6tI3ENiw_5_11"/>
      <w:bookmarkStart w:id="689" w:name="Tc_1PiW5y9y7EqgQnKv0SwJbQ_5_8"/>
      <w:bookmarkStart w:id="690" w:name="Tc_tldAxNHEOkWCVn0QKXocBw_5_5"/>
      <w:bookmarkStart w:id="691" w:name="Tc_Yv686Azi3kSskEyG74a4EQ_5_2"/>
      <w:bookmarkStart w:id="692" w:name="Tc_fcWvkM7frEe20iTG0bxNRQ_4_33"/>
      <w:bookmarkStart w:id="693" w:name="Tc_HMFDUq4Lekus_p5ISfZrpg_4_30"/>
      <w:bookmarkStart w:id="694" w:name="Tc_A_xajuWVu0-l9fd0-SRXIA_4_24"/>
      <w:bookmarkStart w:id="695" w:name="Tc_ZWIUJbiXakuM0toSJHB2bQ_4_21"/>
      <w:bookmarkStart w:id="696" w:name="Tc_7P9UkJ3PpkqWB_zkX0pQOQ_4_14"/>
      <w:bookmarkStart w:id="697" w:name="Tc_4cHK8vebFkahZF_-0rnMvQ_4_11"/>
      <w:bookmarkStart w:id="698" w:name="Tc_l5HZ4MXMyk-AzaFC9K6GIg_4_5"/>
      <w:bookmarkStart w:id="699" w:name="Tc_8UV3ZvwvXESX3pmxXWSBXA_4_2"/>
      <w:bookmarkStart w:id="700" w:name="Tc_jPsig1-Rjkq6F3WyQpQ-eQ_3_33"/>
      <w:bookmarkStart w:id="701" w:name="Tc_BqYFuyZIgEe45FlNOhvAmA_3_30"/>
      <w:bookmarkStart w:id="702" w:name="Tc_UWTUtQ9E3kW8todJsF4hYQ_3_24"/>
      <w:bookmarkStart w:id="703" w:name="Tc__6YQWQGPUESDLYXfCvJ_aw_3_21"/>
      <w:bookmarkStart w:id="704" w:name="Tc_jM4eUlA8FUmz-_S6ncQxvA_3_14"/>
      <w:bookmarkStart w:id="705" w:name="Tc_F9um7xf-vEicz3LwgHKyHw_3_11"/>
      <w:bookmarkStart w:id="706" w:name="Tc_sq98f1f8v0i4W7y3ON1ABg_3_5"/>
      <w:bookmarkStart w:id="707" w:name="Tc_MbPjBXTXcEeGJoZFfB63Gg_3_2"/>
      <w:bookmarkStart w:id="708" w:name="Tc_We-b9VXoNEOCyY6e6gRFCA_2_30"/>
      <w:bookmarkStart w:id="709" w:name="Tc_s_U9H04Jw0Sl0ilE78dU-g_2_21"/>
      <w:bookmarkStart w:id="710" w:name="Tc_-7_YW5LC0EKxpCj6qfB8UQ_2_11"/>
      <w:bookmarkStart w:id="711" w:name="Tc_iTRKIGmVdE6EG1cp0vOsUw_2_2"/>
      <w:bookmarkStart w:id="712" w:name="Tc_liOFXYR1v0yXLKLBcLilKA_1_21"/>
      <w:bookmarkStart w:id="713" w:name="Tc_gRpLjiIogkum5IBzHvLMBg_1_2"/>
      <w:bookmarkStart w:id="714" w:name="_12f873a1_f193_47ea_84c1_1fcf610b0f3a"/>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Pr>
          <w:rFonts w:ascii="Arial Narrow" w:hAnsi="Arial Narrow"/>
          <w:b/>
          <w:caps/>
          <w:color w:val="00556F"/>
          <w:sz w:val="22"/>
        </w:rPr>
        <w:t>Note 4—Revenues</w:t>
      </w:r>
    </w:p>
    <w:p>
      <w:pPr>
        <w:pStyle w:val="TextBody"/>
        <w:bidi w:val="0"/>
        <w:spacing w:before="60" w:after="120"/>
        <w:ind w:left="0" w:right="0" w:firstLine="720"/>
        <w:jc w:val="both"/>
        <w:rPr>
          <w:rFonts w:ascii="Arial Narrow" w:hAnsi="Arial Narrow"/>
          <w:sz w:val="20"/>
        </w:rPr>
      </w:pPr>
      <w:r>
        <w:rPr>
          <w:rFonts w:ascii="Arial Narrow" w:hAnsi="Arial Narrow"/>
          <w:b/>
          <w:sz w:val="20"/>
        </w:rPr>
        <w:t>Overview</w:t>
      </w:r>
      <w:r>
        <w:rPr>
          <w:rFonts w:ascii="Arial Narrow" w:hAnsi="Arial Narrow"/>
          <w:sz w:val="20"/>
        </w:rPr>
        <w:t>—For most of our contracts with customers, our drilling services represent a single performance obligation that is satisfied over time, the duration of which varies by contract.  As of June 30, 2026, the drilling contract with the longest expected remaining duration, excluding unexercised options, extends through November 2030.</w:t>
      </w:r>
    </w:p>
    <w:p>
      <w:pPr>
        <w:pStyle w:val="TextBody"/>
        <w:bidi w:val="0"/>
        <w:spacing w:before="120" w:after="0"/>
        <w:ind w:left="0" w:right="0" w:firstLine="720"/>
        <w:jc w:val="both"/>
        <w:rPr>
          <w:rFonts w:ascii="Arial Narrow" w:hAnsi="Arial Narrow"/>
          <w:sz w:val="20"/>
        </w:rPr>
      </w:pPr>
      <w:r>
        <w:rPr>
          <w:rFonts w:ascii="Arial Narrow" w:hAnsi="Arial Narrow"/>
          <w:b/>
          <w:sz w:val="20"/>
        </w:rPr>
        <w:t>Disaggregation</w:t>
      </w:r>
      <w:r>
        <w:rPr>
          <w:rFonts w:ascii="Arial Narrow" w:hAnsi="Arial Narrow"/>
          <w:sz w:val="20"/>
        </w:rPr>
        <w:t>—Our contract drilling revenues, disaggregated by asset group and by country in which they were earned, were as follows (in millions):</w:t>
      </w:r>
    </w:p>
    <w:p>
      <w:pPr>
        <w:pStyle w:val="TextBody"/>
        <w:bidi w:val="0"/>
        <w:spacing w:before="0" w:after="0"/>
        <w:ind w:left="0" w:right="0" w:hanging="0"/>
        <w:jc w:val="left"/>
        <w:rPr/>
      </w:pPr>
      <w:r>
        <w:rPr/>
        <w:t>​</w:t>
      </w:r>
    </w:p>
    <w:tbl>
      <w:tblPr>
        <w:tblW w:w="11137" w:type="dxa"/>
        <w:jc w:val="left"/>
        <w:tblInd w:w="0" w:type="dxa"/>
        <w:tblLayout w:type="fixed"/>
        <w:tblCellMar>
          <w:top w:w="0" w:type="dxa"/>
          <w:left w:w="0" w:type="dxa"/>
          <w:bottom w:w="0" w:type="dxa"/>
          <w:right w:w="0" w:type="dxa"/>
        </w:tblCellMar>
      </w:tblPr>
      <w:tblGrid>
        <w:gridCol w:w="691"/>
        <w:gridCol w:w="226"/>
        <w:gridCol w:w="211"/>
        <w:gridCol w:w="405"/>
        <w:gridCol w:w="226"/>
        <w:gridCol w:w="247"/>
        <w:gridCol w:w="474"/>
        <w:gridCol w:w="226"/>
        <w:gridCol w:w="181"/>
        <w:gridCol w:w="331"/>
        <w:gridCol w:w="109"/>
        <w:gridCol w:w="211"/>
        <w:gridCol w:w="405"/>
        <w:gridCol w:w="226"/>
        <w:gridCol w:w="247"/>
        <w:gridCol w:w="474"/>
        <w:gridCol w:w="226"/>
        <w:gridCol w:w="181"/>
        <w:gridCol w:w="331"/>
        <w:gridCol w:w="226"/>
        <w:gridCol w:w="109"/>
        <w:gridCol w:w="181"/>
        <w:gridCol w:w="451"/>
        <w:gridCol w:w="226"/>
        <w:gridCol w:w="247"/>
        <w:gridCol w:w="474"/>
        <w:gridCol w:w="226"/>
        <w:gridCol w:w="181"/>
        <w:gridCol w:w="451"/>
        <w:gridCol w:w="109"/>
        <w:gridCol w:w="181"/>
        <w:gridCol w:w="451"/>
        <w:gridCol w:w="226"/>
        <w:gridCol w:w="247"/>
        <w:gridCol w:w="474"/>
        <w:gridCol w:w="226"/>
        <w:gridCol w:w="181"/>
        <w:gridCol w:w="451"/>
        <w:gridCol w:w="191"/>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60" name="Frame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57175" cy="175260"/>
                      <wp:effectExtent l="0" t="0" r="0" b="0"/>
                      <wp:wrapNone/>
                      <wp:docPr id="63" name="Frame62"/>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4" name="Frame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6845" cy="175260"/>
                      <wp:effectExtent l="0" t="0" r="0" b="0"/>
                      <wp:wrapNone/>
                      <wp:docPr id="65" name="Frame6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00990" cy="175260"/>
                      <wp:effectExtent l="0" t="0" r="0" b="0"/>
                      <wp:wrapNone/>
                      <wp:docPr id="66" name="Frame65"/>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7" name="Frame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0185" cy="175260"/>
                      <wp:effectExtent l="0" t="0" r="0" b="0"/>
                      <wp:wrapNone/>
                      <wp:docPr id="69" name="Frame6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7175" cy="175260"/>
                      <wp:effectExtent l="0" t="0" r="0" b="0"/>
                      <wp:wrapNone/>
                      <wp:docPr id="72" name="Frame7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510" cy="175260"/>
                      <wp:effectExtent l="0" t="0" r="0" b="0"/>
                      <wp:wrapNone/>
                      <wp:docPr id="73" name="Frame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6845" cy="175260"/>
                      <wp:effectExtent l="0" t="0" r="0" b="0"/>
                      <wp:wrapNone/>
                      <wp:docPr id="74" name="Frame7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00990" cy="175260"/>
                      <wp:effectExtent l="0" t="0" r="0" b="0"/>
                      <wp:wrapNone/>
                      <wp:docPr id="75" name="Frame7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6" name="Frame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14935" cy="175260"/>
                      <wp:effectExtent l="0" t="0" r="0" b="0"/>
                      <wp:wrapNone/>
                      <wp:docPr id="77" name="Frame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0185" cy="175260"/>
                      <wp:effectExtent l="0" t="0" r="0" b="0"/>
                      <wp:wrapNone/>
                      <wp:docPr id="78" name="Frame7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79" name="Frame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14935" cy="175260"/>
                      <wp:effectExtent l="0" t="0" r="0" b="0"/>
                      <wp:wrapNone/>
                      <wp:docPr id="81" name="Frame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6385" cy="175260"/>
                      <wp:effectExtent l="0" t="0" r="0" b="0"/>
                      <wp:wrapNone/>
                      <wp:docPr id="82" name="Frame8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3510" cy="175260"/>
                      <wp:effectExtent l="0" t="0" r="0" b="0"/>
                      <wp:wrapNone/>
                      <wp:docPr id="83" name="Frame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6845" cy="175260"/>
                      <wp:effectExtent l="0" t="0" r="0" b="0"/>
                      <wp:wrapNone/>
                      <wp:docPr id="84" name="Frame8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00990" cy="175260"/>
                      <wp:effectExtent l="0" t="0" r="0" b="0"/>
                      <wp:wrapNone/>
                      <wp:docPr id="85" name="Frame8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3510" cy="175260"/>
                      <wp:effectExtent l="0" t="0" r="0" b="0"/>
                      <wp:wrapNone/>
                      <wp:docPr id="86" name="Frame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4935" cy="175260"/>
                      <wp:effectExtent l="0" t="0" r="0" b="0"/>
                      <wp:wrapNone/>
                      <wp:docPr id="87" name="Frame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86385" cy="175260"/>
                      <wp:effectExtent l="0" t="0" r="0" b="0"/>
                      <wp:wrapNone/>
                      <wp:docPr id="88" name="Frame8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14935" cy="175260"/>
                      <wp:effectExtent l="0" t="0" r="0" b="0"/>
                      <wp:wrapNone/>
                      <wp:docPr id="90" name="Frame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86385" cy="175260"/>
                      <wp:effectExtent l="0" t="0" r="0" b="0"/>
                      <wp:wrapNone/>
                      <wp:docPr id="91" name="Frame9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92" name="Frame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6845" cy="175260"/>
                      <wp:effectExtent l="0" t="0" r="0" b="0"/>
                      <wp:wrapNone/>
                      <wp:docPr id="93" name="Frame9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00990" cy="175260"/>
                      <wp:effectExtent l="0" t="0" r="0" b="0"/>
                      <wp:wrapNone/>
                      <wp:docPr id="94" name="Frame93"/>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14935" cy="175260"/>
                      <wp:effectExtent l="0" t="0" r="0" b="0"/>
                      <wp:wrapNone/>
                      <wp:docPr id="96" name="Frame9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86385" cy="175260"/>
                      <wp:effectExtent l="0" t="0" r="0" b="0"/>
                      <wp:wrapNone/>
                      <wp:docPr id="97" name="Frame9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1285" cy="175260"/>
                      <wp:effectExtent l="0" t="0" r="0" b="0"/>
                      <wp:wrapNone/>
                      <wp:docPr id="98" name="Frame9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4711"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Three months ended June 30, </w:t>
            </w:r>
          </w:p>
        </w:tc>
        <w:tc>
          <w:tcPr>
            <w:tcW w:w="2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98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Six months ended June 30, </w:t>
            </w:r>
          </w:p>
        </w:tc>
        <w:tc>
          <w:tcPr>
            <w:tcW w:w="191"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23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2026</w:t>
            </w:r>
          </w:p>
        </w:tc>
        <w:tc>
          <w:tcPr>
            <w:tcW w:w="109" w:type="dxa"/>
            <w:tcBorders/>
            <w:vAlign w:val="center"/>
          </w:tcPr>
          <w:p>
            <w:pPr>
              <w:pStyle w:val="TableContents"/>
              <w:bidi w:val="0"/>
              <w:spacing w:before="0" w:after="0"/>
              <w:ind w:left="0" w:right="0" w:hanging="0"/>
              <w:jc w:val="center"/>
              <w:rPr/>
            </w:pPr>
            <w:r>
              <w:rPr/>
              <w:t>​</w:t>
            </w:r>
          </w:p>
        </w:tc>
        <w:tc>
          <w:tcPr>
            <w:tcW w:w="23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2025</w:t>
            </w:r>
          </w:p>
        </w:tc>
        <w:tc>
          <w:tcPr>
            <w:tcW w:w="2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243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2026</w:t>
            </w:r>
          </w:p>
        </w:tc>
        <w:tc>
          <w:tcPr>
            <w:tcW w:w="109" w:type="dxa"/>
            <w:tcBorders/>
            <w:vAlign w:val="center"/>
          </w:tcPr>
          <w:p>
            <w:pPr>
              <w:pStyle w:val="TableContents"/>
              <w:bidi w:val="0"/>
              <w:spacing w:before="0" w:after="0"/>
              <w:ind w:left="0" w:right="0" w:hanging="0"/>
              <w:jc w:val="center"/>
              <w:rPr/>
            </w:pPr>
            <w:r>
              <w:rPr/>
              <w:t>​</w:t>
            </w:r>
          </w:p>
        </w:tc>
        <w:tc>
          <w:tcPr>
            <w:tcW w:w="243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2025</w:t>
            </w:r>
          </w:p>
        </w:tc>
        <w:tc>
          <w:tcPr>
            <w:tcW w:w="191" w:type="dxa"/>
            <w:tcBorders/>
            <w:vAlign w:val="center"/>
          </w:tcPr>
          <w:p>
            <w:pPr>
              <w:pStyle w:val="TableContents"/>
              <w:bidi w:val="0"/>
              <w:spacing w:before="0" w:after="0"/>
              <w:ind w:left="0" w:right="0" w:hanging="0"/>
              <w:jc w:val="center"/>
              <w:rPr/>
            </w:pPr>
            <w:r>
              <w:rPr/>
              <w:t> </w:t>
            </w:r>
          </w:p>
        </w:tc>
      </w:tr>
      <w:tr>
        <w:trPr/>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Ultra-</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Harsh</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Ultra-</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Harsh</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Ultra-</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Harsh</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Ultra-</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Harsh</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deepwater</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environment</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16"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deepwater</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environment</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deepwater</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environment</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deepwater</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environment</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 xml:space="preserve">Total </w:t>
            </w:r>
          </w:p>
        </w:tc>
        <w:tc>
          <w:tcPr>
            <w:tcW w:w="109" w:type="dxa"/>
            <w:tcBorders/>
            <w:vAlign w:val="center"/>
          </w:tcPr>
          <w:p>
            <w:pPr>
              <w:pStyle w:val="TableContents"/>
              <w:bidi w:val="0"/>
              <w:spacing w:before="0" w:after="0"/>
              <w:ind w:left="0" w:right="0" w:hanging="0"/>
              <w:jc w:val="center"/>
              <w:rPr/>
            </w:pPr>
            <w:r>
              <w:rPr/>
              <w:t>​</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5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 xml:space="preserve">Total </w:t>
            </w:r>
          </w:p>
        </w:tc>
        <w:tc>
          <w:tcPr>
            <w:tcW w:w="2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 xml:space="preserve">Total </w:t>
            </w:r>
          </w:p>
        </w:tc>
        <w:tc>
          <w:tcPr>
            <w:tcW w:w="109" w:type="dxa"/>
            <w:tcBorders/>
            <w:vAlign w:val="center"/>
          </w:tcPr>
          <w:p>
            <w:pPr>
              <w:pStyle w:val="TableContents"/>
              <w:bidi w:val="0"/>
              <w:spacing w:before="0" w:after="0"/>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floaters</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2"/>
              </w:rPr>
            </w:pPr>
            <w:r>
              <w:rPr>
                <w:rFonts w:ascii="Arial Narrow" w:hAnsi="Arial Narrow"/>
                <w:b/>
                <w:sz w:val="12"/>
              </w:rPr>
              <w:t xml:space="preserve">Total </w:t>
            </w:r>
          </w:p>
        </w:tc>
        <w:tc>
          <w:tcPr>
            <w:tcW w:w="191" w:type="dxa"/>
            <w:tcBorders/>
            <w:vAlign w:val="center"/>
          </w:tcPr>
          <w:p>
            <w:pPr>
              <w:pStyle w:val="TableContents"/>
              <w:bidi w:val="0"/>
              <w:spacing w:before="0" w:after="0"/>
              <w:ind w:left="0" w:right="0" w:hanging="0"/>
              <w:jc w:val="center"/>
              <w:rPr/>
            </w:pPr>
            <w:r>
              <w:rPr/>
              <w:t> </w:t>
            </w:r>
          </w:p>
        </w:tc>
      </w:tr>
      <w:tr>
        <w:trPr/>
        <w:tc>
          <w:tcPr>
            <w:tcW w:w="69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U.S.</w:t>
            </w:r>
          </w:p>
        </w:tc>
        <w:tc>
          <w:tcPr>
            <w:tcW w:w="226" w:type="dxa"/>
            <w:tcBorders/>
            <w:shd w:fill="CEDBE0" w:val="clear"/>
            <w:vAlign w:val="center"/>
          </w:tcPr>
          <w:p>
            <w:pPr>
              <w:pStyle w:val="TableContents"/>
              <w:bidi w:val="0"/>
              <w:spacing w:before="0" w:after="0"/>
              <w:ind w:left="0" w:right="0" w:hanging="0"/>
              <w:jc w:val="left"/>
              <w:rPr/>
            </w:pPr>
            <w:r>
              <w:rPr/>
              <w:t> </w:t>
            </w:r>
          </w:p>
        </w:tc>
        <w:tc>
          <w:tcPr>
            <w:tcW w:w="21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344</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33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344</w:t>
            </w:r>
          </w:p>
        </w:tc>
        <w:tc>
          <w:tcPr>
            <w:tcW w:w="109" w:type="dxa"/>
            <w:tcBorders/>
            <w:shd w:fill="CEDBE0" w:val="clear"/>
            <w:vAlign w:val="center"/>
          </w:tcPr>
          <w:p>
            <w:pPr>
              <w:pStyle w:val="TableContents"/>
              <w:bidi w:val="0"/>
              <w:spacing w:before="0" w:after="0"/>
              <w:ind w:left="0" w:right="0" w:hanging="0"/>
              <w:jc w:val="left"/>
              <w:rPr/>
            </w:pPr>
            <w:r>
              <w:rPr/>
              <w:t>​</w:t>
            </w:r>
          </w:p>
        </w:tc>
        <w:tc>
          <w:tcPr>
            <w:tcW w:w="21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408</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33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408</w:t>
            </w:r>
          </w:p>
        </w:tc>
        <w:tc>
          <w:tcPr>
            <w:tcW w:w="226" w:type="dxa"/>
            <w:tcBorders/>
            <w:shd w:fill="CEDBE0" w:val="clear"/>
            <w:vAlign w:val="center"/>
          </w:tcPr>
          <w:p>
            <w:pPr>
              <w:pStyle w:val="TableContents"/>
              <w:bidi w:val="0"/>
              <w:spacing w:before="0" w:after="0"/>
              <w:ind w:left="0" w:right="0" w:hanging="0"/>
              <w:jc w:val="left"/>
              <w:rPr/>
            </w:pPr>
            <w:r>
              <w:rPr/>
              <w:t> </w:t>
            </w:r>
          </w:p>
        </w:tc>
        <w:tc>
          <w:tcPr>
            <w:tcW w:w="109"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777</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777</w:t>
            </w:r>
          </w:p>
        </w:tc>
        <w:tc>
          <w:tcPr>
            <w:tcW w:w="109"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802</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802</w:t>
            </w:r>
          </w:p>
        </w:tc>
        <w:tc>
          <w:tcPr>
            <w:tcW w:w="191" w:type="dxa"/>
            <w:tcBorders/>
            <w:shd w:fill="CEDBE0" w:val="clear"/>
            <w:vAlign w:val="center"/>
          </w:tcPr>
          <w:p>
            <w:pPr>
              <w:pStyle w:val="TableContents"/>
              <w:bidi w:val="0"/>
              <w:spacing w:before="0" w:after="0"/>
              <w:ind w:left="0" w:right="0" w:hanging="0"/>
              <w:jc w:val="left"/>
              <w:rPr/>
            </w:pPr>
            <w:r>
              <w:rPr/>
              <w:t> </w:t>
            </w:r>
          </w:p>
        </w:tc>
      </w:tr>
      <w:tr>
        <w:trPr/>
        <w:tc>
          <w:tcPr>
            <w:tcW w:w="69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Brazil</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167</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167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221</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221</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399</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399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413</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413</w:t>
            </w:r>
          </w:p>
        </w:tc>
        <w:tc>
          <w:tcPr>
            <w:tcW w:w="191" w:type="dxa"/>
            <w:tcBorders/>
            <w:vAlign w:val="center"/>
          </w:tcPr>
          <w:p>
            <w:pPr>
              <w:pStyle w:val="TableContents"/>
              <w:bidi w:val="0"/>
              <w:spacing w:before="0" w:after="0"/>
              <w:ind w:left="0" w:right="0" w:hanging="0"/>
              <w:jc w:val="left"/>
              <w:rPr/>
            </w:pPr>
            <w:r>
              <w:rPr/>
              <w:t>​</w:t>
            </w:r>
          </w:p>
        </w:tc>
      </w:tr>
      <w:tr>
        <w:trPr/>
        <w:tc>
          <w:tcPr>
            <w:tcW w:w="69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Norway</w:t>
            </w:r>
          </w:p>
        </w:tc>
        <w:tc>
          <w:tcPr>
            <w:tcW w:w="226" w:type="dxa"/>
            <w:tcBorders/>
            <w:shd w:fill="CEDBE0" w:val="clear"/>
            <w:vAlign w:val="center"/>
          </w:tcPr>
          <w:p>
            <w:pPr>
              <w:pStyle w:val="TableContents"/>
              <w:bidi w:val="0"/>
              <w:spacing w:before="0" w:after="0"/>
              <w:ind w:left="0" w:right="0" w:hanging="0"/>
              <w:jc w:val="left"/>
              <w:rPr/>
            </w:pPr>
            <w:r>
              <w:rPr/>
              <w:t>​</w:t>
            </w:r>
          </w:p>
        </w:tc>
        <w:tc>
          <w:tcPr>
            <w:tcW w:w="211" w:type="dxa"/>
            <w:tcBorders/>
            <w:shd w:fill="CEDBE0" w:val="clear"/>
            <w:vAlign w:val="center"/>
          </w:tcPr>
          <w:p>
            <w:pPr>
              <w:pStyle w:val="TableContents"/>
              <w:bidi w:val="0"/>
              <w:spacing w:before="0" w:after="0"/>
              <w:ind w:left="0" w:right="0" w:hanging="0"/>
              <w:jc w:val="left"/>
              <w:rPr/>
            </w:pPr>
            <w:r>
              <w:rPr/>
              <w:t>​</w:t>
            </w:r>
          </w:p>
        </w:tc>
        <w:tc>
          <w:tcPr>
            <w:tcW w:w="405"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pPr>
            <w:r>
              <w:rPr/>
              <w:t>​</w:t>
            </w:r>
          </w:p>
        </w:tc>
        <w:tc>
          <w:tcPr>
            <w:tcW w:w="47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177</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33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177</w:t>
            </w:r>
          </w:p>
        </w:tc>
        <w:tc>
          <w:tcPr>
            <w:tcW w:w="109" w:type="dxa"/>
            <w:tcBorders/>
            <w:shd w:fill="CEDBE0" w:val="clear"/>
            <w:vAlign w:val="center"/>
          </w:tcPr>
          <w:p>
            <w:pPr>
              <w:pStyle w:val="TableContents"/>
              <w:bidi w:val="0"/>
              <w:spacing w:before="0" w:after="0"/>
              <w:ind w:left="0" w:right="0" w:hanging="0"/>
              <w:jc w:val="left"/>
              <w:rPr/>
            </w:pPr>
            <w:r>
              <w:rPr/>
              <w:t>​</w:t>
            </w:r>
          </w:p>
        </w:tc>
        <w:tc>
          <w:tcPr>
            <w:tcW w:w="211" w:type="dxa"/>
            <w:tcBorders/>
            <w:shd w:fill="CEDBE0" w:val="clear"/>
            <w:vAlign w:val="center"/>
          </w:tcPr>
          <w:p>
            <w:pPr>
              <w:pStyle w:val="TableContents"/>
              <w:bidi w:val="0"/>
              <w:spacing w:before="0" w:after="0"/>
              <w:ind w:left="0" w:right="0" w:hanging="0"/>
              <w:jc w:val="left"/>
              <w:rPr/>
            </w:pPr>
            <w:r>
              <w:rPr/>
              <w:t>​</w:t>
            </w:r>
          </w:p>
        </w:tc>
        <w:tc>
          <w:tcPr>
            <w:tcW w:w="405"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pPr>
            <w:r>
              <w:rPr/>
              <w:t>​</w:t>
            </w:r>
          </w:p>
        </w:tc>
        <w:tc>
          <w:tcPr>
            <w:tcW w:w="47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140</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33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140</w:t>
            </w:r>
          </w:p>
        </w:tc>
        <w:tc>
          <w:tcPr>
            <w:tcW w:w="226" w:type="dxa"/>
            <w:tcBorders/>
            <w:shd w:fill="CEDBE0" w:val="clear"/>
            <w:vAlign w:val="center"/>
          </w:tcPr>
          <w:p>
            <w:pPr>
              <w:pStyle w:val="TableContents"/>
              <w:bidi w:val="0"/>
              <w:spacing w:before="0" w:after="0"/>
              <w:ind w:left="0" w:right="0" w:hanging="0"/>
              <w:jc w:val="left"/>
              <w:rPr/>
            </w:pPr>
            <w:r>
              <w:rPr/>
              <w:t>​</w:t>
            </w:r>
          </w:p>
        </w:tc>
        <w:tc>
          <w:tcPr>
            <w:tcW w:w="109"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451"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pPr>
            <w:r>
              <w:rPr/>
              <w:t>​</w:t>
            </w:r>
          </w:p>
        </w:tc>
        <w:tc>
          <w:tcPr>
            <w:tcW w:w="47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356</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356</w:t>
            </w:r>
          </w:p>
        </w:tc>
        <w:tc>
          <w:tcPr>
            <w:tcW w:w="109"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451" w:type="dxa"/>
            <w:tcBorders/>
            <w:shd w:fill="CEDBE0" w:val="clear"/>
            <w:vAlign w:val="center"/>
          </w:tcPr>
          <w:p>
            <w:pPr>
              <w:pStyle w:val="TableContents"/>
              <w:bidi w:val="0"/>
              <w:spacing w:before="0" w:after="0"/>
              <w:ind w:left="0" w:right="0" w:hanging="0"/>
              <w:jc w:val="right"/>
              <w:rPr/>
            </w:pPr>
            <w:r>
              <w:rPr/>
              <w:t>—</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shd w:fill="CEDBE0" w:val="clear"/>
            <w:vAlign w:val="center"/>
          </w:tcPr>
          <w:p>
            <w:pPr>
              <w:pStyle w:val="TableContents"/>
              <w:bidi w:val="0"/>
              <w:spacing w:before="0" w:after="0"/>
              <w:ind w:left="0" w:right="0" w:hanging="0"/>
              <w:jc w:val="left"/>
              <w:rPr/>
            </w:pPr>
            <w:r>
              <w:rPr/>
              <w:t>​</w:t>
            </w:r>
          </w:p>
        </w:tc>
        <w:tc>
          <w:tcPr>
            <w:tcW w:w="47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299</w:t>
            </w:r>
          </w:p>
        </w:tc>
        <w:tc>
          <w:tcPr>
            <w:tcW w:w="226" w:type="dxa"/>
            <w:tcBorders/>
            <w:shd w:fill="CEDBE0" w:val="clear"/>
            <w:vAlign w:val="center"/>
          </w:tcPr>
          <w:p>
            <w:pPr>
              <w:pStyle w:val="TableContents"/>
              <w:bidi w:val="0"/>
              <w:spacing w:before="0" w:after="0"/>
              <w:ind w:left="0" w:right="0" w:hanging="0"/>
              <w:jc w:val="righ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45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299</w:t>
            </w:r>
          </w:p>
        </w:tc>
        <w:tc>
          <w:tcPr>
            <w:tcW w:w="191" w:type="dxa"/>
            <w:tcBorders/>
            <w:shd w:fill="CEDBE0" w:val="clear"/>
            <w:vAlign w:val="center"/>
          </w:tcPr>
          <w:p>
            <w:pPr>
              <w:pStyle w:val="TableContents"/>
              <w:bidi w:val="0"/>
              <w:spacing w:before="0" w:after="0"/>
              <w:ind w:left="0" w:right="0" w:hanging="0"/>
              <w:jc w:val="right"/>
              <w:rPr/>
            </w:pPr>
            <w:r>
              <w:rPr/>
              <w:t>​</w:t>
            </w:r>
          </w:p>
        </w:tc>
      </w:tr>
      <w:tr>
        <w:trPr/>
        <w:tc>
          <w:tcPr>
            <w:tcW w:w="69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Australia</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107</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92</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92</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209</w:t>
            </w:r>
          </w:p>
        </w:tc>
        <w:tc>
          <w:tcPr>
            <w:tcW w:w="2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175</w:t>
            </w:r>
          </w:p>
        </w:tc>
        <w:tc>
          <w:tcPr>
            <w:tcW w:w="22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175</w:t>
            </w:r>
          </w:p>
        </w:tc>
        <w:tc>
          <w:tcPr>
            <w:tcW w:w="191" w:type="dxa"/>
            <w:tcBorders/>
            <w:vAlign w:val="center"/>
          </w:tcPr>
          <w:p>
            <w:pPr>
              <w:pStyle w:val="TableContents"/>
              <w:bidi w:val="0"/>
              <w:spacing w:before="0" w:after="0"/>
              <w:ind w:left="0" w:right="0" w:hanging="0"/>
              <w:jc w:val="right"/>
              <w:rPr/>
            </w:pPr>
            <w:r>
              <w:rPr/>
              <w:t>​</w:t>
            </w:r>
          </w:p>
        </w:tc>
      </w:tr>
      <w:tr>
        <w:trPr/>
        <w:tc>
          <w:tcPr>
            <w:tcW w:w="69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Other countries (a)</w:t>
            </w:r>
          </w:p>
        </w:tc>
        <w:tc>
          <w:tcPr>
            <w:tcW w:w="226" w:type="dxa"/>
            <w:tcBorders/>
            <w:shd w:fill="CEDBE0"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05"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112</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59</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171</w:t>
            </w:r>
          </w:p>
        </w:tc>
        <w:tc>
          <w:tcPr>
            <w:tcW w:w="109" w:type="dxa"/>
            <w:tcBorders/>
            <w:shd w:fill="CEDBE0"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05"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70</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57</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127</w:t>
            </w:r>
          </w:p>
        </w:tc>
        <w:tc>
          <w:tcPr>
            <w:tcW w:w="226" w:type="dxa"/>
            <w:tcBorders/>
            <w:shd w:fill="CEDBE0" w:val="clear"/>
            <w:vAlign w:val="center"/>
          </w:tcPr>
          <w:p>
            <w:pPr>
              <w:pStyle w:val="TableContents"/>
              <w:bidi w:val="0"/>
              <w:spacing w:before="0" w:after="0"/>
              <w:ind w:left="0" w:right="0" w:hanging="0"/>
              <w:jc w:val="left"/>
              <w:rPr/>
            </w:pPr>
            <w:r>
              <w:rPr/>
              <w:t>​</w:t>
            </w:r>
          </w:p>
        </w:tc>
        <w:tc>
          <w:tcPr>
            <w:tcW w:w="109"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195</w:t>
            </w:r>
          </w:p>
        </w:tc>
        <w:tc>
          <w:tcPr>
            <w:tcW w:w="226" w:type="dxa"/>
            <w:tcBorders/>
            <w:shd w:fill="CEDBE0"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111</w:t>
            </w:r>
          </w:p>
        </w:tc>
        <w:tc>
          <w:tcPr>
            <w:tcW w:w="22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306</w:t>
            </w:r>
          </w:p>
        </w:tc>
        <w:tc>
          <w:tcPr>
            <w:tcW w:w="109"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142</w:t>
            </w:r>
          </w:p>
        </w:tc>
        <w:tc>
          <w:tcPr>
            <w:tcW w:w="22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63</w:t>
            </w:r>
          </w:p>
        </w:tc>
        <w:tc>
          <w:tcPr>
            <w:tcW w:w="22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205</w:t>
            </w:r>
          </w:p>
        </w:tc>
        <w:tc>
          <w:tcPr>
            <w:tcW w:w="19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r>
      <w:tr>
        <w:trPr/>
        <w:tc>
          <w:tcPr>
            <w:tcW w:w="69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 contract drilling revenues</w:t>
            </w:r>
          </w:p>
        </w:tc>
        <w:tc>
          <w:tcPr>
            <w:tcW w:w="226" w:type="dxa"/>
            <w:tcBorders/>
            <w:vAlign w:val="center"/>
          </w:tcPr>
          <w:p>
            <w:pPr>
              <w:pStyle w:val="TableContents"/>
              <w:bidi w:val="0"/>
              <w:spacing w:before="0" w:after="0"/>
              <w:ind w:left="0" w:right="0" w:hanging="0"/>
              <w:jc w:val="left"/>
              <w:rPr/>
            </w:pPr>
            <w:r>
              <w:rPr/>
              <w:t> </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623</w:t>
            </w:r>
          </w:p>
        </w:tc>
        <w:tc>
          <w:tcPr>
            <w:tcW w:w="226" w:type="dxa"/>
            <w:tcBorders/>
            <w:vAlign w:val="center"/>
          </w:tcPr>
          <w:p>
            <w:pPr>
              <w:pStyle w:val="TableContents"/>
              <w:bidi w:val="0"/>
              <w:spacing w:before="0" w:after="0"/>
              <w:ind w:left="0" w:right="0" w:hanging="0"/>
              <w:jc w:val="left"/>
              <w:rPr/>
            </w:pPr>
            <w:r>
              <w:rPr/>
              <w:t>​</w:t>
            </w:r>
          </w:p>
        </w:tc>
        <w:tc>
          <w:tcPr>
            <w:tcW w:w="247"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343</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3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966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05"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699</w:t>
            </w:r>
          </w:p>
        </w:tc>
        <w:tc>
          <w:tcPr>
            <w:tcW w:w="226" w:type="dxa"/>
            <w:tcBorders/>
            <w:vAlign w:val="center"/>
          </w:tcPr>
          <w:p>
            <w:pPr>
              <w:pStyle w:val="TableContents"/>
              <w:bidi w:val="0"/>
              <w:spacing w:before="0" w:after="0"/>
              <w:ind w:left="0" w:right="0" w:hanging="0"/>
              <w:jc w:val="left"/>
              <w:rPr/>
            </w:pPr>
            <w:r>
              <w:rPr/>
              <w:t>​</w:t>
            </w:r>
          </w:p>
        </w:tc>
        <w:tc>
          <w:tcPr>
            <w:tcW w:w="247"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289</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33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988</w:t>
            </w:r>
          </w:p>
        </w:tc>
        <w:tc>
          <w:tcPr>
            <w:tcW w:w="2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1,371</w:t>
            </w:r>
          </w:p>
        </w:tc>
        <w:tc>
          <w:tcPr>
            <w:tcW w:w="226" w:type="dxa"/>
            <w:tcBorders/>
            <w:vAlign w:val="center"/>
          </w:tcPr>
          <w:p>
            <w:pPr>
              <w:pStyle w:val="TableContents"/>
              <w:bidi w:val="0"/>
              <w:spacing w:before="0" w:after="0"/>
              <w:ind w:left="0" w:right="0" w:hanging="0"/>
              <w:jc w:val="left"/>
              <w:rPr/>
            </w:pPr>
            <w:r>
              <w:rPr/>
              <w:t>​</w:t>
            </w:r>
          </w:p>
        </w:tc>
        <w:tc>
          <w:tcPr>
            <w:tcW w:w="247"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676</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2,047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1,357</w:t>
            </w:r>
          </w:p>
        </w:tc>
        <w:tc>
          <w:tcPr>
            <w:tcW w:w="226" w:type="dxa"/>
            <w:tcBorders/>
            <w:vAlign w:val="center"/>
          </w:tcPr>
          <w:p>
            <w:pPr>
              <w:pStyle w:val="TableContents"/>
              <w:bidi w:val="0"/>
              <w:spacing w:before="0" w:after="0"/>
              <w:ind w:left="0" w:right="0" w:hanging="0"/>
              <w:jc w:val="left"/>
              <w:rPr/>
            </w:pPr>
            <w:r>
              <w:rPr/>
              <w:t>​</w:t>
            </w:r>
          </w:p>
        </w:tc>
        <w:tc>
          <w:tcPr>
            <w:tcW w:w="247"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74"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537</w:t>
            </w:r>
          </w:p>
        </w:tc>
        <w:tc>
          <w:tcPr>
            <w:tcW w:w="226" w:type="dxa"/>
            <w:tcBorders/>
            <w:vAlign w:val="center"/>
          </w:tcPr>
          <w:p>
            <w:pPr>
              <w:pStyle w:val="TableContents"/>
              <w:bidi w:val="0"/>
              <w:spacing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1,894</w:t>
            </w:r>
          </w:p>
        </w:tc>
        <w:tc>
          <w:tcPr>
            <w:tcW w:w="19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r>
    </w:tbl>
    <w:p>
      <w:pPr>
        <w:pStyle w:val="TextBody"/>
        <w:bidi w:val="0"/>
        <w:ind w:left="0" w:right="1008" w:hanging="0"/>
        <w:jc w:val="left"/>
        <w:rPr>
          <w:rFonts w:ascii="Arial Narrow" w:hAnsi="Arial Narrow"/>
          <w:sz w:val="16"/>
        </w:rPr>
      </w:pPr>
      <w:r>
        <w:rPr>
          <w:rFonts w:ascii="Arial Narrow" w:hAnsi="Arial Narrow"/>
          <w:sz w:val="16"/>
        </w:rPr>
        <w:t>(a)The aggregate contract drilling revenues earned in other countries that individually represented less than 10 percent of total contract drilling revenues.</w:t>
      </w:r>
    </w:p>
    <w:p>
      <w:pPr>
        <w:pStyle w:val="TextBody"/>
        <w:bidi w:val="0"/>
        <w:spacing w:before="180" w:after="60"/>
        <w:ind w:left="0" w:right="0" w:firstLine="720"/>
        <w:jc w:val="both"/>
        <w:rPr>
          <w:rFonts w:ascii="Arial Narrow" w:hAnsi="Arial Narrow"/>
          <w:sz w:val="20"/>
        </w:rPr>
      </w:pPr>
      <w:r>
        <w:rPr>
          <w:rFonts w:ascii="Arial Narrow" w:hAnsi="Arial Narrow"/>
          <w:b/>
          <w:sz w:val="20"/>
        </w:rPr>
        <w:t>Contract liabilities</w:t>
      </w:r>
      <w:r>
        <w:rPr>
          <w:rFonts w:ascii="Arial Narrow" w:hAnsi="Arial Narrow"/>
          <w:sz w:val="20"/>
        </w:rPr>
        <w:t>—Contract liabilities for our contracts with customers were as follows (in millions):</w:t>
      </w:r>
    </w:p>
    <w:p>
      <w:pPr>
        <w:pStyle w:val="TextBody"/>
        <w:bidi w:val="0"/>
        <w:spacing w:before="0" w:after="0"/>
        <w:ind w:left="0" w:right="0" w:hanging="0"/>
        <w:jc w:val="left"/>
        <w:rPr/>
      </w:pPr>
      <w:r>
        <w:rPr/>
        <w:t>​</w:t>
      </w:r>
    </w:p>
    <w:tbl>
      <w:tblPr>
        <w:tblW w:w="5457" w:type="dxa"/>
        <w:jc w:val="left"/>
        <w:tblInd w:w="0" w:type="dxa"/>
        <w:tblLayout w:type="fixed"/>
        <w:tblCellMar>
          <w:top w:w="0" w:type="dxa"/>
          <w:left w:w="0" w:type="dxa"/>
          <w:bottom w:w="0" w:type="dxa"/>
          <w:right w:w="0" w:type="dxa"/>
        </w:tblCellMar>
      </w:tblPr>
      <w:tblGrid>
        <w:gridCol w:w="3571"/>
        <w:gridCol w:w="146"/>
        <w:gridCol w:w="206"/>
        <w:gridCol w:w="379"/>
        <w:gridCol w:w="109"/>
        <w:gridCol w:w="302"/>
        <w:gridCol w:w="553"/>
        <w:gridCol w:w="19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267585" cy="175895"/>
                      <wp:effectExtent l="0" t="0" r="0" b="0"/>
                      <wp:wrapNone/>
                      <wp:docPr id="99" name="Frame98"/>
                      <a:graphic xmlns:a="http://schemas.openxmlformats.org/drawingml/2006/main">
                        <a:graphicData uri="http://schemas.microsoft.com/office/word/2010/wordprocessingShape">
                          <wps:wsp>
                            <wps:cNvSpPr txBox="1"/>
                            <wps:spPr>
                              <a:xfrm>
                                <a:off x="0" y="0"/>
                                <a:ext cx="2267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2710" cy="175895"/>
                      <wp:effectExtent l="0" t="0" r="0" b="0"/>
                      <wp:wrapNone/>
                      <wp:docPr id="100" name="Frame99"/>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0810" cy="175895"/>
                      <wp:effectExtent l="0" t="0" r="0" b="0"/>
                      <wp:wrapNone/>
                      <wp:docPr id="101" name="Frame100"/>
                      <a:graphic xmlns:a="http://schemas.openxmlformats.org/drawingml/2006/main">
                        <a:graphicData uri="http://schemas.microsoft.com/office/word/2010/wordprocessingShape">
                          <wps:wsp>
                            <wps:cNvSpPr txBox="1"/>
                            <wps:spPr>
                              <a:xfrm>
                                <a:off x="0" y="0"/>
                                <a:ext cx="130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0665" cy="175895"/>
                      <wp:effectExtent l="0" t="0" r="0" b="0"/>
                      <wp:wrapNone/>
                      <wp:docPr id="102" name="Frame101"/>
                      <a:graphic xmlns:a="http://schemas.openxmlformats.org/drawingml/2006/main">
                        <a:graphicData uri="http://schemas.microsoft.com/office/word/2010/wordprocessingShape">
                          <wps:wsp>
                            <wps:cNvSpPr txBox="1"/>
                            <wps:spPr>
                              <a:xfrm>
                                <a:off x="0" y="0"/>
                                <a:ext cx="2406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895"/>
                      <wp:effectExtent l="0" t="0" r="0" b="0"/>
                      <wp:wrapNone/>
                      <wp:docPr id="103" name="Frame10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1770" cy="175895"/>
                      <wp:effectExtent l="0" t="0" r="0" b="0"/>
                      <wp:wrapNone/>
                      <wp:docPr id="104" name="Frame103"/>
                      <a:graphic xmlns:a="http://schemas.openxmlformats.org/drawingml/2006/main">
                        <a:graphicData uri="http://schemas.microsoft.com/office/word/2010/wordprocessingShape">
                          <wps:wsp>
                            <wps:cNvSpPr txBox="1"/>
                            <wps:spPr>
                              <a:xfrm>
                                <a:off x="0" y="0"/>
                                <a:ext cx="1917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51155" cy="175895"/>
                      <wp:effectExtent l="0" t="0" r="0" b="0"/>
                      <wp:wrapNone/>
                      <wp:docPr id="105" name="Frame104"/>
                      <a:graphic xmlns:a="http://schemas.openxmlformats.org/drawingml/2006/main">
                        <a:graphicData uri="http://schemas.microsoft.com/office/word/2010/wordprocessingShape">
                          <wps:wsp>
                            <wps:cNvSpPr txBox="1"/>
                            <wps:spPr>
                              <a:xfrm>
                                <a:off x="0" y="0"/>
                                <a:ext cx="3511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1285" cy="175895"/>
                      <wp:effectExtent l="0" t="0" r="0" b="0"/>
                      <wp:wrapNone/>
                      <wp:docPr id="106" name="Frame105"/>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585"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June 30, </w:t>
            </w:r>
          </w:p>
        </w:tc>
        <w:tc>
          <w:tcPr>
            <w:tcW w:w="109" w:type="dxa"/>
            <w:tcBorders/>
            <w:vAlign w:val="center"/>
          </w:tcPr>
          <w:p>
            <w:pPr>
              <w:pStyle w:val="TableContents"/>
              <w:bidi w:val="0"/>
              <w:spacing w:before="1" w:after="1"/>
              <w:ind w:left="0" w:right="0" w:hanging="0"/>
              <w:jc w:val="left"/>
              <w:rPr/>
            </w:pPr>
            <w:r>
              <w:rPr/>
              <w:t>​</w:t>
            </w:r>
          </w:p>
        </w:tc>
        <w:tc>
          <w:tcPr>
            <w:tcW w:w="855"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December 31, </w:t>
            </w:r>
          </w:p>
        </w:tc>
        <w:tc>
          <w:tcPr>
            <w:tcW w:w="191" w:type="dxa"/>
            <w:tcBorders/>
            <w:vAlign w:val="center"/>
          </w:tcPr>
          <w:p>
            <w:pPr>
              <w:pStyle w:val="TableContents"/>
              <w:bidi w:val="0"/>
              <w:spacing w:before="1" w:after="1"/>
              <w:ind w:left="0" w:right="0" w:hanging="0"/>
              <w:jc w:val="center"/>
              <w:rPr/>
            </w:pPr>
            <w:r>
              <w:rPr/>
              <w:t>​</w:t>
            </w:r>
          </w:p>
        </w:tc>
      </w:tr>
      <w:tr>
        <w:trPr/>
        <w:tc>
          <w:tcPr>
            <w:tcW w:w="357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58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09" w:type="dxa"/>
            <w:tcBorders/>
            <w:vAlign w:val="center"/>
          </w:tcPr>
          <w:p>
            <w:pPr>
              <w:pStyle w:val="TableContents"/>
              <w:bidi w:val="0"/>
              <w:spacing w:before="1" w:after="1"/>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2025</w:t>
            </w:r>
          </w:p>
        </w:tc>
        <w:tc>
          <w:tcPr>
            <w:tcW w:w="191" w:type="dxa"/>
            <w:tcBorders/>
            <w:vAlign w:val="center"/>
          </w:tcPr>
          <w:p>
            <w:pPr>
              <w:pStyle w:val="TableContents"/>
              <w:bidi w:val="0"/>
              <w:spacing w:before="1" w:after="1"/>
              <w:ind w:left="0" w:right="0" w:hanging="0"/>
              <w:jc w:val="center"/>
              <w:rPr/>
            </w:pPr>
            <w:r>
              <w:rPr/>
              <w:t> </w:t>
            </w:r>
          </w:p>
        </w:tc>
      </w:tr>
      <w:tr>
        <w:trPr/>
        <w:tc>
          <w:tcPr>
            <w:tcW w:w="357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Contract liabilities, recorded in other current liabilities</w:t>
            </w:r>
          </w:p>
        </w:tc>
        <w:tc>
          <w:tcPr>
            <w:tcW w:w="146" w:type="dxa"/>
            <w:tcBorders/>
            <w:shd w:fill="CEDBE0" w:val="clear"/>
            <w:vAlign w:val="center"/>
          </w:tcPr>
          <w:p>
            <w:pPr>
              <w:pStyle w:val="TableContents"/>
              <w:bidi w:val="0"/>
              <w:spacing w:before="1" w:after="1"/>
              <w:ind w:left="0" w:right="0" w:hanging="0"/>
              <w:jc w:val="left"/>
              <w:rPr/>
            </w:pPr>
            <w:r>
              <w:rPr/>
              <w:t> </w:t>
            </w:r>
          </w:p>
        </w:tc>
        <w:tc>
          <w:tcPr>
            <w:tcW w:w="20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9"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120</w:t>
            </w:r>
          </w:p>
        </w:tc>
        <w:tc>
          <w:tcPr>
            <w:tcW w:w="109" w:type="dxa"/>
            <w:tcBorders/>
            <w:shd w:fill="CEDBE0" w:val="clear"/>
            <w:vAlign w:val="center"/>
          </w:tcPr>
          <w:p>
            <w:pPr>
              <w:pStyle w:val="TableContents"/>
              <w:bidi w:val="0"/>
              <w:spacing w:before="1" w:after="1"/>
              <w:ind w:left="0" w:right="0" w:hanging="0"/>
              <w:jc w:val="left"/>
              <w:rPr/>
            </w:pPr>
            <w:r>
              <w:rPr/>
              <w:t>​</w:t>
            </w:r>
          </w:p>
        </w:tc>
        <w:tc>
          <w:tcPr>
            <w:tcW w:w="30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3"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181</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357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Contract liabilities, recorded in other long-term liabilities</w:t>
            </w:r>
          </w:p>
        </w:tc>
        <w:tc>
          <w:tcPr>
            <w:tcW w:w="146" w:type="dxa"/>
            <w:tcBorders/>
            <w:vAlign w:val="center"/>
          </w:tcPr>
          <w:p>
            <w:pPr>
              <w:pStyle w:val="TableContents"/>
              <w:bidi w:val="0"/>
              <w:spacing w:before="1"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109" w:type="dxa"/>
            <w:tcBorders/>
            <w:vAlign w:val="center"/>
          </w:tcPr>
          <w:p>
            <w:pPr>
              <w:pStyle w:val="TableContents"/>
              <w:bidi w:val="0"/>
              <w:spacing w:before="1"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53"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92</w:t>
            </w:r>
          </w:p>
        </w:tc>
        <w:tc>
          <w:tcPr>
            <w:tcW w:w="191" w:type="dxa"/>
            <w:tcBorders/>
            <w:vAlign w:val="center"/>
          </w:tcPr>
          <w:p>
            <w:pPr>
              <w:pStyle w:val="TableContents"/>
              <w:bidi w:val="0"/>
              <w:spacing w:before="1" w:after="1"/>
              <w:ind w:left="0" w:right="0" w:hanging="0"/>
              <w:jc w:val="left"/>
              <w:rPr/>
            </w:pPr>
            <w:r>
              <w:rPr/>
              <w:t>​</w:t>
            </w:r>
          </w:p>
        </w:tc>
      </w:tr>
      <w:tr>
        <w:trPr/>
        <w:tc>
          <w:tcPr>
            <w:tcW w:w="357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liabilities</w:t>
            </w:r>
          </w:p>
        </w:tc>
        <w:tc>
          <w:tcPr>
            <w:tcW w:w="146" w:type="dxa"/>
            <w:tcBorders/>
            <w:shd w:fill="CEDBE0" w:val="clear"/>
            <w:vAlign w:val="center"/>
          </w:tcPr>
          <w:p>
            <w:pPr>
              <w:pStyle w:val="TableContents"/>
              <w:bidi w:val="0"/>
              <w:spacing w:before="1" w:after="1"/>
              <w:ind w:left="0" w:right="0" w:hanging="0"/>
              <w:jc w:val="left"/>
              <w:rPr/>
            </w:pPr>
            <w:r>
              <w:rPr/>
              <w:t> </w:t>
            </w:r>
          </w:p>
        </w:tc>
        <w:tc>
          <w:tcPr>
            <w:tcW w:w="206"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9"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190</w:t>
            </w:r>
          </w:p>
        </w:tc>
        <w:tc>
          <w:tcPr>
            <w:tcW w:w="109" w:type="dxa"/>
            <w:tcBorders/>
            <w:shd w:fill="CEDBE0" w:val="clear"/>
            <w:vAlign w:val="center"/>
          </w:tcPr>
          <w:p>
            <w:pPr>
              <w:pStyle w:val="TableContents"/>
              <w:bidi w:val="0"/>
              <w:spacing w:before="1" w:after="1"/>
              <w:ind w:left="0" w:right="0" w:hanging="0"/>
              <w:jc w:val="left"/>
              <w:rPr/>
            </w:pPr>
            <w:r>
              <w:rPr/>
              <w:t>​</w:t>
            </w:r>
          </w:p>
        </w:tc>
        <w:tc>
          <w:tcPr>
            <w:tcW w:w="302"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3"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273</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0"/>
        <w:ind w:left="0" w:right="0" w:firstLine="720"/>
        <w:jc w:val="both"/>
        <w:rPr>
          <w:rFonts w:ascii="Arial Narrow" w:hAnsi="Arial Narrow"/>
          <w:sz w:val="20"/>
        </w:rPr>
      </w:pPr>
      <w:r>
        <w:rPr>
          <w:rFonts w:ascii="Arial Narrow" w:hAnsi="Arial Narrow"/>
          <w:sz w:val="20"/>
        </w:rPr>
        <w:t>Significant changes in contract liabilities were as follows (in millions):</w:t>
      </w:r>
    </w:p>
    <w:tbl>
      <w:tblPr>
        <w:tblW w:w="5992" w:type="dxa"/>
        <w:jc w:val="left"/>
        <w:tblInd w:w="0" w:type="dxa"/>
        <w:tblLayout w:type="fixed"/>
        <w:tblCellMar>
          <w:top w:w="0" w:type="dxa"/>
          <w:left w:w="0" w:type="dxa"/>
          <w:bottom w:w="0" w:type="dxa"/>
          <w:right w:w="0" w:type="dxa"/>
        </w:tblCellMar>
      </w:tblPr>
      <w:tblGrid>
        <w:gridCol w:w="4126"/>
        <w:gridCol w:w="109"/>
        <w:gridCol w:w="221"/>
        <w:gridCol w:w="514"/>
        <w:gridCol w:w="133"/>
        <w:gridCol w:w="221"/>
        <w:gridCol w:w="514"/>
        <w:gridCol w:w="154"/>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620010" cy="175895"/>
                      <wp:effectExtent l="0" t="0" r="0" b="0"/>
                      <wp:wrapNone/>
                      <wp:docPr id="107" name="Frame106"/>
                      <a:graphic xmlns:a="http://schemas.openxmlformats.org/drawingml/2006/main">
                        <a:graphicData uri="http://schemas.microsoft.com/office/word/2010/wordprocessingShape">
                          <wps:wsp>
                            <wps:cNvSpPr txBox="1"/>
                            <wps:spPr>
                              <a:xfrm>
                                <a:off x="0" y="0"/>
                                <a:ext cx="2620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895"/>
                      <wp:effectExtent l="0" t="0" r="0" b="0"/>
                      <wp:wrapNone/>
                      <wp:docPr id="108" name="Frame10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0335" cy="175895"/>
                      <wp:effectExtent l="0" t="0" r="0" b="0"/>
                      <wp:wrapNone/>
                      <wp:docPr id="109" name="Frame108"/>
                      <a:graphic xmlns:a="http://schemas.openxmlformats.org/drawingml/2006/main">
                        <a:graphicData uri="http://schemas.microsoft.com/office/word/2010/wordprocessingShape">
                          <wps:wsp>
                            <wps:cNvSpPr txBox="1"/>
                            <wps:spPr>
                              <a:xfrm>
                                <a:off x="0" y="0"/>
                                <a:ext cx="140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26390" cy="175895"/>
                      <wp:effectExtent l="0" t="0" r="0" b="0"/>
                      <wp:wrapNone/>
                      <wp:docPr id="110" name="Frame109"/>
                      <a:graphic xmlns:a="http://schemas.openxmlformats.org/drawingml/2006/main">
                        <a:graphicData uri="http://schemas.microsoft.com/office/word/2010/wordprocessingShape">
                          <wps:wsp>
                            <wps:cNvSpPr txBox="1"/>
                            <wps:spPr>
                              <a:xfrm>
                                <a:off x="0" y="0"/>
                                <a:ext cx="3263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84455" cy="175895"/>
                      <wp:effectExtent l="0" t="0" r="0" b="0"/>
                      <wp:wrapNone/>
                      <wp:docPr id="111" name="Frame110"/>
                      <a:graphic xmlns:a="http://schemas.openxmlformats.org/drawingml/2006/main">
                        <a:graphicData uri="http://schemas.microsoft.com/office/word/2010/wordprocessingShape">
                          <wps:wsp>
                            <wps:cNvSpPr txBox="1"/>
                            <wps:spPr>
                              <a:xfrm>
                                <a:off x="0" y="0"/>
                                <a:ext cx="844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0335" cy="175895"/>
                      <wp:effectExtent l="0" t="0" r="0" b="0"/>
                      <wp:wrapNone/>
                      <wp:docPr id="112" name="Frame111"/>
                      <a:graphic xmlns:a="http://schemas.openxmlformats.org/drawingml/2006/main">
                        <a:graphicData uri="http://schemas.microsoft.com/office/word/2010/wordprocessingShape">
                          <wps:wsp>
                            <wps:cNvSpPr txBox="1"/>
                            <wps:spPr>
                              <a:xfrm>
                                <a:off x="0" y="0"/>
                                <a:ext cx="140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26390" cy="175895"/>
                      <wp:effectExtent l="0" t="0" r="0" b="0"/>
                      <wp:wrapNone/>
                      <wp:docPr id="113" name="Frame112"/>
                      <a:graphic xmlns:a="http://schemas.openxmlformats.org/drawingml/2006/main">
                        <a:graphicData uri="http://schemas.microsoft.com/office/word/2010/wordprocessingShape">
                          <wps:wsp>
                            <wps:cNvSpPr txBox="1"/>
                            <wps:spPr>
                              <a:xfrm>
                                <a:off x="0" y="0"/>
                                <a:ext cx="3263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7790" cy="175895"/>
                      <wp:effectExtent l="0" t="0" r="0" b="0"/>
                      <wp:wrapNone/>
                      <wp:docPr id="114" name="Frame113"/>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60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Six months ended June 30, </w:t>
            </w:r>
          </w:p>
        </w:tc>
        <w:tc>
          <w:tcPr>
            <w:tcW w:w="154" w:type="dxa"/>
            <w:tcBorders/>
            <w:vAlign w:val="center"/>
          </w:tcPr>
          <w:p>
            <w:pPr>
              <w:pStyle w:val="TableContents"/>
              <w:bidi w:val="0"/>
              <w:spacing w:before="1" w:after="1"/>
              <w:ind w:left="0" w:right="0" w:hanging="0"/>
              <w:jc w:val="left"/>
              <w:rPr/>
            </w:pPr>
            <w:r>
              <w:rPr/>
              <w:t>​</w:t>
            </w:r>
          </w:p>
        </w:tc>
      </w:tr>
      <w:tr>
        <w:trPr/>
        <w:tc>
          <w:tcPr>
            <w:tcW w:w="412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3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33" w:type="dxa"/>
            <w:tcBorders/>
            <w:vAlign w:val="center"/>
          </w:tcPr>
          <w:p>
            <w:pPr>
              <w:pStyle w:val="TableContents"/>
              <w:bidi w:val="0"/>
              <w:spacing w:before="1" w:after="1"/>
              <w:ind w:left="0" w:right="0" w:hanging="0"/>
              <w:jc w:val="center"/>
              <w:rPr/>
            </w:pPr>
            <w:r>
              <w:rPr/>
              <w:t>​</w:t>
            </w:r>
          </w:p>
        </w:tc>
        <w:tc>
          <w:tcPr>
            <w:tcW w:w="73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2025</w:t>
            </w:r>
          </w:p>
        </w:tc>
        <w:tc>
          <w:tcPr>
            <w:tcW w:w="154" w:type="dxa"/>
            <w:tcBorders/>
            <w:vAlign w:val="center"/>
          </w:tcPr>
          <w:p>
            <w:pPr>
              <w:pStyle w:val="TableContents"/>
              <w:bidi w:val="0"/>
              <w:spacing w:before="1" w:after="1"/>
              <w:ind w:left="0" w:right="0" w:hanging="0"/>
              <w:jc w:val="center"/>
              <w:rPr/>
            </w:pPr>
            <w:r>
              <w:rPr/>
              <w:t>​</w:t>
            </w:r>
          </w:p>
        </w:tc>
      </w:tr>
      <w:tr>
        <w:trPr/>
        <w:tc>
          <w:tcPr>
            <w:tcW w:w="412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liabilities, beginning of period</w:t>
            </w:r>
          </w:p>
        </w:tc>
        <w:tc>
          <w:tcPr>
            <w:tcW w:w="109" w:type="dxa"/>
            <w:tcBorders/>
            <w:shd w:fill="CEDBE0" w:val="clear"/>
            <w:vAlign w:val="center"/>
          </w:tcPr>
          <w:p>
            <w:pPr>
              <w:pStyle w:val="TableContents"/>
              <w:bidi w:val="0"/>
              <w:spacing w:before="1" w:after="1"/>
              <w:ind w:left="0" w:right="0" w:hanging="0"/>
              <w:jc w:val="left"/>
              <w:rPr/>
            </w:pPr>
            <w:r>
              <w:rPr/>
              <w:t>​</w:t>
            </w:r>
          </w:p>
        </w:tc>
        <w:tc>
          <w:tcPr>
            <w:tcW w:w="22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273</w:t>
            </w:r>
          </w:p>
        </w:tc>
        <w:tc>
          <w:tcPr>
            <w:tcW w:w="133" w:type="dxa"/>
            <w:tcBorders/>
            <w:shd w:fill="CEDBE0" w:val="clear"/>
            <w:vAlign w:val="center"/>
          </w:tcPr>
          <w:p>
            <w:pPr>
              <w:pStyle w:val="TableContents"/>
              <w:bidi w:val="0"/>
              <w:spacing w:before="1" w:after="1"/>
              <w:ind w:left="0" w:right="0" w:hanging="0"/>
              <w:jc w:val="left"/>
              <w:rPr/>
            </w:pPr>
            <w:r>
              <w:rPr/>
              <w:t>​</w:t>
            </w:r>
          </w:p>
        </w:tc>
        <w:tc>
          <w:tcPr>
            <w:tcW w:w="22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1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443</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12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Decrease due to recognition of revenues for goods and services</w:t>
            </w:r>
          </w:p>
        </w:tc>
        <w:tc>
          <w:tcPr>
            <w:tcW w:w="109" w:type="dxa"/>
            <w:tcBorders/>
            <w:vAlign w:val="center"/>
          </w:tcPr>
          <w:p>
            <w:pPr>
              <w:pStyle w:val="TableContents"/>
              <w:bidi w:val="0"/>
              <w:spacing w:before="1" w:after="1"/>
              <w:ind w:left="0" w:right="0" w:hanging="0"/>
              <w:jc w:val="left"/>
              <w:rPr/>
            </w:pPr>
            <w:r>
              <w:rPr/>
              <w:t>​</w:t>
            </w:r>
          </w:p>
        </w:tc>
        <w:tc>
          <w:tcPr>
            <w:tcW w:w="221" w:type="dxa"/>
            <w:tcBorders/>
            <w:vAlign w:val="center"/>
          </w:tcPr>
          <w:p>
            <w:pPr>
              <w:pStyle w:val="TableContents"/>
              <w:bidi w:val="0"/>
              <w:spacing w:before="1" w:after="1"/>
              <w:ind w:left="0" w:right="0" w:hanging="0"/>
              <w:jc w:val="lef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(110)</w:t>
            </w:r>
          </w:p>
        </w:tc>
        <w:tc>
          <w:tcPr>
            <w:tcW w:w="133" w:type="dxa"/>
            <w:tcBorders/>
            <w:vAlign w:val="center"/>
          </w:tcPr>
          <w:p>
            <w:pPr>
              <w:pStyle w:val="TableContents"/>
              <w:bidi w:val="0"/>
              <w:spacing w:before="1" w:after="1"/>
              <w:ind w:left="0" w:right="0" w:hanging="0"/>
              <w:jc w:val="left"/>
              <w:rPr/>
            </w:pPr>
            <w:r>
              <w:rPr/>
              <w:t>​</w:t>
            </w:r>
          </w:p>
        </w:tc>
        <w:tc>
          <w:tcPr>
            <w:tcW w:w="221" w:type="dxa"/>
            <w:tcBorders/>
            <w:vAlign w:val="center"/>
          </w:tcPr>
          <w:p>
            <w:pPr>
              <w:pStyle w:val="TableContents"/>
              <w:bidi w:val="0"/>
              <w:spacing w:before="1" w:after="1"/>
              <w:ind w:left="0" w:right="0" w:hanging="0"/>
              <w:jc w:val="left"/>
              <w:rPr/>
            </w:pPr>
            <w:r>
              <w:rPr/>
              <w:t>​</w:t>
            </w:r>
          </w:p>
        </w:tc>
        <w:tc>
          <w:tcPr>
            <w:tcW w:w="51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(130)</w:t>
            </w:r>
          </w:p>
        </w:tc>
        <w:tc>
          <w:tcPr>
            <w:tcW w:w="154" w:type="dxa"/>
            <w:tcBorders/>
            <w:vAlign w:val="center"/>
          </w:tcPr>
          <w:p>
            <w:pPr>
              <w:pStyle w:val="TableContents"/>
              <w:bidi w:val="0"/>
              <w:spacing w:before="1" w:after="1"/>
              <w:ind w:left="0" w:right="0" w:hanging="0"/>
              <w:jc w:val="left"/>
              <w:rPr/>
            </w:pPr>
            <w:r>
              <w:rPr/>
              <w:t>​</w:t>
            </w:r>
          </w:p>
        </w:tc>
      </w:tr>
      <w:tr>
        <w:trPr/>
        <w:tc>
          <w:tcPr>
            <w:tcW w:w="412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Increase due to goods and services transferred over time</w:t>
            </w:r>
          </w:p>
        </w:tc>
        <w:tc>
          <w:tcPr>
            <w:tcW w:w="109" w:type="dxa"/>
            <w:tcBorders/>
            <w:shd w:fill="CEDBE0" w:val="clear"/>
            <w:vAlign w:val="center"/>
          </w:tcPr>
          <w:p>
            <w:pPr>
              <w:pStyle w:val="TableContents"/>
              <w:bidi w:val="0"/>
              <w:spacing w:before="1" w:after="1"/>
              <w:ind w:left="0" w:right="0" w:hanging="0"/>
              <w:jc w:val="left"/>
              <w:rPr/>
            </w:pPr>
            <w:r>
              <w:rPr/>
              <w:t>​</w:t>
            </w:r>
          </w:p>
        </w:tc>
        <w:tc>
          <w:tcPr>
            <w:tcW w:w="22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14"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27</w:t>
            </w:r>
          </w:p>
        </w:tc>
        <w:tc>
          <w:tcPr>
            <w:tcW w:w="133" w:type="dxa"/>
            <w:tcBorders/>
            <w:shd w:fill="CEDBE0" w:val="clear"/>
            <w:vAlign w:val="center"/>
          </w:tcPr>
          <w:p>
            <w:pPr>
              <w:pStyle w:val="TableContents"/>
              <w:bidi w:val="0"/>
              <w:spacing w:before="1" w:after="1"/>
              <w:ind w:left="0" w:right="0" w:hanging="0"/>
              <w:jc w:val="left"/>
              <w:rPr/>
            </w:pPr>
            <w:r>
              <w:rPr/>
              <w:t>​</w:t>
            </w:r>
          </w:p>
        </w:tc>
        <w:tc>
          <w:tcPr>
            <w:tcW w:w="22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14"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46</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12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liabilities, end of period</w:t>
            </w:r>
          </w:p>
        </w:tc>
        <w:tc>
          <w:tcPr>
            <w:tcW w:w="109" w:type="dxa"/>
            <w:tcBorders/>
            <w:vAlign w:val="center"/>
          </w:tcPr>
          <w:p>
            <w:pPr>
              <w:pStyle w:val="TableContents"/>
              <w:bidi w:val="0"/>
              <w:spacing w:before="1" w:after="1"/>
              <w:ind w:left="0" w:right="0" w:hanging="0"/>
              <w:jc w:val="left"/>
              <w:rPr/>
            </w:pPr>
            <w:r>
              <w:rPr/>
              <w:t>​</w:t>
            </w:r>
          </w:p>
        </w:tc>
        <w:tc>
          <w:tcPr>
            <w:tcW w:w="22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14"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190</w:t>
            </w:r>
          </w:p>
        </w:tc>
        <w:tc>
          <w:tcPr>
            <w:tcW w:w="133" w:type="dxa"/>
            <w:tcBorders/>
            <w:vAlign w:val="center"/>
          </w:tcPr>
          <w:p>
            <w:pPr>
              <w:pStyle w:val="TableContents"/>
              <w:bidi w:val="0"/>
              <w:spacing w:before="1" w:after="1"/>
              <w:ind w:left="0" w:right="0" w:hanging="0"/>
              <w:jc w:val="left"/>
              <w:rPr/>
            </w:pPr>
            <w:r>
              <w:rPr/>
              <w:t>​</w:t>
            </w:r>
          </w:p>
        </w:tc>
        <w:tc>
          <w:tcPr>
            <w:tcW w:w="22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14"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359</w:t>
            </w:r>
          </w:p>
        </w:tc>
        <w:tc>
          <w:tcPr>
            <w:tcW w:w="154"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80" w:after="120"/>
        <w:ind w:left="0" w:right="0" w:firstLine="720"/>
        <w:jc w:val="both"/>
        <w:rPr>
          <w:rFonts w:ascii="Arial Narrow" w:hAnsi="Arial Narrow"/>
          <w:sz w:val="20"/>
        </w:rPr>
      </w:pPr>
      <w:r>
        <w:rPr>
          <w:rFonts w:ascii="Arial Narrow" w:hAnsi="Arial Narrow"/>
          <w:b/>
          <w:sz w:val="20"/>
        </w:rPr>
        <w:t>Pre-operating costs</w:t>
      </w:r>
      <w:r>
        <w:rPr>
          <w:rFonts w:ascii="Arial Narrow" w:hAnsi="Arial Narrow"/>
          <w:sz w:val="20"/>
        </w:rPr>
        <w:t>—In the three and six months ended June 30, 2026, we recognized pre-operating costs of $25 million and $63 million, respectively, recorded in operating and maintenance costs.  In the three and six months ended June 30, 2025, we recognized pre-operating costs of $42 million and $79 million, respectively, recorded in operating and maintenance costs.  At June 30, 2026 and December 31, 2025, the carrying amount of our unrecognized pre-operating costs to obtain contracts was $80 million and $136 million, respectively, recorded in other assets.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715" w:name="FN_LongLivedAssests"/>
      <w:bookmarkEnd w:id="715"/>
      <w:r>
        <w:rPr>
          <w:rFonts w:ascii="Arial Narrow" w:hAnsi="Arial Narrow"/>
          <w:b/>
          <w:caps/>
          <w:color w:val="00556F"/>
          <w:sz w:val="22"/>
        </w:rPr>
        <w:t>Note 5—Long-Lived Assets</w:t>
      </w:r>
    </w:p>
    <w:p>
      <w:pPr>
        <w:pStyle w:val="TextBody"/>
        <w:bidi w:val="0"/>
        <w:spacing w:before="60" w:after="120"/>
        <w:ind w:left="0" w:right="0" w:firstLine="720"/>
        <w:jc w:val="both"/>
        <w:rPr>
          <w:rFonts w:ascii="Arial Narrow" w:hAnsi="Arial Narrow"/>
          <w:sz w:val="20"/>
        </w:rPr>
      </w:pPr>
      <w:r>
        <w:rPr>
          <w:rFonts w:ascii="Arial Narrow" w:hAnsi="Arial Narrow"/>
          <w:b/>
          <w:sz w:val="20"/>
        </w:rPr>
        <w:t>Impairments</w:t>
      </w:r>
      <w:r>
        <w:rPr>
          <w:rFonts w:ascii="Arial Narrow" w:hAnsi="Arial Narrow"/>
          <w:sz w:val="20"/>
        </w:rPr>
        <w:t xml:space="preserve">—In the three and six months ended June 30, 2025, we recognized an aggregate loss of $1.14 billion ($1.13 billion, or $1.27 per diluted share, net of tax) associated with the impairment of the ultra-deepwater floaters </w:t>
      </w:r>
      <w:r>
        <w:rPr>
          <w:rFonts w:ascii="Arial Narrow" w:hAnsi="Arial Narrow"/>
          <w:i/>
          <w:sz w:val="20"/>
        </w:rPr>
        <w:t>Discoverer Luanda</w:t>
      </w:r>
      <w:r>
        <w:rPr>
          <w:rFonts w:ascii="Arial Narrow" w:hAnsi="Arial Narrow"/>
          <w:sz w:val="20"/>
        </w:rPr>
        <w:t xml:space="preserve"> and </w:t>
      </w:r>
      <w:r>
        <w:rPr>
          <w:rFonts w:ascii="Arial Narrow" w:hAnsi="Arial Narrow"/>
          <w:i/>
          <w:sz w:val="20"/>
        </w:rPr>
        <w:t>GSF Development Driller I</w:t>
      </w:r>
      <w:r>
        <w:rPr>
          <w:rFonts w:ascii="Arial Narrow" w:hAnsi="Arial Narrow"/>
          <w:sz w:val="20"/>
        </w:rPr>
        <w:t xml:space="preserve">, together with related assets, which we determined were impaired at the time that we classified the assets as held for sale, and the ultra-deepwater floaters </w:t>
      </w:r>
      <w:r>
        <w:rPr>
          <w:rFonts w:ascii="Arial Narrow" w:hAnsi="Arial Narrow"/>
          <w:i/>
          <w:sz w:val="20"/>
        </w:rPr>
        <w:t>Development Driller III</w:t>
      </w:r>
      <w:r>
        <w:rPr>
          <w:rFonts w:ascii="Arial Narrow" w:hAnsi="Arial Narrow"/>
          <w:sz w:val="20"/>
        </w:rPr>
        <w:t xml:space="preserve"> and </w:t>
      </w:r>
      <w:r>
        <w:rPr>
          <w:rFonts w:ascii="Arial Narrow" w:hAnsi="Arial Narrow"/>
          <w:i/>
          <w:sz w:val="20"/>
        </w:rPr>
        <w:t>Discoverer Inspiration</w:t>
      </w:r>
      <w:r>
        <w:rPr>
          <w:rFonts w:ascii="Arial Narrow" w:hAnsi="Arial Narrow"/>
          <w:sz w:val="20"/>
        </w:rPr>
        <w:t>, together with related assets, which were previously classified as held for sale and determined to be further impaired.  We measured the impairment of the rigs and related assets as the amount by which the carrying amount exceeded the estimated fair value less costs to sell.  We estimated the fair value of the assets using significant other observable inputs, representative of Level 2 fair value measurements, including binding contracts or indicative market values for sale of the rigs and related assets for recycling.</w:t>
      </w:r>
    </w:p>
    <w:p>
      <w:pPr>
        <w:pStyle w:val="TextBody"/>
        <w:bidi w:val="0"/>
        <w:spacing w:before="60" w:after="120"/>
        <w:ind w:left="0" w:right="0" w:firstLine="720"/>
        <w:jc w:val="both"/>
        <w:rPr>
          <w:rFonts w:ascii="Arial Narrow" w:hAnsi="Arial Narrow"/>
          <w:sz w:val="20"/>
        </w:rPr>
      </w:pPr>
      <w:r>
        <w:rPr>
          <w:rFonts w:ascii="Arial Narrow" w:hAnsi="Arial Narrow"/>
          <w:b/>
          <w:sz w:val="20"/>
        </w:rPr>
        <w:t>Assets held for sale</w:t>
      </w:r>
      <w:r>
        <w:rPr>
          <w:rFonts w:ascii="Arial Narrow" w:hAnsi="Arial Narrow"/>
          <w:sz w:val="20"/>
        </w:rPr>
        <w:t xml:space="preserve">—At June 30, 2026, the aggregate carrying amount of our assets held for sale, including </w:t>
      </w:r>
      <w:r>
        <w:rPr>
          <w:rFonts w:ascii="Arial Narrow" w:hAnsi="Arial Narrow"/>
          <w:sz w:val="20"/>
          <w:shd w:fill="FFFFFF" w:val="clear"/>
        </w:rPr>
        <w:t>the harsh environment semisubmersible</w:t>
      </w:r>
      <w:r>
        <w:rPr>
          <w:rFonts w:ascii="Arial Narrow" w:hAnsi="Arial Narrow"/>
          <w:sz w:val="20"/>
        </w:rPr>
        <w:t xml:space="preserve"> </w:t>
      </w:r>
      <w:r>
        <w:rPr>
          <w:rFonts w:ascii="Arial Narrow" w:hAnsi="Arial Narrow"/>
          <w:i/>
          <w:sz w:val="20"/>
          <w:shd w:fill="FFFFFF" w:val="clear"/>
        </w:rPr>
        <w:t>Henry Goodrich,</w:t>
      </w:r>
      <w:r>
        <w:rPr>
          <w:rFonts w:ascii="Arial Narrow" w:hAnsi="Arial Narrow"/>
          <w:sz w:val="20"/>
        </w:rPr>
        <w:t xml:space="preserve"> together with related assets, was $1 million.  At December 31, 2025, the aggregate carrying amount of our assets held for sale, including the ultra-deepwater drillships </w:t>
      </w:r>
      <w:r>
        <w:rPr>
          <w:rFonts w:ascii="Arial Narrow" w:hAnsi="Arial Narrow"/>
          <w:i/>
          <w:sz w:val="20"/>
        </w:rPr>
        <w:t>Deepwater Champion</w:t>
      </w:r>
      <w:r>
        <w:rPr>
          <w:rFonts w:ascii="Arial Narrow" w:hAnsi="Arial Narrow"/>
          <w:sz w:val="20"/>
        </w:rPr>
        <w:t xml:space="preserve">, </w:t>
      </w:r>
      <w:r>
        <w:rPr>
          <w:rFonts w:ascii="Arial Narrow" w:hAnsi="Arial Narrow"/>
          <w:i/>
          <w:sz w:val="20"/>
          <w:shd w:fill="FFFFFF" w:val="clear"/>
        </w:rPr>
        <w:t>Discoverer India</w:t>
      </w:r>
      <w:r>
        <w:rPr>
          <w:rFonts w:ascii="Arial Narrow" w:hAnsi="Arial Narrow"/>
          <w:sz w:val="20"/>
        </w:rPr>
        <w:t xml:space="preserve"> </w:t>
      </w:r>
      <w:r>
        <w:rPr>
          <w:rFonts w:ascii="Arial Narrow" w:hAnsi="Arial Narrow"/>
          <w:sz w:val="20"/>
          <w:shd w:fill="FFFFFF" w:val="clear"/>
        </w:rPr>
        <w:t xml:space="preserve">and the harsh environment semisubmersible </w:t>
      </w:r>
      <w:r>
        <w:rPr>
          <w:rFonts w:ascii="Arial Narrow" w:hAnsi="Arial Narrow"/>
          <w:i/>
          <w:sz w:val="20"/>
          <w:shd w:fill="FFFFFF" w:val="clear"/>
        </w:rPr>
        <w:t>Henry Goodrich</w:t>
      </w:r>
      <w:r>
        <w:rPr>
          <w:rFonts w:ascii="Arial Narrow" w:hAnsi="Arial Narrow"/>
          <w:sz w:val="20"/>
        </w:rPr>
        <w:t>, together with related assets, was $24 million.</w:t>
      </w:r>
    </w:p>
    <w:p>
      <w:pPr>
        <w:pStyle w:val="TextBody"/>
        <w:bidi w:val="0"/>
        <w:spacing w:before="0" w:after="0"/>
        <w:ind w:left="0" w:right="0" w:hanging="0"/>
        <w:jc w:val="center"/>
        <w:rPr>
          <w:rFonts w:ascii="Arial Narrow" w:hAnsi="Arial Narrow"/>
          <w:sz w:val="20"/>
        </w:rPr>
      </w:pPr>
      <w:r>
        <w:rPr>
          <w:rFonts w:ascii="Arial Narrow" w:hAnsi="Arial Narrow"/>
          <w:sz w:val="20"/>
        </w:rPr>
        <w:t>- 7 -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firstLine="720"/>
        <w:jc w:val="both"/>
        <w:rPr>
          <w:rFonts w:ascii="Arial Narrow" w:hAnsi="Arial Narrow"/>
          <w:sz w:val="20"/>
        </w:rPr>
      </w:pPr>
      <w:r>
        <w:rPr>
          <w:rFonts w:ascii="Arial Narrow" w:hAnsi="Arial Narrow"/>
          <w:b/>
          <w:sz w:val="20"/>
        </w:rPr>
        <w:t>Disposals</w:t>
      </w:r>
      <w:r>
        <w:rPr>
          <w:rFonts w:ascii="Arial Narrow" w:hAnsi="Arial Narrow"/>
          <w:sz w:val="20"/>
        </w:rPr>
        <w:t xml:space="preserve">—In the six months ended June 30, 2026, we completed the sale of </w:t>
      </w:r>
      <w:r>
        <w:rPr>
          <w:rFonts w:ascii="Arial Narrow" w:hAnsi="Arial Narrow"/>
          <w:i/>
          <w:sz w:val="20"/>
        </w:rPr>
        <w:t xml:space="preserve">Deepwater Champion </w:t>
      </w:r>
      <w:r>
        <w:rPr>
          <w:rFonts w:ascii="Arial Narrow" w:hAnsi="Arial Narrow"/>
          <w:sz w:val="20"/>
        </w:rPr>
        <w:t xml:space="preserve">and </w:t>
      </w:r>
      <w:r>
        <w:rPr>
          <w:rFonts w:ascii="Arial Narrow" w:hAnsi="Arial Narrow"/>
          <w:i/>
          <w:sz w:val="20"/>
          <w:shd w:fill="FFFFFF" w:val="clear"/>
        </w:rPr>
        <w:t>Discoverer India</w:t>
      </w:r>
      <w:r>
        <w:rPr>
          <w:rFonts w:ascii="Arial Narrow" w:hAnsi="Arial Narrow"/>
          <w:sz w:val="20"/>
        </w:rPr>
        <w:t>, together with related assets, for aggregate net cash proceeds of $27 million, including $3 million received as a deposit in the year ended December 31, 2025, and we recognized an aggregate net gain of $4 million associated with the disposal of the rigs and related assets.  In the six months ended June 30, 2026 and 2025, we received aggregate net cash proceeds of $2 million and $10 million, respectively, and recognized an aggregate net loss of $2 million and net gain of $9 million, respectively, associated with the disposal of assets unrelated to rig sales.</w:t>
      </w:r>
    </w:p>
    <w:p>
      <w:pPr>
        <w:pStyle w:val="TextBody"/>
        <w:bidi w:val="0"/>
        <w:spacing w:before="60" w:after="120"/>
        <w:ind w:left="0" w:right="0" w:firstLine="720"/>
        <w:jc w:val="both"/>
        <w:rPr>
          <w:rFonts w:ascii="Arial Narrow" w:hAnsi="Arial Narrow"/>
          <w:sz w:val="20"/>
        </w:rPr>
      </w:pPr>
      <w:r>
        <w:rPr>
          <w:rFonts w:ascii="Arial Narrow" w:hAnsi="Arial Narrow"/>
          <w:b/>
          <w:sz w:val="20"/>
        </w:rPr>
        <w:t>Subsequent event</w:t>
      </w:r>
      <w:r>
        <w:rPr>
          <w:rFonts w:ascii="Arial Narrow" w:hAnsi="Arial Narrow"/>
          <w:sz w:val="20"/>
        </w:rPr>
        <w:t xml:space="preserve">—In July 2026, we completed the sale of </w:t>
      </w:r>
      <w:r>
        <w:rPr>
          <w:rFonts w:ascii="Arial Narrow" w:hAnsi="Arial Narrow"/>
          <w:i/>
          <w:sz w:val="20"/>
          <w:shd w:fill="FFFFFF" w:val="clear"/>
        </w:rPr>
        <w:t>Henry Goodrich</w:t>
      </w:r>
      <w:r>
        <w:rPr>
          <w:rFonts w:ascii="Arial Narrow" w:hAnsi="Arial Narrow"/>
          <w:sz w:val="20"/>
        </w:rPr>
        <w:t>, together with related assets, for net cash proceeds of $3 million.</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716" w:name="Tc_nbRSQNuCcU2lbLz2j7XyNw_12_2"/>
      <w:bookmarkStart w:id="717" w:name="Tc_iP48tiR2i0qWrB2J8S8xPQ_12_0"/>
      <w:bookmarkStart w:id="718" w:name="Tc_hXBo62iVG02V-byjVgMbpQ_11_0"/>
      <w:bookmarkStart w:id="719" w:name="Tc_R1q2Br6Pi0KFLnRl16QESQ_10_0"/>
      <w:bookmarkStart w:id="720" w:name="Tc_evlnMdb-4ki3tcveI4MTsQ_9_0"/>
      <w:bookmarkStart w:id="721" w:name="Tc_KB65dwlg9kuGxSrz3CDrJg_8_0"/>
      <w:bookmarkStart w:id="722" w:name="Tc_QPNeO6_ugUOhZH7WOfcnmw_7_0"/>
      <w:bookmarkStart w:id="723" w:name="Tc_T6Uj70TV9ECq1SlwHGZqIQ_6_0"/>
      <w:bookmarkStart w:id="724" w:name="Tc_FoKr0E6n2km2G0gWOaFUlA_5_0"/>
      <w:bookmarkStart w:id="725" w:name="Tc_lJSpaTHj60OcaQgjlThVgA_4_0"/>
      <w:bookmarkStart w:id="726" w:name="Tc_qRVCMJBvVESHPujpLjqY7A_3_2"/>
      <w:bookmarkStart w:id="727" w:name="Tc_cKB_GTZfoESPgouZnZeFeg_3_0"/>
      <w:bookmarkStart w:id="728" w:name="Tc_EmgKzSTbkkedQevuhodlAA_2_0"/>
      <w:bookmarkStart w:id="729" w:name="Tc_TNbeCAVKk0OPyWpRUYIXfQ_1_2"/>
      <w:bookmarkStart w:id="730" w:name="Tc_wmpRiCmFa0KPai1k9ya_Vg_28_12"/>
      <w:bookmarkStart w:id="731" w:name="Tc_AAa0zHyrH06aFwcFXDgOdQ_28_9"/>
      <w:bookmarkStart w:id="732" w:name="Tc_0OH0ZDUE4ki2GCUjjdK-AA_28_5"/>
      <w:bookmarkStart w:id="733" w:name="Tc_PIt7P9C5GUa5bv7_lOEmkA_28_2"/>
      <w:bookmarkStart w:id="734" w:name="Tc_467zkFmTEEC6dxY6MyLZhw_28_0"/>
      <w:bookmarkStart w:id="735" w:name="Tc_ZxDdX5C3mUC1XpICvKwNLQ_27_0"/>
      <w:bookmarkStart w:id="736" w:name="Tc_mETtaIDwekySkyDTiM-Gfg_26_0"/>
      <w:bookmarkStart w:id="737" w:name="Tc_z0GbtnJFFkGIb8u8ZfQuXw_25_0"/>
      <w:bookmarkStart w:id="738" w:name="Tc_YH3mizjWSkiEIlm3W-qVbg_24_10"/>
      <w:bookmarkStart w:id="739" w:name="Tc_KCTLaGJ1jUyk9YjzAwbbUg_24_3"/>
      <w:bookmarkStart w:id="740" w:name="Tc_j0iboXYaH0eiB9tMQwfgRA_24_0"/>
      <w:bookmarkStart w:id="741" w:name="Tc_nvRJ4na6k0KXXxFErVjOKw_23_0"/>
      <w:bookmarkStart w:id="742" w:name="Tc_Q1kqdh2SoECmpNg_OB8ydA_22_13"/>
      <w:bookmarkStart w:id="743" w:name="Tc_FhEMP9_DdkOeH74L63hq1w_22_6"/>
      <w:bookmarkStart w:id="744" w:name="Tc_s8HXk-zHJU6bEQ00lFq8Ug_22_0"/>
      <w:bookmarkStart w:id="745" w:name="Tc_3v0O06cnPUaVi-hW4XC6kg_21_13"/>
      <w:bookmarkStart w:id="746" w:name="Tc_ZPdN9Z8560mvt72ue-4RKg_21_6"/>
      <w:bookmarkStart w:id="747" w:name="Tc_j4WJc7L99k2MXAVLe-qztw_21_0"/>
      <w:bookmarkStart w:id="748" w:name="Tc_w7_D3OCNEkqWtNwHegBzrg_20_0"/>
      <w:bookmarkStart w:id="749" w:name="Tc_F28xnWnCO0uUVumHSLDAIg_18_0"/>
      <w:bookmarkStart w:id="750" w:name="Tc__2QR5fMQJEOIRDBeYMyoUQ_17_0"/>
      <w:bookmarkStart w:id="751" w:name="Tc_WRoEi3YEKEKEDFlcf8rLfw_16_0"/>
      <w:bookmarkStart w:id="752" w:name="Tc_upFLmVh95Uird3p1SV13fw_15_0"/>
      <w:bookmarkStart w:id="753" w:name="Tc_VwzNFWZgjUap0xjTO9fNGw_14_0"/>
      <w:bookmarkStart w:id="754" w:name="Tc_7WGe4VXo9Uuv3_BhvC1R_Q_13_0"/>
      <w:bookmarkStart w:id="755" w:name="Tc_0gfU7e2uP0ewUqQ4KvH-6A_12_0"/>
      <w:bookmarkStart w:id="756" w:name="Tc_7F1Nx1636Um3gkIwAHtzxQ_11_0"/>
      <w:bookmarkStart w:id="757" w:name="Tc_MMSuA6lP3U6TAoueo00PPQ_10_0"/>
      <w:bookmarkStart w:id="758" w:name="Tc_ZSH5Kv_QQ0ypjkThl4d48g_9_0"/>
      <w:bookmarkStart w:id="759" w:name="Tc_jpgEXMyduE-V3no7AsFHyA_8_0"/>
      <w:bookmarkStart w:id="760" w:name="Tc_mGaJosM4oUylkZYHb0bquw_7_10"/>
      <w:bookmarkStart w:id="761" w:name="Tc_Ic1GR5mITkSnrrMFA_Jysw_7_3"/>
      <w:bookmarkStart w:id="762" w:name="Tc_e0WAfpOwtkqrPY3vZqnddw_7_0"/>
      <w:bookmarkStart w:id="763" w:name="Tc_srBPBME7gk2k4VudmA5oCA_6_0"/>
      <w:bookmarkStart w:id="764" w:name="Tc_u2lJ_tDgbkG5D0OhWgs_KA_5_0"/>
      <w:bookmarkStart w:id="765" w:name="Tc_6VW7loQmW02W1xmVNY57GQ_4_12"/>
      <w:bookmarkStart w:id="766" w:name="Tc_0-ymuVnbs0eEsU5JC2h1oA_4_9"/>
      <w:bookmarkStart w:id="767" w:name="Tc_rKPdIwFdnEOMCVhU3T9k1g_4_5"/>
      <w:bookmarkStart w:id="768" w:name="Tc_NW2cHSgpqEaviFM2fyH0FA_4_2"/>
      <w:bookmarkStart w:id="769" w:name="Tc_Cb6TDER0B0S2uaQtoiCn8w_4_0"/>
      <w:bookmarkStart w:id="770" w:name="Tc_ggwWrnd7aUur2AML4hycAg_3_12"/>
      <w:bookmarkStart w:id="771" w:name="Tc_Puga1yTpyE6kj3OwrNkTJw_3_9"/>
      <w:bookmarkStart w:id="772" w:name="Tc_gk2gmBH_mEG--zkAWCH4IQ_3_5"/>
      <w:bookmarkStart w:id="773" w:name="Tc_6c2NtQI8Z0e162W1vxueBg_3_2"/>
      <w:bookmarkStart w:id="774" w:name="Tc_UoJylRxHjUSTBVZWYl2BFg_2_12"/>
      <w:bookmarkStart w:id="775" w:name="Tc_aLR9GNtOMku-noJremtJiA_2_9"/>
      <w:bookmarkStart w:id="776" w:name="Tc_I-vepLBAYECjip3C4iH2AQ_2_5"/>
      <w:bookmarkStart w:id="777" w:name="Tc_ioSdYNOCsU-6pC9ViK2voQ_2_2"/>
      <w:bookmarkStart w:id="778" w:name="Tc_-UV3mCbdcEqdBNK8UrQKUQ_1_9"/>
      <w:bookmarkStart w:id="779" w:name="Tc_VhNOOEvIikGXdFwgH-YdhA_1_2"/>
      <w:bookmarkStart w:id="780" w:name="FN_Debt"/>
      <w:bookmarkStart w:id="781" w:name="FNDebt"/>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rPr>
          <w:rFonts w:ascii="Arial Narrow" w:hAnsi="Arial Narrow"/>
          <w:b/>
          <w:caps/>
          <w:color w:val="00556F"/>
          <w:sz w:val="22"/>
        </w:rPr>
        <w:t>Note 6—Debt</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Overview</w:t>
      </w:r>
    </w:p>
    <w:p>
      <w:pPr>
        <w:pStyle w:val="TextBody"/>
        <w:bidi w:val="0"/>
        <w:spacing w:before="60" w:after="60"/>
        <w:ind w:left="0" w:right="0" w:firstLine="720"/>
        <w:jc w:val="both"/>
        <w:rPr>
          <w:rFonts w:ascii="Arial Narrow" w:hAnsi="Arial Narrow"/>
          <w:sz w:val="20"/>
        </w:rPr>
      </w:pPr>
      <w:r>
        <w:rPr>
          <w:rFonts w:ascii="Arial Narrow" w:hAnsi="Arial Narrow"/>
          <w:b/>
          <w:sz w:val="20"/>
        </w:rPr>
        <w:t>Outstanding debt</w:t>
      </w:r>
      <w:r>
        <w:rPr>
          <w:rFonts w:ascii="Arial Narrow" w:hAnsi="Arial Narrow"/>
          <w:sz w:val="20"/>
        </w:rPr>
        <w:t>—The aggregate principal amounts and aggregate carrying amounts, including a bifurcated compound exchange feature and unamortized debt-related balances, such as discounts, premiums and issue costs, were as follows (in millions):</w:t>
      </w:r>
    </w:p>
    <w:p>
      <w:pPr>
        <w:pStyle w:val="TextBody"/>
        <w:bidi w:val="0"/>
        <w:spacing w:before="0" w:after="0"/>
        <w:ind w:left="0" w:right="0" w:hanging="0"/>
        <w:jc w:val="left"/>
        <w:rPr/>
      </w:pPr>
      <w:r>
        <w:rPr/>
        <w:t>​</w:t>
      </w:r>
    </w:p>
    <w:tbl>
      <w:tblPr>
        <w:tblW w:w="9186" w:type="dxa"/>
        <w:jc w:val="left"/>
        <w:tblInd w:w="0" w:type="dxa"/>
        <w:tblLayout w:type="fixed"/>
        <w:tblCellMar>
          <w:top w:w="0" w:type="dxa"/>
          <w:left w:w="0" w:type="dxa"/>
          <w:bottom w:w="0" w:type="dxa"/>
          <w:right w:w="0" w:type="dxa"/>
        </w:tblCellMar>
      </w:tblPr>
      <w:tblGrid>
        <w:gridCol w:w="4561"/>
        <w:gridCol w:w="109"/>
        <w:gridCol w:w="185"/>
        <w:gridCol w:w="460"/>
        <w:gridCol w:w="346"/>
        <w:gridCol w:w="266"/>
        <w:gridCol w:w="665"/>
        <w:gridCol w:w="226"/>
        <w:gridCol w:w="146"/>
        <w:gridCol w:w="185"/>
        <w:gridCol w:w="460"/>
        <w:gridCol w:w="346"/>
        <w:gridCol w:w="275"/>
        <w:gridCol w:w="685"/>
        <w:gridCol w:w="27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896235" cy="175895"/>
                      <wp:effectExtent l="0" t="0" r="0" b="0"/>
                      <wp:wrapNone/>
                      <wp:docPr id="115" name="Frame114"/>
                      <a:graphic xmlns:a="http://schemas.openxmlformats.org/drawingml/2006/main">
                        <a:graphicData uri="http://schemas.microsoft.com/office/word/2010/wordprocessingShape">
                          <wps:wsp>
                            <wps:cNvSpPr txBox="1"/>
                            <wps:spPr>
                              <a:xfrm>
                                <a:off x="0" y="0"/>
                                <a:ext cx="2896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895"/>
                      <wp:effectExtent l="0" t="0" r="0" b="0"/>
                      <wp:wrapNone/>
                      <wp:docPr id="116" name="Frame11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7475" cy="175895"/>
                      <wp:effectExtent l="0" t="0" r="0" b="0"/>
                      <wp:wrapNone/>
                      <wp:docPr id="117" name="Frame116"/>
                      <a:graphic xmlns:a="http://schemas.openxmlformats.org/drawingml/2006/main">
                        <a:graphicData uri="http://schemas.microsoft.com/office/word/2010/wordprocessingShape">
                          <wps:wsp>
                            <wps:cNvSpPr txBox="1"/>
                            <wps:spPr>
                              <a:xfrm>
                                <a:off x="0" y="0"/>
                                <a:ext cx="1174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92100" cy="175895"/>
                      <wp:effectExtent l="0" t="0" r="0" b="0"/>
                      <wp:wrapNone/>
                      <wp:docPr id="118" name="Frame117"/>
                      <a:graphic xmlns:a="http://schemas.openxmlformats.org/drawingml/2006/main">
                        <a:graphicData uri="http://schemas.microsoft.com/office/word/2010/wordprocessingShape">
                          <wps:wsp>
                            <wps:cNvSpPr txBox="1"/>
                            <wps:spPr>
                              <a:xfrm>
                                <a:off x="0" y="0"/>
                                <a:ext cx="292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895"/>
                      <wp:effectExtent l="0" t="0" r="0" b="0"/>
                      <wp:wrapNone/>
                      <wp:docPr id="119" name="Frame11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8910" cy="175895"/>
                      <wp:effectExtent l="0" t="0" r="0" b="0"/>
                      <wp:wrapNone/>
                      <wp:docPr id="120" name="Frame119"/>
                      <a:graphic xmlns:a="http://schemas.openxmlformats.org/drawingml/2006/main">
                        <a:graphicData uri="http://schemas.microsoft.com/office/word/2010/wordprocessingShape">
                          <wps:wsp>
                            <wps:cNvSpPr txBox="1"/>
                            <wps:spPr>
                              <a:xfrm>
                                <a:off x="0" y="0"/>
                                <a:ext cx="168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22275" cy="175895"/>
                      <wp:effectExtent l="0" t="0" r="0" b="0"/>
                      <wp:wrapNone/>
                      <wp:docPr id="121" name="Frame120"/>
                      <a:graphic xmlns:a="http://schemas.openxmlformats.org/drawingml/2006/main">
                        <a:graphicData uri="http://schemas.microsoft.com/office/word/2010/wordprocessingShape">
                          <wps:wsp>
                            <wps:cNvSpPr txBox="1"/>
                            <wps:spPr>
                              <a:xfrm>
                                <a:off x="0" y="0"/>
                                <a:ext cx="4222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3510" cy="175895"/>
                      <wp:effectExtent l="0" t="0" r="0" b="0"/>
                      <wp:wrapNone/>
                      <wp:docPr id="122" name="Frame121"/>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2710" cy="175895"/>
                      <wp:effectExtent l="0" t="0" r="0" b="0"/>
                      <wp:wrapNone/>
                      <wp:docPr id="123" name="Frame122"/>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7475" cy="175895"/>
                      <wp:effectExtent l="0" t="0" r="0" b="0"/>
                      <wp:wrapNone/>
                      <wp:docPr id="124" name="Frame123"/>
                      <a:graphic xmlns:a="http://schemas.openxmlformats.org/drawingml/2006/main">
                        <a:graphicData uri="http://schemas.microsoft.com/office/word/2010/wordprocessingShape">
                          <wps:wsp>
                            <wps:cNvSpPr txBox="1"/>
                            <wps:spPr>
                              <a:xfrm>
                                <a:off x="0" y="0"/>
                                <a:ext cx="1174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92100" cy="175895"/>
                      <wp:effectExtent l="0" t="0" r="0" b="0"/>
                      <wp:wrapNone/>
                      <wp:docPr id="125" name="Frame124"/>
                      <a:graphic xmlns:a="http://schemas.openxmlformats.org/drawingml/2006/main">
                        <a:graphicData uri="http://schemas.microsoft.com/office/word/2010/wordprocessingShape">
                          <wps:wsp>
                            <wps:cNvSpPr txBox="1"/>
                            <wps:spPr>
                              <a:xfrm>
                                <a:off x="0" y="0"/>
                                <a:ext cx="292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895"/>
                      <wp:effectExtent l="0" t="0" r="0" b="0"/>
                      <wp:wrapNone/>
                      <wp:docPr id="126" name="Frame12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4625" cy="175895"/>
                      <wp:effectExtent l="0" t="0" r="0" b="0"/>
                      <wp:wrapNone/>
                      <wp:docPr id="127" name="Frame126"/>
                      <a:graphic xmlns:a="http://schemas.openxmlformats.org/drawingml/2006/main">
                        <a:graphicData uri="http://schemas.microsoft.com/office/word/2010/wordprocessingShape">
                          <wps:wsp>
                            <wps:cNvSpPr txBox="1"/>
                            <wps:spPr>
                              <a:xfrm>
                                <a:off x="0" y="0"/>
                                <a:ext cx="1746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4975" cy="175895"/>
                      <wp:effectExtent l="0" t="0" r="0" b="0"/>
                      <wp:wrapNone/>
                      <wp:docPr id="128" name="Frame127"/>
                      <a:graphic xmlns:a="http://schemas.openxmlformats.org/drawingml/2006/main">
                        <a:graphicData uri="http://schemas.microsoft.com/office/word/2010/wordprocessingShape">
                          <wps:wsp>
                            <wps:cNvSpPr txBox="1"/>
                            <wps:spPr>
                              <a:xfrm>
                                <a:off x="0" y="0"/>
                                <a:ext cx="434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2085" cy="175895"/>
                      <wp:effectExtent l="0" t="0" r="0" b="0"/>
                      <wp:wrapNone/>
                      <wp:docPr id="129" name="Frame128"/>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922"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Principal amount</w:t>
            </w:r>
          </w:p>
        </w:tc>
        <w:tc>
          <w:tcPr>
            <w:tcW w:w="226"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1951"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Carrying amount</w:t>
            </w:r>
          </w:p>
        </w:tc>
        <w:tc>
          <w:tcPr>
            <w:tcW w:w="271" w:type="dxa"/>
            <w:tcBorders/>
            <w:vAlign w:val="center"/>
          </w:tcPr>
          <w:p>
            <w:pPr>
              <w:pStyle w:val="TableContents"/>
              <w:bidi w:val="0"/>
              <w:spacing w:before="1" w:after="1"/>
              <w:ind w:left="0" w:right="0" w:hanging="0"/>
              <w:jc w:val="center"/>
              <w:rPr/>
            </w:pPr>
            <w:r>
              <w:rPr/>
              <w:t> </w: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645"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June 30, </w:t>
            </w:r>
          </w:p>
        </w:tc>
        <w:tc>
          <w:tcPr>
            <w:tcW w:w="346" w:type="dxa"/>
            <w:tcBorders/>
            <w:vAlign w:val="center"/>
          </w:tcPr>
          <w:p>
            <w:pPr>
              <w:pStyle w:val="TableContents"/>
              <w:bidi w:val="0"/>
              <w:spacing w:before="1" w:after="1"/>
              <w:ind w:left="0" w:right="0" w:hanging="0"/>
              <w:jc w:val="center"/>
              <w:rPr/>
            </w:pPr>
            <w:r>
              <w:rPr/>
              <w:t>​</w:t>
            </w:r>
          </w:p>
        </w:tc>
        <w:tc>
          <w:tcPr>
            <w:tcW w:w="931"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December 31,</w:t>
            </w:r>
          </w:p>
        </w:tc>
        <w:tc>
          <w:tcPr>
            <w:tcW w:w="226" w:type="dxa"/>
            <w:tcBorders/>
            <w:vAlign w:val="center"/>
          </w:tcPr>
          <w:p>
            <w:pPr>
              <w:pStyle w:val="TableContents"/>
              <w:bidi w:val="0"/>
              <w:spacing w:before="1" w:after="1"/>
              <w:ind w:left="0" w:right="0" w:hanging="0"/>
              <w:jc w:val="center"/>
              <w:rPr/>
            </w:pPr>
            <w:r>
              <w:rPr/>
              <w:t> </w:t>
            </w:r>
          </w:p>
        </w:tc>
        <w:tc>
          <w:tcPr>
            <w:tcW w:w="146" w:type="dxa"/>
            <w:tcBorders/>
            <w:vAlign w:val="center"/>
          </w:tcPr>
          <w:p>
            <w:pPr>
              <w:pStyle w:val="TableContents"/>
              <w:bidi w:val="0"/>
              <w:spacing w:before="1" w:after="1"/>
              <w:ind w:left="0" w:right="0" w:hanging="0"/>
              <w:jc w:val="center"/>
              <w:rPr/>
            </w:pPr>
            <w:r>
              <w:rPr/>
              <w:t>​</w:t>
            </w:r>
          </w:p>
        </w:tc>
        <w:tc>
          <w:tcPr>
            <w:tcW w:w="645"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June 30, </w:t>
            </w:r>
          </w:p>
        </w:tc>
        <w:tc>
          <w:tcPr>
            <w:tcW w:w="346" w:type="dxa"/>
            <w:tcBorders/>
            <w:vAlign w:val="center"/>
          </w:tcPr>
          <w:p>
            <w:pPr>
              <w:pStyle w:val="TableContents"/>
              <w:bidi w:val="0"/>
              <w:spacing w:before="1" w:after="1"/>
              <w:ind w:left="0" w:right="0" w:hanging="0"/>
              <w:jc w:val="center"/>
              <w:rPr/>
            </w:pPr>
            <w:r>
              <w:rPr/>
              <w:t>​</w:t>
            </w:r>
          </w:p>
        </w:tc>
        <w:tc>
          <w:tcPr>
            <w:tcW w:w="960" w:type="dxa"/>
            <w:gridSpan w:val="2"/>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December 31, </w:t>
            </w:r>
          </w:p>
        </w:tc>
        <w:tc>
          <w:tcPr>
            <w:tcW w:w="271" w:type="dxa"/>
            <w:tcBorders/>
            <w:vAlign w:val="center"/>
          </w:tcPr>
          <w:p>
            <w:pPr>
              <w:pStyle w:val="TableContents"/>
              <w:bidi w:val="0"/>
              <w:spacing w:before="1" w:after="1"/>
              <w:ind w:left="0" w:right="0" w:hanging="0"/>
              <w:jc w:val="center"/>
              <w:rPr/>
            </w:pPr>
            <w:r>
              <w:rPr/>
              <w:t> </w: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6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346" w:type="dxa"/>
            <w:tcBorders/>
            <w:vAlign w:val="center"/>
          </w:tcPr>
          <w:p>
            <w:pPr>
              <w:pStyle w:val="TableContents"/>
              <w:bidi w:val="0"/>
              <w:spacing w:before="1"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226" w:type="dxa"/>
            <w:tcBorders/>
            <w:vAlign w:val="center"/>
          </w:tcPr>
          <w:p>
            <w:pPr>
              <w:pStyle w:val="TableContents"/>
              <w:bidi w:val="0"/>
              <w:spacing w:before="1" w:after="1"/>
              <w:ind w:left="0" w:right="0" w:hanging="0"/>
              <w:jc w:val="center"/>
              <w:rPr/>
            </w:pPr>
            <w:r>
              <w:rPr/>
              <w:t>  ​</w:t>
            </w:r>
          </w:p>
        </w:tc>
        <w:tc>
          <w:tcPr>
            <w:tcW w:w="146" w:type="dxa"/>
            <w:tcBorders/>
            <w:vAlign w:val="center"/>
          </w:tcPr>
          <w:p>
            <w:pPr>
              <w:pStyle w:val="TableContents"/>
              <w:bidi w:val="0"/>
              <w:spacing w:before="1" w:after="1"/>
              <w:ind w:left="0" w:right="0" w:hanging="0"/>
              <w:jc w:val="center"/>
              <w:rPr/>
            </w:pPr>
            <w:r>
              <w:rPr/>
              <w:t> </w:t>
            </w:r>
          </w:p>
        </w:tc>
        <w:tc>
          <w:tcPr>
            <w:tcW w:w="6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346" w:type="dxa"/>
            <w:tcBorders/>
            <w:vAlign w:val="center"/>
          </w:tcPr>
          <w:p>
            <w:pPr>
              <w:pStyle w:val="TableContents"/>
              <w:bidi w:val="0"/>
              <w:spacing w:before="1" w:after="1"/>
              <w:ind w:left="0" w:right="0" w:hanging="0"/>
              <w:jc w:val="center"/>
              <w:rPr/>
            </w:pPr>
            <w:r>
              <w:rPr/>
              <w:t>  ​ ​ ​</w:t>
            </w:r>
          </w:p>
        </w:tc>
        <w:tc>
          <w:tcPr>
            <w:tcW w:w="96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271" w:type="dxa"/>
            <w:tcBorders/>
            <w:vAlign w:val="center"/>
          </w:tcPr>
          <w:p>
            <w:pPr>
              <w:pStyle w:val="TableContents"/>
              <w:bidi w:val="0"/>
              <w:spacing w:before="1" w:after="1"/>
              <w:ind w:left="0" w:right="0" w:hanging="0"/>
              <w:jc w:val="center"/>
              <w:rPr/>
            </w:pPr>
            <w:r>
              <w:rPr/>
              <w:t>  ​</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7.45% Notes due April 2027</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8.00% Debentures due April 2027</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4.50% Shipyard Loans due September 2027</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149</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209</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145</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202</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8.375% Senior Secured Notes due February 2028</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425</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421</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7.00% Notes due June 2028</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209</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209</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210</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210</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8.00% Senior Secured Notes due September 2028</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200</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235</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198</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233</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8.25% Senior Notes due May 2029</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891</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889</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4.625% Senior Guaranteed Exchangeable Bonds due September 2029</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259</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259</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320</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292</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8.75% Senior Secured Notes due February 2030</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822</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881</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811</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868</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7.50% Notes due April 2031</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396</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396</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395</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395</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8.50% Senior Notes due May 2031</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900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889</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7.875% Senior Guaranteed Notes due October 2032</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500</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500</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493</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493</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6.80% Senior Notes due March 2038</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610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610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606</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605</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7.35% Senior Notes due December 2041</w:t>
            </w:r>
          </w:p>
        </w:tc>
        <w:tc>
          <w:tcPr>
            <w:tcW w:w="109" w:type="dxa"/>
            <w:tcBorders/>
            <w:vAlign w:val="center"/>
          </w:tcPr>
          <w:p>
            <w:pPr>
              <w:pStyle w:val="TableContents"/>
              <w:bidi w:val="0"/>
              <w:spacing w:before="1" w:after="1"/>
              <w:ind w:left="0" w:right="0" w:hanging="0"/>
              <w:jc w:val="both"/>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87</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87</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debt</w:t>
            </w:r>
          </w:p>
        </w:tc>
        <w:tc>
          <w:tcPr>
            <w:tcW w:w="109" w:type="dxa"/>
            <w:tcBorders/>
            <w:shd w:fill="CEDBE0" w:val="clear"/>
            <w:vAlign w:val="center"/>
          </w:tcPr>
          <w:p>
            <w:pPr>
              <w:pStyle w:val="TableContents"/>
              <w:bidi w:val="0"/>
              <w:spacing w:before="1" w:after="1"/>
              <w:ind w:left="0" w:right="0" w:hanging="0"/>
              <w:jc w:val="both"/>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5,107</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5,686</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5,119</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5,657</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Less debt due within one year</w:t>
            </w:r>
          </w:p>
        </w:tc>
        <w:tc>
          <w:tcPr>
            <w:tcW w:w="109" w:type="dxa"/>
            <w:tcBorders/>
            <w:vAlign w:val="center"/>
          </w:tcPr>
          <w:p>
            <w:pPr>
              <w:pStyle w:val="TableContents"/>
              <w:bidi w:val="0"/>
              <w:spacing w:before="1" w:after="1"/>
              <w:ind w:left="0" w:right="0" w:hanging="0"/>
              <w:jc w:val="lef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7.45% Notes due April 2027</w:t>
            </w:r>
          </w:p>
        </w:tc>
        <w:tc>
          <w:tcPr>
            <w:tcW w:w="109" w:type="dxa"/>
            <w:tcBorders/>
            <w:shd w:fill="CEDBE0" w:val="clear"/>
            <w:vAlign w:val="center"/>
          </w:tcPr>
          <w:p>
            <w:pPr>
              <w:pStyle w:val="TableContents"/>
              <w:bidi w:val="0"/>
              <w:spacing w:before="1" w:after="1"/>
              <w:ind w:left="0" w:right="0" w:hanging="0"/>
              <w:jc w:val="lef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pPr>
            <w:r>
              <w:rPr/>
              <w:t>—</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pPr>
            <w:r>
              <w:rPr/>
              <w:t>—</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8.00% Debentures due April 2027</w:t>
            </w:r>
          </w:p>
        </w:tc>
        <w:tc>
          <w:tcPr>
            <w:tcW w:w="109" w:type="dxa"/>
            <w:tcBorders/>
            <w:vAlign w:val="center"/>
          </w:tcPr>
          <w:p>
            <w:pPr>
              <w:pStyle w:val="TableContents"/>
              <w:bidi w:val="0"/>
              <w:spacing w:before="1" w:after="1"/>
              <w:ind w:left="0" w:right="0" w:hanging="0"/>
              <w:jc w:val="lef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pPr>
            <w:r>
              <w:rPr/>
              <w:t>—</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22</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4.50% Shipyard Loans due September 2027</w:t>
            </w:r>
          </w:p>
        </w:tc>
        <w:tc>
          <w:tcPr>
            <w:tcW w:w="109" w:type="dxa"/>
            <w:tcBorders/>
            <w:shd w:fill="CEDBE0" w:val="clear"/>
            <w:vAlign w:val="center"/>
          </w:tcPr>
          <w:p>
            <w:pPr>
              <w:pStyle w:val="TableContents"/>
              <w:bidi w:val="0"/>
              <w:spacing w:before="1" w:after="1"/>
              <w:ind w:left="0" w:right="0" w:hanging="0"/>
              <w:jc w:val="lef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144</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136</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140</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129</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8.375% Senior Secured Notes due February 2028</w:t>
            </w:r>
          </w:p>
        </w:tc>
        <w:tc>
          <w:tcPr>
            <w:tcW w:w="109" w:type="dxa"/>
            <w:tcBorders/>
            <w:vAlign w:val="center"/>
          </w:tcPr>
          <w:p>
            <w:pPr>
              <w:pStyle w:val="TableContents"/>
              <w:bidi w:val="0"/>
              <w:spacing w:before="1" w:after="1"/>
              <w:ind w:left="0" w:right="0" w:hanging="0"/>
              <w:jc w:val="lef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66" w:type="dxa"/>
            <w:tcBorders/>
            <w:vAlign w:val="center"/>
          </w:tcPr>
          <w:p>
            <w:pPr>
              <w:pStyle w:val="TableContents"/>
              <w:bidi w:val="0"/>
              <w:spacing w:before="1" w:after="1"/>
              <w:ind w:left="0" w:right="0" w:hanging="0"/>
              <w:jc w:val="right"/>
              <w:rPr/>
            </w:pPr>
            <w:r>
              <w:rPr/>
              <w:t>​</w:t>
            </w:r>
          </w:p>
        </w:tc>
        <w:tc>
          <w:tcPr>
            <w:tcW w:w="66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135</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vAlign w:val="center"/>
          </w:tcPr>
          <w:p>
            <w:pPr>
              <w:pStyle w:val="TableContents"/>
              <w:bidi w:val="0"/>
              <w:spacing w:before="1" w:after="1"/>
              <w:ind w:left="0" w:right="0" w:hanging="0"/>
              <w:jc w:val="right"/>
              <w:rPr/>
            </w:pPr>
            <w:r>
              <w:rPr/>
              <w:t>​</w:t>
            </w:r>
          </w:p>
        </w:tc>
        <w:tc>
          <w:tcPr>
            <w:tcW w:w="460"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right"/>
              <w:rPr/>
            </w:pPr>
            <w:r>
              <w:rPr/>
              <w:t>​</w:t>
            </w:r>
          </w:p>
        </w:tc>
        <w:tc>
          <w:tcPr>
            <w:tcW w:w="275" w:type="dxa"/>
            <w:tcBorders/>
            <w:vAlign w:val="center"/>
          </w:tcPr>
          <w:p>
            <w:pPr>
              <w:pStyle w:val="TableContents"/>
              <w:bidi w:val="0"/>
              <w:spacing w:before="1" w:after="1"/>
              <w:ind w:left="0" w:right="0" w:hanging="0"/>
              <w:jc w:val="right"/>
              <w:rPr/>
            </w:pPr>
            <w:r>
              <w:rPr/>
              <w:t>​</w:t>
            </w:r>
          </w:p>
        </w:tc>
        <w:tc>
          <w:tcPr>
            <w:tcW w:w="685"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133</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8.00% Senior Secured Notes due September 2028</w:t>
            </w:r>
          </w:p>
        </w:tc>
        <w:tc>
          <w:tcPr>
            <w:tcW w:w="109" w:type="dxa"/>
            <w:tcBorders/>
            <w:shd w:fill="CEDBE0" w:val="clear"/>
            <w:vAlign w:val="center"/>
          </w:tcPr>
          <w:p>
            <w:pPr>
              <w:pStyle w:val="TableContents"/>
              <w:bidi w:val="0"/>
              <w:spacing w:before="1" w:after="1"/>
              <w:ind w:left="0" w:right="0" w:hanging="0"/>
              <w:jc w:val="lef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shd w:fill="CEDBE0" w:val="clear"/>
            <w:vAlign w:val="center"/>
          </w:tcPr>
          <w:p>
            <w:pPr>
              <w:pStyle w:val="TableContents"/>
              <w:bidi w:val="0"/>
              <w:spacing w:before="1" w:after="1"/>
              <w:ind w:left="0" w:right="0" w:hanging="0"/>
              <w:jc w:val="right"/>
              <w:rPr/>
            </w:pPr>
            <w:r>
              <w:rPr/>
              <w:t>​</w:t>
            </w:r>
          </w:p>
        </w:tc>
        <w:tc>
          <w:tcPr>
            <w:tcW w:w="66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shd w:fill="CEDBE0" w:val="clear"/>
            <w:vAlign w:val="center"/>
          </w:tcPr>
          <w:p>
            <w:pPr>
              <w:pStyle w:val="TableContents"/>
              <w:bidi w:val="0"/>
              <w:spacing w:before="1" w:after="1"/>
              <w:ind w:left="0" w:right="0" w:hanging="0"/>
              <w:jc w:val="right"/>
              <w:rPr/>
            </w:pPr>
            <w:r>
              <w:rPr/>
              <w:t>​</w:t>
            </w:r>
          </w:p>
        </w:tc>
        <w:tc>
          <w:tcPr>
            <w:tcW w:w="46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shd w:fill="CEDBE0" w:val="clear"/>
            <w:vAlign w:val="center"/>
          </w:tcPr>
          <w:p>
            <w:pPr>
              <w:pStyle w:val="TableContents"/>
              <w:bidi w:val="0"/>
              <w:spacing w:before="1" w:after="1"/>
              <w:ind w:left="0" w:right="0" w:hanging="0"/>
              <w:jc w:val="right"/>
              <w:rPr/>
            </w:pPr>
            <w:r>
              <w:rPr/>
              <w:t>​</w:t>
            </w:r>
          </w:p>
        </w:tc>
        <w:tc>
          <w:tcPr>
            <w:tcW w:w="685"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8.75% Senior Secured Notes due February 2030</w:t>
            </w:r>
          </w:p>
        </w:tc>
        <w:tc>
          <w:tcPr>
            <w:tcW w:w="109" w:type="dxa"/>
            <w:tcBorders/>
            <w:vAlign w:val="center"/>
          </w:tcPr>
          <w:p>
            <w:pPr>
              <w:pStyle w:val="TableContents"/>
              <w:bidi w:val="0"/>
              <w:spacing w:before="1"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117</w:t>
            </w:r>
          </w:p>
        </w:tc>
        <w:tc>
          <w:tcPr>
            <w:tcW w:w="346" w:type="dxa"/>
            <w:tcBorders/>
            <w:vAlign w:val="center"/>
          </w:tcPr>
          <w:p>
            <w:pPr>
              <w:pStyle w:val="TableContents"/>
              <w:bidi w:val="0"/>
              <w:spacing w:before="1" w:after="1"/>
              <w:ind w:left="0" w:right="0" w:hanging="0"/>
              <w:jc w:val="right"/>
              <w:rPr/>
            </w:pPr>
            <w:r>
              <w:rPr/>
              <w:t>​</w:t>
            </w:r>
          </w:p>
        </w:tc>
        <w:tc>
          <w:tcPr>
            <w:tcW w:w="2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66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117</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60"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114</w:t>
            </w:r>
          </w:p>
        </w:tc>
        <w:tc>
          <w:tcPr>
            <w:tcW w:w="346" w:type="dxa"/>
            <w:tcBorders/>
            <w:vAlign w:val="center"/>
          </w:tcPr>
          <w:p>
            <w:pPr>
              <w:pStyle w:val="TableContents"/>
              <w:bidi w:val="0"/>
              <w:spacing w:before="1" w:after="1"/>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685"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114</w:t>
            </w:r>
          </w:p>
        </w:tc>
        <w:tc>
          <w:tcPr>
            <w:tcW w:w="271" w:type="dxa"/>
            <w:tcBorders/>
            <w:vAlign w:val="center"/>
          </w:tcPr>
          <w:p>
            <w:pPr>
              <w:pStyle w:val="TableContents"/>
              <w:bidi w:val="0"/>
              <w:spacing w:before="1" w:after="1"/>
              <w:ind w:left="0" w:right="0" w:hanging="0"/>
              <w:jc w:val="right"/>
              <w:rPr/>
            </w:pPr>
            <w:r>
              <w:rPr/>
              <w:t>​</w:t>
            </w:r>
          </w:p>
        </w:tc>
      </w:tr>
      <w:tr>
        <w:trPr/>
        <w:tc>
          <w:tcPr>
            <w:tcW w:w="45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debt due within one year</w:t>
            </w:r>
          </w:p>
        </w:tc>
        <w:tc>
          <w:tcPr>
            <w:tcW w:w="109" w:type="dxa"/>
            <w:tcBorders/>
            <w:shd w:fill="CEDBE0" w:val="clear"/>
            <w:vAlign w:val="center"/>
          </w:tcPr>
          <w:p>
            <w:pPr>
              <w:pStyle w:val="TableContents"/>
              <w:bidi w:val="0"/>
              <w:spacing w:before="1" w:after="1"/>
              <w:ind w:left="0" w:right="0" w:hanging="0"/>
              <w:jc w:val="left"/>
              <w:rPr/>
            </w:pPr>
            <w:r>
              <w:rPr/>
              <w:t>​</w:t>
            </w:r>
          </w:p>
        </w:tc>
        <w:tc>
          <w:tcPr>
            <w:tcW w:w="18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60"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405</w:t>
            </w:r>
          </w:p>
        </w:tc>
        <w:tc>
          <w:tcPr>
            <w:tcW w:w="346" w:type="dxa"/>
            <w:tcBorders/>
            <w:shd w:fill="CEDBE0" w:val="clear"/>
            <w:vAlign w:val="center"/>
          </w:tcPr>
          <w:p>
            <w:pPr>
              <w:pStyle w:val="TableContents"/>
              <w:bidi w:val="0"/>
              <w:spacing w:before="1" w:after="1"/>
              <w:ind w:left="0" w:right="0" w:hanging="0"/>
              <w:jc w:val="right"/>
              <w:rPr/>
            </w:pPr>
            <w:r>
              <w:rPr/>
              <w:t>​</w:t>
            </w:r>
          </w:p>
        </w:tc>
        <w:tc>
          <w:tcPr>
            <w:tcW w:w="2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66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458</w:t>
            </w:r>
          </w:p>
        </w:tc>
        <w:tc>
          <w:tcPr>
            <w:tcW w:w="226" w:type="dxa"/>
            <w:tcBorders/>
            <w:shd w:fill="CEDBE0" w:val="clear"/>
            <w:vAlign w:val="center"/>
          </w:tcPr>
          <w:p>
            <w:pPr>
              <w:pStyle w:val="TableContents"/>
              <w:bidi w:val="0"/>
              <w:spacing w:before="1" w:after="1"/>
              <w:ind w:left="0" w:right="0" w:hanging="0"/>
              <w:jc w:val="right"/>
              <w:rPr/>
            </w:pPr>
            <w:r>
              <w:rPr/>
              <w:t>​</w:t>
            </w:r>
          </w:p>
        </w:tc>
        <w:tc>
          <w:tcPr>
            <w:tcW w:w="146" w:type="dxa"/>
            <w:tcBorders/>
            <w:shd w:fill="CEDBE0" w:val="clear"/>
            <w:vAlign w:val="center"/>
          </w:tcPr>
          <w:p>
            <w:pPr>
              <w:pStyle w:val="TableContents"/>
              <w:bidi w:val="0"/>
              <w:spacing w:before="1" w:after="1"/>
              <w:ind w:left="0" w:right="0" w:hanging="0"/>
              <w:jc w:val="right"/>
              <w:rPr/>
            </w:pPr>
            <w:r>
              <w:rPr/>
              <w:t>​</w:t>
            </w:r>
          </w:p>
        </w:tc>
        <w:tc>
          <w:tcPr>
            <w:tcW w:w="18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60"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397</w:t>
            </w:r>
          </w:p>
        </w:tc>
        <w:tc>
          <w:tcPr>
            <w:tcW w:w="346" w:type="dxa"/>
            <w:tcBorders/>
            <w:shd w:fill="CEDBE0" w:val="clear"/>
            <w:vAlign w:val="center"/>
          </w:tcPr>
          <w:p>
            <w:pPr>
              <w:pStyle w:val="TableContents"/>
              <w:bidi w:val="0"/>
              <w:spacing w:before="1" w:after="1"/>
              <w:ind w:left="0" w:right="0" w:hanging="0"/>
              <w:jc w:val="right"/>
              <w:rPr/>
            </w:pPr>
            <w:r>
              <w:rPr/>
              <w:t>​</w:t>
            </w:r>
          </w:p>
        </w:tc>
        <w:tc>
          <w:tcPr>
            <w:tcW w:w="27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685"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445</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456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long-term debt</w:t>
            </w:r>
          </w:p>
        </w:tc>
        <w:tc>
          <w:tcPr>
            <w:tcW w:w="109" w:type="dxa"/>
            <w:tcBorders/>
            <w:vAlign w:val="center"/>
          </w:tcPr>
          <w:p>
            <w:pPr>
              <w:pStyle w:val="TableContents"/>
              <w:bidi w:val="0"/>
              <w:spacing w:before="1" w:after="1"/>
              <w:ind w:left="0" w:right="0" w:hanging="0"/>
              <w:jc w:val="left"/>
              <w:rPr/>
            </w:pPr>
            <w:r>
              <w:rPr/>
              <w:t>​</w:t>
            </w:r>
          </w:p>
        </w:tc>
        <w:tc>
          <w:tcPr>
            <w:tcW w:w="185"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0"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4,702</w:t>
            </w:r>
          </w:p>
        </w:tc>
        <w:tc>
          <w:tcPr>
            <w:tcW w:w="346" w:type="dxa"/>
            <w:tcBorders/>
            <w:vAlign w:val="center"/>
          </w:tcPr>
          <w:p>
            <w:pPr>
              <w:pStyle w:val="TableContents"/>
              <w:bidi w:val="0"/>
              <w:spacing w:before="1" w:after="1"/>
              <w:ind w:left="0" w:right="0" w:hanging="0"/>
              <w:jc w:val="right"/>
              <w:rPr/>
            </w:pPr>
            <w:r>
              <w:rPr/>
              <w:t>​</w:t>
            </w:r>
          </w:p>
        </w:tc>
        <w:tc>
          <w:tcPr>
            <w:tcW w:w="266"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65"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5,228</w:t>
            </w:r>
          </w:p>
        </w:tc>
        <w:tc>
          <w:tcPr>
            <w:tcW w:w="226" w:type="dxa"/>
            <w:tcBorders/>
            <w:vAlign w:val="center"/>
          </w:tcPr>
          <w:p>
            <w:pPr>
              <w:pStyle w:val="TableContents"/>
              <w:bidi w:val="0"/>
              <w:spacing w:before="1" w:after="1"/>
              <w:ind w:left="0" w:right="0" w:hanging="0"/>
              <w:jc w:val="right"/>
              <w:rPr/>
            </w:pPr>
            <w:r>
              <w:rPr/>
              <w:t>​</w:t>
            </w:r>
          </w:p>
        </w:tc>
        <w:tc>
          <w:tcPr>
            <w:tcW w:w="146" w:type="dxa"/>
            <w:tcBorders/>
            <w:vAlign w:val="center"/>
          </w:tcPr>
          <w:p>
            <w:pPr>
              <w:pStyle w:val="TableContents"/>
              <w:bidi w:val="0"/>
              <w:spacing w:before="1" w:after="1"/>
              <w:ind w:left="0" w:right="0" w:hanging="0"/>
              <w:jc w:val="right"/>
              <w:rPr/>
            </w:pPr>
            <w:r>
              <w:rPr/>
              <w:t>​</w:t>
            </w:r>
          </w:p>
        </w:tc>
        <w:tc>
          <w:tcPr>
            <w:tcW w:w="185"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0"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4,722</w:t>
            </w:r>
          </w:p>
        </w:tc>
        <w:tc>
          <w:tcPr>
            <w:tcW w:w="346" w:type="dxa"/>
            <w:tcBorders/>
            <w:vAlign w:val="center"/>
          </w:tcPr>
          <w:p>
            <w:pPr>
              <w:pStyle w:val="TableContents"/>
              <w:bidi w:val="0"/>
              <w:spacing w:before="1" w:after="1"/>
              <w:ind w:left="0" w:right="0" w:hanging="0"/>
              <w:jc w:val="right"/>
              <w:rPr/>
            </w:pPr>
            <w:r>
              <w:rPr/>
              <w:t>​</w:t>
            </w:r>
          </w:p>
        </w:tc>
        <w:tc>
          <w:tcPr>
            <w:tcW w:w="275"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85"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5,212</w:t>
            </w:r>
          </w:p>
        </w:tc>
        <w:tc>
          <w:tcPr>
            <w:tcW w:w="271" w:type="dxa"/>
            <w:tcBorders/>
            <w:vAlign w:val="center"/>
          </w:tcPr>
          <w:p>
            <w:pPr>
              <w:pStyle w:val="TableContents"/>
              <w:bidi w:val="0"/>
              <w:spacing w:before="1" w:after="1"/>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180" w:after="0"/>
        <w:ind w:left="0" w:right="0" w:firstLine="720"/>
        <w:jc w:val="both"/>
        <w:rPr>
          <w:rFonts w:ascii="Arial Narrow" w:hAnsi="Arial Narrow"/>
          <w:sz w:val="20"/>
        </w:rPr>
      </w:pPr>
      <w:r>
        <w:rPr>
          <w:rFonts w:ascii="Arial Narrow" w:hAnsi="Arial Narrow"/>
          <w:b/>
          <w:sz w:val="20"/>
        </w:rPr>
        <w:t>Scheduled installments and maturities</w:t>
      </w:r>
      <w:r>
        <w:rPr>
          <w:rFonts w:ascii="Arial Narrow" w:hAnsi="Arial Narrow"/>
          <w:sz w:val="20"/>
        </w:rPr>
        <w:t>—At June 30, 2026, scheduled repayments were as follows (in millions):</w:t>
      </w:r>
    </w:p>
    <w:p>
      <w:pPr>
        <w:pStyle w:val="TextBody"/>
        <w:bidi w:val="0"/>
        <w:spacing w:before="0" w:after="0"/>
        <w:ind w:left="0" w:right="0" w:hanging="0"/>
        <w:jc w:val="left"/>
        <w:rPr/>
      </w:pPr>
      <w:r>
        <w:rPr/>
        <w:t>​</w:t>
      </w:r>
    </w:p>
    <w:tbl>
      <w:tblPr>
        <w:tblW w:w="5235" w:type="dxa"/>
        <w:jc w:val="left"/>
        <w:tblInd w:w="0" w:type="dxa"/>
        <w:tblLayout w:type="fixed"/>
        <w:tblCellMar>
          <w:top w:w="0" w:type="dxa"/>
          <w:left w:w="0" w:type="dxa"/>
          <w:bottom w:w="0" w:type="dxa"/>
          <w:right w:w="0" w:type="dxa"/>
        </w:tblCellMar>
      </w:tblPr>
      <w:tblGrid>
        <w:gridCol w:w="4066"/>
        <w:gridCol w:w="346"/>
        <w:gridCol w:w="181"/>
        <w:gridCol w:w="451"/>
        <w:gridCol w:w="19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581910" cy="175895"/>
                      <wp:effectExtent l="0" t="0" r="0" b="0"/>
                      <wp:wrapNone/>
                      <wp:docPr id="130" name="Frame129"/>
                      <a:graphic xmlns:a="http://schemas.openxmlformats.org/drawingml/2006/main">
                        <a:graphicData uri="http://schemas.microsoft.com/office/word/2010/wordprocessingShape">
                          <wps:wsp>
                            <wps:cNvSpPr txBox="1"/>
                            <wps:spPr>
                              <a:xfrm>
                                <a:off x="0" y="0"/>
                                <a:ext cx="2581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895"/>
                      <wp:effectExtent l="0" t="0" r="0" b="0"/>
                      <wp:wrapNone/>
                      <wp:docPr id="131" name="Frame13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4935" cy="175895"/>
                      <wp:effectExtent l="0" t="0" r="0" b="0"/>
                      <wp:wrapNone/>
                      <wp:docPr id="132" name="Frame131"/>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86385" cy="175895"/>
                      <wp:effectExtent l="0" t="0" r="0" b="0"/>
                      <wp:wrapNone/>
                      <wp:docPr id="133" name="Frame132"/>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1285" cy="175895"/>
                      <wp:effectExtent l="0" t="0" r="0" b="0"/>
                      <wp:wrapNone/>
                      <wp:docPr id="134" name="Frame133"/>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Total</w:t>
            </w:r>
          </w:p>
        </w:tc>
        <w:tc>
          <w:tcPr>
            <w:tcW w:w="191" w:type="dxa"/>
            <w:tcBorders/>
            <w:vAlign w:val="center"/>
          </w:tcPr>
          <w:p>
            <w:pPr>
              <w:pStyle w:val="TableContents"/>
              <w:bidi w:val="0"/>
              <w:spacing w:before="1" w:after="1"/>
              <w:ind w:left="0" w:right="0" w:hanging="0"/>
              <w:jc w:val="center"/>
              <w:rPr/>
            </w:pPr>
            <w:r>
              <w:rPr/>
              <w:t> </w:t>
            </w:r>
          </w:p>
        </w:tc>
      </w:tr>
      <w:tr>
        <w:trPr/>
        <w:tc>
          <w:tcPr>
            <w:tcW w:w="406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Twelve months ending June 30,</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2027</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405</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2028</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332</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2029</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1,148</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2030</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729</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2031</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1,296</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Thereafter</w:t>
            </w:r>
          </w:p>
        </w:tc>
        <w:tc>
          <w:tcPr>
            <w:tcW w:w="3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1,197</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principal amount of debt</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5,107</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unamortized debt-related balances, net</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(133)</w:t>
            </w:r>
          </w:p>
        </w:tc>
        <w:tc>
          <w:tcPr>
            <w:tcW w:w="191" w:type="dxa"/>
            <w:tcBorders/>
            <w:vAlign w:val="center"/>
          </w:tcPr>
          <w:p>
            <w:pPr>
              <w:pStyle w:val="TableContents"/>
              <w:bidi w:val="0"/>
              <w:spacing w:before="1" w:after="1"/>
              <w:ind w:left="0" w:right="0" w:hanging="0"/>
              <w:jc w:val="left"/>
              <w:rPr/>
            </w:pPr>
            <w:r>
              <w:rPr/>
              <w:t>​</w:t>
            </w:r>
          </w:p>
        </w:tc>
      </w:tr>
      <w:tr>
        <w:trPr/>
        <w:tc>
          <w:tcPr>
            <w:tcW w:w="40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Bifurcated compound exchange feature, at estimated fair value</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145</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40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carrying amount of debt</w:t>
            </w:r>
          </w:p>
        </w:tc>
        <w:tc>
          <w:tcPr>
            <w:tcW w:w="346" w:type="dxa"/>
            <w:tcBorders/>
            <w:vAlign w:val="center"/>
          </w:tcPr>
          <w:p>
            <w:pPr>
              <w:pStyle w:val="TableContents"/>
              <w:bidi w:val="0"/>
              <w:spacing w:before="1"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5,119</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Credit agreement</w:t>
      </w:r>
    </w:p>
    <w:p>
      <w:pPr>
        <w:pStyle w:val="TextBody"/>
        <w:bidi w:val="0"/>
        <w:spacing w:before="60" w:after="0"/>
        <w:ind w:left="0" w:right="0" w:firstLine="720"/>
        <w:jc w:val="both"/>
        <w:rPr>
          <w:rFonts w:ascii="Arial Narrow" w:hAnsi="Arial Narrow"/>
          <w:sz w:val="20"/>
        </w:rPr>
      </w:pPr>
      <w:r>
        <w:rPr>
          <w:rFonts w:ascii="Arial Narrow" w:hAnsi="Arial Narrow"/>
          <w:b/>
          <w:sz w:val="20"/>
        </w:rPr>
        <w:t>Secured Credit Facility</w:t>
      </w:r>
      <w:r>
        <w:rPr>
          <w:rFonts w:ascii="Arial Narrow" w:hAnsi="Arial Narrow"/>
          <w:sz w:val="20"/>
        </w:rPr>
        <w:t xml:space="preserve">—We have a secured revolving credit facility established under a bank credit agreement (as amended from time to time, the “Secured Credit Facility”), which has a borrowing capacity of $510 million through its maturity on June 22, 2028.  Throughout the term of the Secured Credit Facility, we pay a facility fee on the amount of the underlying commitment, which ranges from </w:t>
      </w:r>
    </w:p>
    <w:p>
      <w:pPr>
        <w:pStyle w:val="TextBody"/>
        <w:bidi w:val="0"/>
        <w:spacing w:before="0" w:after="0"/>
        <w:ind w:left="0" w:right="0" w:hanging="0"/>
        <w:jc w:val="center"/>
        <w:rPr>
          <w:rFonts w:ascii="Arial Narrow" w:hAnsi="Arial Narrow"/>
          <w:sz w:val="20"/>
        </w:rPr>
      </w:pPr>
      <w:r>
        <w:rPr>
          <w:rFonts w:ascii="Arial Narrow" w:hAnsi="Arial Narrow"/>
          <w:sz w:val="20"/>
        </w:rPr>
        <w:t>- 8 -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hanging="0"/>
        <w:jc w:val="both"/>
        <w:rPr>
          <w:rFonts w:ascii="Arial Narrow" w:hAnsi="Arial Narrow"/>
          <w:sz w:val="20"/>
        </w:rPr>
      </w:pPr>
      <w:bookmarkStart w:id="782" w:name="Tc_NFSclxDV90a3H0eL0iGyZA_7_11"/>
      <w:bookmarkStart w:id="783" w:name="Tc_ZKYRMSU2ikO78fsK8bh3xw_7_8"/>
      <w:bookmarkStart w:id="784" w:name="Tc_j0aAztxboUCGPSM168zV1A_7_5"/>
      <w:bookmarkStart w:id="785" w:name="Tc_-rti-YXxIUqP-QDSulG0EA_7_2"/>
      <w:bookmarkStart w:id="786" w:name="Tc_dgMenY9kGUubyCn2B7rfgw_7_0"/>
      <w:bookmarkStart w:id="787" w:name="Tc_Vbr4bOM9Y0yIGox7HcMo1g_6_0"/>
      <w:bookmarkStart w:id="788" w:name="Tc_5j1dfCYU1kO9DjbJ6rf5Uw_5_0"/>
      <w:bookmarkStart w:id="789" w:name="Tc_gv26Rpv8lUeMPfwEyQeRrQ_4_11"/>
      <w:bookmarkStart w:id="790" w:name="Tc_2YSN4kpHhUmMZVVmWHY-Fg_4_8"/>
      <w:bookmarkStart w:id="791" w:name="Tc_fohzsH_ookGb0oaQMWQfRA_4_5"/>
      <w:bookmarkStart w:id="792" w:name="Tc_G1_80_KM1UGeAsgr_nn5sw_4_2"/>
      <w:bookmarkStart w:id="793" w:name="Tc_bGDsfD91s0Wdklo-X1Jp7A_4_0"/>
      <w:bookmarkStart w:id="794" w:name="Tc_QxsanVzK1kO3Jeq22kd7eA_3_11"/>
      <w:bookmarkStart w:id="795" w:name="Tc_LubL8K4faU-iME7hsDcdQg_3_8"/>
      <w:bookmarkStart w:id="796" w:name="Tc_UvGqCaVCx0qDsNBtyRUVgw_3_5"/>
      <w:bookmarkStart w:id="797" w:name="Tc_IWgPdqCLn0GysXzdtWV5kg_3_2"/>
      <w:bookmarkStart w:id="798" w:name="Tc_Vy-wv-typ0-C-QOMf86E0w_2_8"/>
      <w:bookmarkStart w:id="799" w:name="Tc_b64i-0g76kqWMVFM7MHaIg_2_2"/>
      <w:bookmarkStart w:id="800" w:name="Tc_Nqy5AwAjGUaWeJrYDgkl0Q_1_8"/>
      <w:bookmarkStart w:id="801" w:name="Tc_7PgXFZNfj0G5qAR7-k6hiA_1_2"/>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Arial Narrow" w:hAnsi="Arial Narrow"/>
          <w:sz w:val="20"/>
        </w:rPr>
        <w:t xml:space="preserve">0.375 percent to 1.00 percent based on the credit rating of the Secured Credit Facility.  We may borrow under the Secured Credit Facility at a forward-looking term rate based on the secured overnight financing rate (“Term SOFR”) plus a margin and a </w:t>
      </w:r>
      <w:r>
        <w:rPr>
          <w:rFonts w:ascii="Arial Narrow" w:hAnsi="Arial Narrow"/>
          <w:b w:val="false"/>
          <w:i w:val="false"/>
          <w:caps w:val="false"/>
          <w:smallCaps w:val="false"/>
          <w:sz w:val="20"/>
        </w:rPr>
        <w:t>Term SOFR</w:t>
      </w:r>
      <w:r>
        <w:rPr>
          <w:rFonts w:ascii="Arial Narrow" w:hAnsi="Arial Narrow"/>
          <w:sz w:val="20"/>
        </w:rPr>
        <w:t xml:space="preserve"> spread adjustment of 0.10 percent.  The Secured Credit Facility is subject to permitted extensions and certain early maturity triggers, including if on any date the aggregate amount of scheduled principal repayments of indebtedness, with certain exceptions, due within 91 days thereof is equal to or in excess of $325 million and available cash is less than $250 million.  The Secured Credit Facility permits us to increase the aggregate amount of commitments by up to $250 million.  The Secured Credit Facility is guaranteed by Transocean Ltd. and certain wholly owned subsidiaries.  At June 30, 2026, based on the credit rating of the Secured Credit Facility as of that date, the Secured Credit Facility Margin was 2.750 percent and the facility fee was 0.500 percent.  At June 30, 2026, we had no borrowings outstanding, $54 million of letters of credit issued, and we had $456 million of available borrowing capacity under the Secured Credit Facility.</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Exchangeable bonds</w:t>
      </w:r>
    </w:p>
    <w:p>
      <w:pPr>
        <w:pStyle w:val="TextBody"/>
        <w:bidi w:val="0"/>
        <w:spacing w:before="60" w:after="60"/>
        <w:ind w:left="0" w:right="0" w:firstLine="720"/>
        <w:jc w:val="both"/>
        <w:rPr>
          <w:rFonts w:ascii="Arial Narrow" w:hAnsi="Arial Narrow"/>
          <w:sz w:val="20"/>
        </w:rPr>
      </w:pPr>
      <w:r>
        <w:rPr>
          <w:rFonts w:ascii="Arial Narrow" w:hAnsi="Arial Narrow"/>
          <w:b/>
          <w:sz w:val="20"/>
        </w:rPr>
        <w:t>Interest expense</w:t>
      </w:r>
      <w:r>
        <w:rPr>
          <w:rFonts w:ascii="Arial Narrow" w:hAnsi="Arial Narrow"/>
          <w:sz w:val="20"/>
        </w:rPr>
        <w:t>—We recognized interest expense for our exchangeable bonds as follows (in millions):</w:t>
      </w:r>
    </w:p>
    <w:p>
      <w:pPr>
        <w:pStyle w:val="TextBody"/>
        <w:bidi w:val="0"/>
        <w:spacing w:before="0" w:after="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4381"/>
        <w:gridCol w:w="109"/>
        <w:gridCol w:w="199"/>
        <w:gridCol w:w="464"/>
        <w:gridCol w:w="120"/>
        <w:gridCol w:w="199"/>
        <w:gridCol w:w="381"/>
        <w:gridCol w:w="109"/>
        <w:gridCol w:w="202"/>
        <w:gridCol w:w="286"/>
        <w:gridCol w:w="122"/>
        <w:gridCol w:w="202"/>
        <w:gridCol w:w="387"/>
        <w:gridCol w:w="154"/>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781935" cy="175895"/>
                      <wp:effectExtent l="0" t="0" r="0" b="0"/>
                      <wp:wrapNone/>
                      <wp:docPr id="135" name="Frame134"/>
                      <a:graphic xmlns:a="http://schemas.openxmlformats.org/drawingml/2006/main">
                        <a:graphicData uri="http://schemas.microsoft.com/office/word/2010/wordprocessingShape">
                          <wps:wsp>
                            <wps:cNvSpPr txBox="1"/>
                            <wps:spPr>
                              <a:xfrm>
                                <a:off x="0" y="0"/>
                                <a:ext cx="2781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895"/>
                      <wp:effectExtent l="0" t="0" r="0" b="0"/>
                      <wp:wrapNone/>
                      <wp:docPr id="136" name="Frame13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6365" cy="175895"/>
                      <wp:effectExtent l="0" t="0" r="0" b="0"/>
                      <wp:wrapNone/>
                      <wp:docPr id="137" name="Frame136"/>
                      <a:graphic xmlns:a="http://schemas.openxmlformats.org/drawingml/2006/main">
                        <a:graphicData uri="http://schemas.microsoft.com/office/word/2010/wordprocessingShape">
                          <wps:wsp>
                            <wps:cNvSpPr txBox="1"/>
                            <wps:spPr>
                              <a:xfrm>
                                <a:off x="0" y="0"/>
                                <a:ext cx="1263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94640" cy="175895"/>
                      <wp:effectExtent l="0" t="0" r="0" b="0"/>
                      <wp:wrapNone/>
                      <wp:docPr id="138" name="Frame137"/>
                      <a:graphic xmlns:a="http://schemas.openxmlformats.org/drawingml/2006/main">
                        <a:graphicData uri="http://schemas.microsoft.com/office/word/2010/wordprocessingShape">
                          <wps:wsp>
                            <wps:cNvSpPr txBox="1"/>
                            <wps:spPr>
                              <a:xfrm>
                                <a:off x="0" y="0"/>
                                <a:ext cx="2946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6200" cy="175895"/>
                      <wp:effectExtent l="0" t="0" r="0" b="0"/>
                      <wp:wrapNone/>
                      <wp:docPr id="139" name="Frame138"/>
                      <a:graphic xmlns:a="http://schemas.openxmlformats.org/drawingml/2006/main">
                        <a:graphicData uri="http://schemas.microsoft.com/office/word/2010/wordprocessingShape">
                          <wps:wsp>
                            <wps:cNvSpPr txBox="1"/>
                            <wps:spPr>
                              <a:xfrm>
                                <a:off x="0" y="0"/>
                                <a:ext cx="762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6365" cy="175895"/>
                      <wp:effectExtent l="0" t="0" r="0" b="0"/>
                      <wp:wrapNone/>
                      <wp:docPr id="140" name="Frame139"/>
                      <a:graphic xmlns:a="http://schemas.openxmlformats.org/drawingml/2006/main">
                        <a:graphicData uri="http://schemas.microsoft.com/office/word/2010/wordprocessingShape">
                          <wps:wsp>
                            <wps:cNvSpPr txBox="1"/>
                            <wps:spPr>
                              <a:xfrm>
                                <a:off x="0" y="0"/>
                                <a:ext cx="1263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41935" cy="175895"/>
                      <wp:effectExtent l="0" t="0" r="0" b="0"/>
                      <wp:wrapNone/>
                      <wp:docPr id="141" name="Frame140"/>
                      <a:graphic xmlns:a="http://schemas.openxmlformats.org/drawingml/2006/main">
                        <a:graphicData uri="http://schemas.microsoft.com/office/word/2010/wordprocessingShape">
                          <wps:wsp>
                            <wps:cNvSpPr txBox="1"/>
                            <wps:spPr>
                              <a:xfrm>
                                <a:off x="0" y="0"/>
                                <a:ext cx="241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895"/>
                      <wp:effectExtent l="0" t="0" r="0" b="0"/>
                      <wp:wrapNone/>
                      <wp:docPr id="142" name="Frame14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8270" cy="175895"/>
                      <wp:effectExtent l="0" t="0" r="0" b="0"/>
                      <wp:wrapNone/>
                      <wp:docPr id="143" name="Frame142"/>
                      <a:graphic xmlns:a="http://schemas.openxmlformats.org/drawingml/2006/main">
                        <a:graphicData uri="http://schemas.microsoft.com/office/word/2010/wordprocessingShape">
                          <wps:wsp>
                            <wps:cNvSpPr txBox="1"/>
                            <wps:spPr>
                              <a:xfrm>
                                <a:off x="0" y="0"/>
                                <a:ext cx="1282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1610" cy="175895"/>
                      <wp:effectExtent l="0" t="0" r="0" b="0"/>
                      <wp:wrapNone/>
                      <wp:docPr id="144" name="Frame143"/>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7470" cy="175895"/>
                      <wp:effectExtent l="0" t="0" r="0" b="0"/>
                      <wp:wrapNone/>
                      <wp:docPr id="145" name="Frame144"/>
                      <a:graphic xmlns:a="http://schemas.openxmlformats.org/drawingml/2006/main">
                        <a:graphicData uri="http://schemas.microsoft.com/office/word/2010/wordprocessingShape">
                          <wps:wsp>
                            <wps:cNvSpPr txBox="1"/>
                            <wps:spPr>
                              <a:xfrm>
                                <a:off x="0" y="0"/>
                                <a:ext cx="774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8270" cy="175895"/>
                      <wp:effectExtent l="0" t="0" r="0" b="0"/>
                      <wp:wrapNone/>
                      <wp:docPr id="146" name="Frame145"/>
                      <a:graphic xmlns:a="http://schemas.openxmlformats.org/drawingml/2006/main">
                        <a:graphicData uri="http://schemas.microsoft.com/office/word/2010/wordprocessingShape">
                          <wps:wsp>
                            <wps:cNvSpPr txBox="1"/>
                            <wps:spPr>
                              <a:xfrm>
                                <a:off x="0" y="0"/>
                                <a:ext cx="1282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5745" cy="175895"/>
                      <wp:effectExtent l="0" t="0" r="0" b="0"/>
                      <wp:wrapNone/>
                      <wp:docPr id="147" name="Frame146"/>
                      <a:graphic xmlns:a="http://schemas.openxmlformats.org/drawingml/2006/main">
                        <a:graphicData uri="http://schemas.microsoft.com/office/word/2010/wordprocessingShape">
                          <wps:wsp>
                            <wps:cNvSpPr txBox="1"/>
                            <wps:spPr>
                              <a:xfrm>
                                <a:off x="0" y="0"/>
                                <a:ext cx="2457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7790" cy="175895"/>
                      <wp:effectExtent l="0" t="0" r="0" b="0"/>
                      <wp:wrapNone/>
                      <wp:docPr id="148" name="Frame147"/>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363" w:type="dxa"/>
            <w:gridSpan w:val="5"/>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 xml:space="preserve">Three months ended </w:t>
            </w:r>
          </w:p>
        </w:tc>
        <w:tc>
          <w:tcPr>
            <w:tcW w:w="109" w:type="dxa"/>
            <w:tcBorders/>
            <w:vAlign w:val="center"/>
          </w:tcPr>
          <w:p>
            <w:pPr>
              <w:pStyle w:val="TableContents"/>
              <w:bidi w:val="0"/>
              <w:spacing w:before="1" w:after="1"/>
              <w:ind w:left="0" w:right="0" w:hanging="0"/>
              <w:jc w:val="center"/>
              <w:rPr/>
            </w:pPr>
            <w:r>
              <w:rPr/>
              <w:t>​</w:t>
            </w:r>
          </w:p>
        </w:tc>
        <w:tc>
          <w:tcPr>
            <w:tcW w:w="1199" w:type="dxa"/>
            <w:gridSpan w:val="5"/>
            <w:tcBorders/>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 xml:space="preserve">Six months ended </w:t>
            </w:r>
          </w:p>
        </w:tc>
        <w:tc>
          <w:tcPr>
            <w:tcW w:w="154" w:type="dxa"/>
            <w:tcBorders/>
            <w:vAlign w:val="center"/>
          </w:tcPr>
          <w:p>
            <w:pPr>
              <w:pStyle w:val="TableContents"/>
              <w:bidi w:val="0"/>
              <w:spacing w:before="1" w:after="1"/>
              <w:ind w:left="0" w:right="0" w:hanging="0"/>
              <w:jc w:val="center"/>
              <w:rPr/>
            </w:pPr>
            <w:r>
              <w:rPr/>
              <w:t>​</w:t>
            </w:r>
          </w:p>
        </w:tc>
      </w:tr>
      <w:tr>
        <w:trPr/>
        <w:tc>
          <w:tcPr>
            <w:tcW w:w="43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36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June 30, </w:t>
            </w:r>
          </w:p>
        </w:tc>
        <w:tc>
          <w:tcPr>
            <w:tcW w:w="109" w:type="dxa"/>
            <w:tcBorders/>
            <w:vAlign w:val="center"/>
          </w:tcPr>
          <w:p>
            <w:pPr>
              <w:pStyle w:val="TableContents"/>
              <w:bidi w:val="0"/>
              <w:spacing w:before="1" w:after="1"/>
              <w:ind w:left="0" w:right="0" w:hanging="0"/>
              <w:jc w:val="center"/>
              <w:rPr/>
            </w:pPr>
            <w:r>
              <w:rPr/>
              <w:t>​</w:t>
            </w:r>
          </w:p>
        </w:tc>
        <w:tc>
          <w:tcPr>
            <w:tcW w:w="1199"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June 30, </w:t>
            </w:r>
          </w:p>
        </w:tc>
        <w:tc>
          <w:tcPr>
            <w:tcW w:w="154" w:type="dxa"/>
            <w:tcBorders/>
            <w:vAlign w:val="center"/>
          </w:tcPr>
          <w:p>
            <w:pPr>
              <w:pStyle w:val="TableContents"/>
              <w:bidi w:val="0"/>
              <w:spacing w:before="1" w:after="1"/>
              <w:ind w:left="0" w:right="0" w:hanging="0"/>
              <w:jc w:val="center"/>
              <w:rPr/>
            </w:pPr>
            <w:r>
              <w:rPr/>
              <w:t>​</w:t>
            </w:r>
          </w:p>
        </w:tc>
      </w:tr>
      <w:tr>
        <w:trPr/>
        <w:tc>
          <w:tcPr>
            <w:tcW w:w="43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66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120" w:type="dxa"/>
            <w:tcBorders/>
            <w:vAlign w:val="center"/>
          </w:tcPr>
          <w:p>
            <w:pPr>
              <w:pStyle w:val="TableContents"/>
              <w:bidi w:val="0"/>
              <w:spacing w:before="1" w:after="1"/>
              <w:ind w:left="0" w:right="0" w:hanging="0"/>
              <w:jc w:val="center"/>
              <w:rPr/>
            </w:pPr>
            <w:r>
              <w:rPr/>
              <w:t>​</w:t>
            </w:r>
          </w:p>
        </w:tc>
        <w:tc>
          <w:tcPr>
            <w:tcW w:w="5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109" w:type="dxa"/>
            <w:tcBorders/>
            <w:vAlign w:val="center"/>
          </w:tcPr>
          <w:p>
            <w:pPr>
              <w:pStyle w:val="TableContents"/>
              <w:bidi w:val="0"/>
              <w:spacing w:before="1" w:after="1"/>
              <w:ind w:left="0" w:right="0" w:hanging="0"/>
              <w:jc w:val="center"/>
              <w:rPr/>
            </w:pPr>
            <w:r>
              <w:rPr/>
              <w:t>​</w:t>
            </w:r>
          </w:p>
        </w:tc>
        <w:tc>
          <w:tcPr>
            <w:tcW w:w="48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2026</w:t>
            </w:r>
          </w:p>
        </w:tc>
        <w:tc>
          <w:tcPr>
            <w:tcW w:w="122" w:type="dxa"/>
            <w:tcBorders/>
            <w:vAlign w:val="center"/>
          </w:tcPr>
          <w:p>
            <w:pPr>
              <w:pStyle w:val="TableContents"/>
              <w:bidi w:val="0"/>
              <w:spacing w:before="1" w:after="1"/>
              <w:ind w:left="0" w:right="0" w:hanging="0"/>
              <w:jc w:val="center"/>
              <w:rPr/>
            </w:pPr>
            <w:r>
              <w:rPr/>
              <w:t>​</w:t>
            </w:r>
          </w:p>
        </w:tc>
        <w:tc>
          <w:tcPr>
            <w:tcW w:w="589"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5"/>
              </w:rPr>
            </w:pPr>
            <w:r>
              <w:rPr>
                <w:rFonts w:ascii="Arial Narrow" w:hAnsi="Arial Narrow"/>
                <w:b/>
                <w:sz w:val="15"/>
              </w:rPr>
              <w:t>2025</w:t>
            </w:r>
          </w:p>
        </w:tc>
        <w:tc>
          <w:tcPr>
            <w:tcW w:w="154" w:type="dxa"/>
            <w:tcBorders/>
            <w:vAlign w:val="center"/>
          </w:tcPr>
          <w:p>
            <w:pPr>
              <w:pStyle w:val="TableContents"/>
              <w:bidi w:val="0"/>
              <w:spacing w:before="1" w:after="1"/>
              <w:ind w:left="0" w:right="0" w:hanging="0"/>
              <w:jc w:val="center"/>
              <w:rPr/>
            </w:pPr>
            <w:r>
              <w:rPr/>
              <w:t>​</w:t>
            </w:r>
          </w:p>
        </w:tc>
      </w:tr>
      <w:tr>
        <w:trPr/>
        <w:tc>
          <w:tcPr>
            <w:tcW w:w="43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Contractual interest</w:t>
            </w:r>
          </w:p>
        </w:tc>
        <w:tc>
          <w:tcPr>
            <w:tcW w:w="109" w:type="dxa"/>
            <w:tcBorders/>
            <w:shd w:fill="CEDBE0" w:val="clear"/>
            <w:vAlign w:val="center"/>
          </w:tcPr>
          <w:p>
            <w:pPr>
              <w:pStyle w:val="TableContents"/>
              <w:bidi w:val="0"/>
              <w:spacing w:before="1" w:after="1"/>
              <w:ind w:left="0" w:right="0" w:hanging="0"/>
              <w:jc w:val="left"/>
              <w:rPr/>
            </w:pPr>
            <w:r>
              <w:rPr/>
              <w:t>​</w:t>
            </w:r>
          </w:p>
        </w:tc>
        <w:tc>
          <w:tcPr>
            <w:tcW w:w="19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4"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w:t>
            </w:r>
          </w:p>
        </w:tc>
        <w:tc>
          <w:tcPr>
            <w:tcW w:w="120" w:type="dxa"/>
            <w:tcBorders/>
            <w:shd w:fill="CEDBE0" w:val="clear"/>
            <w:vAlign w:val="center"/>
          </w:tcPr>
          <w:p>
            <w:pPr>
              <w:pStyle w:val="TableContents"/>
              <w:bidi w:val="0"/>
              <w:spacing w:before="1" w:after="1"/>
              <w:ind w:left="0" w:right="0" w:hanging="0"/>
              <w:jc w:val="left"/>
              <w:rPr/>
            </w:pPr>
            <w:r>
              <w:rPr/>
              <w:t>​</w:t>
            </w:r>
          </w:p>
        </w:tc>
        <w:tc>
          <w:tcPr>
            <w:tcW w:w="19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8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w:t>
            </w:r>
          </w:p>
        </w:tc>
        <w:tc>
          <w:tcPr>
            <w:tcW w:w="109" w:type="dxa"/>
            <w:tcBorders/>
            <w:shd w:fill="CEDBE0" w:val="clear"/>
            <w:vAlign w:val="center"/>
          </w:tcPr>
          <w:p>
            <w:pPr>
              <w:pStyle w:val="TableContents"/>
              <w:bidi w:val="0"/>
              <w:spacing w:before="1" w:after="1"/>
              <w:ind w:left="0" w:right="0" w:hanging="0"/>
              <w:jc w:val="left"/>
              <w:rPr/>
            </w:pPr>
            <w:r>
              <w:rPr/>
              <w:t>​</w:t>
            </w:r>
          </w:p>
        </w:tc>
        <w:tc>
          <w:tcPr>
            <w:tcW w:w="20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28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w:t>
            </w:r>
          </w:p>
        </w:tc>
        <w:tc>
          <w:tcPr>
            <w:tcW w:w="122" w:type="dxa"/>
            <w:tcBorders/>
            <w:shd w:fill="CEDBE0" w:val="clear"/>
            <w:vAlign w:val="center"/>
          </w:tcPr>
          <w:p>
            <w:pPr>
              <w:pStyle w:val="TableContents"/>
              <w:bidi w:val="0"/>
              <w:spacing w:before="1" w:after="1"/>
              <w:ind w:left="0" w:right="0" w:hanging="0"/>
              <w:jc w:val="left"/>
              <w:rPr/>
            </w:pPr>
            <w:r>
              <w:rPr/>
              <w:t>​</w:t>
            </w:r>
          </w:p>
        </w:tc>
        <w:tc>
          <w:tcPr>
            <w:tcW w:w="20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8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3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Amortization</w:t>
            </w:r>
          </w:p>
        </w:tc>
        <w:tc>
          <w:tcPr>
            <w:tcW w:w="109" w:type="dxa"/>
            <w:tcBorders/>
            <w:vAlign w:val="center"/>
          </w:tcPr>
          <w:p>
            <w:pPr>
              <w:pStyle w:val="TableContents"/>
              <w:bidi w:val="0"/>
              <w:spacing w:before="1" w:after="1"/>
              <w:ind w:left="0" w:right="0" w:hanging="0"/>
              <w:jc w:val="left"/>
              <w:rPr/>
            </w:pPr>
            <w:r>
              <w:rPr/>
              <w:t>​</w:t>
            </w:r>
          </w:p>
        </w:tc>
        <w:tc>
          <w:tcPr>
            <w:tcW w:w="199" w:type="dxa"/>
            <w:tcBorders/>
            <w:vAlign w:val="center"/>
          </w:tcPr>
          <w:p>
            <w:pPr>
              <w:pStyle w:val="TableContents"/>
              <w:bidi w:val="0"/>
              <w:spacing w:before="1" w:after="1"/>
              <w:ind w:left="0" w:right="0" w:hanging="0"/>
              <w:jc w:val="left"/>
              <w:rPr/>
            </w:pPr>
            <w:r>
              <w:rPr/>
              <w:t>​</w:t>
            </w:r>
          </w:p>
        </w:tc>
        <w:tc>
          <w:tcPr>
            <w:tcW w:w="464"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w:t>
            </w:r>
          </w:p>
        </w:tc>
        <w:tc>
          <w:tcPr>
            <w:tcW w:w="120" w:type="dxa"/>
            <w:tcBorders/>
            <w:vAlign w:val="center"/>
          </w:tcPr>
          <w:p>
            <w:pPr>
              <w:pStyle w:val="TableContents"/>
              <w:bidi w:val="0"/>
              <w:spacing w:before="1" w:after="1"/>
              <w:ind w:left="0" w:right="0" w:hanging="0"/>
              <w:jc w:val="left"/>
              <w:rPr/>
            </w:pPr>
            <w:r>
              <w:rPr/>
              <w:t>​</w:t>
            </w:r>
          </w:p>
        </w:tc>
        <w:tc>
          <w:tcPr>
            <w:tcW w:w="199" w:type="dxa"/>
            <w:tcBorders/>
            <w:vAlign w:val="center"/>
          </w:tcPr>
          <w:p>
            <w:pPr>
              <w:pStyle w:val="TableContents"/>
              <w:bidi w:val="0"/>
              <w:spacing w:before="1" w:after="1"/>
              <w:ind w:left="0" w:right="0" w:hanging="0"/>
              <w:jc w:val="left"/>
              <w:rPr/>
            </w:pPr>
            <w:r>
              <w:rPr/>
              <w:t>​</w:t>
            </w:r>
          </w:p>
        </w:tc>
        <w:tc>
          <w:tcPr>
            <w:tcW w:w="38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w:t>
            </w:r>
          </w:p>
        </w:tc>
        <w:tc>
          <w:tcPr>
            <w:tcW w:w="109" w:type="dxa"/>
            <w:tcBorders/>
            <w:vAlign w:val="center"/>
          </w:tcPr>
          <w:p>
            <w:pPr>
              <w:pStyle w:val="TableContents"/>
              <w:bidi w:val="0"/>
              <w:spacing w:before="1" w:after="1"/>
              <w:ind w:left="0" w:right="0" w:hanging="0"/>
              <w:jc w:val="left"/>
              <w:rPr/>
            </w:pPr>
            <w:r>
              <w:rPr/>
              <w:t>​</w:t>
            </w:r>
          </w:p>
        </w:tc>
        <w:tc>
          <w:tcPr>
            <w:tcW w:w="202"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w:t>
            </w:r>
          </w:p>
        </w:tc>
        <w:tc>
          <w:tcPr>
            <w:tcW w:w="122" w:type="dxa"/>
            <w:tcBorders/>
            <w:vAlign w:val="center"/>
          </w:tcPr>
          <w:p>
            <w:pPr>
              <w:pStyle w:val="TableContents"/>
              <w:bidi w:val="0"/>
              <w:spacing w:before="1" w:after="1"/>
              <w:ind w:left="0" w:right="0" w:hanging="0"/>
              <w:jc w:val="left"/>
              <w:rPr/>
            </w:pPr>
            <w:r>
              <w:rPr/>
              <w:t>​</w:t>
            </w:r>
          </w:p>
        </w:tc>
        <w:tc>
          <w:tcPr>
            <w:tcW w:w="202" w:type="dxa"/>
            <w:tcBorders/>
            <w:vAlign w:val="center"/>
          </w:tcPr>
          <w:p>
            <w:pPr>
              <w:pStyle w:val="TableContents"/>
              <w:bidi w:val="0"/>
              <w:spacing w:before="1" w:after="1"/>
              <w:ind w:left="0" w:right="0" w:hanging="0"/>
              <w:jc w:val="left"/>
              <w:rPr/>
            </w:pPr>
            <w:r>
              <w:rPr/>
              <w:t>​</w:t>
            </w:r>
          </w:p>
        </w:tc>
        <w:tc>
          <w:tcPr>
            <w:tcW w:w="387"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w:t>
            </w:r>
          </w:p>
        </w:tc>
        <w:tc>
          <w:tcPr>
            <w:tcW w:w="154" w:type="dxa"/>
            <w:tcBorders/>
            <w:vAlign w:val="center"/>
          </w:tcPr>
          <w:p>
            <w:pPr>
              <w:pStyle w:val="TableContents"/>
              <w:bidi w:val="0"/>
              <w:spacing w:before="1" w:after="1"/>
              <w:ind w:left="0" w:right="0" w:hanging="0"/>
              <w:jc w:val="left"/>
              <w:rPr/>
            </w:pPr>
            <w:r>
              <w:rPr/>
              <w:t>​</w:t>
            </w:r>
          </w:p>
        </w:tc>
      </w:tr>
      <w:tr>
        <w:trPr/>
        <w:tc>
          <w:tcPr>
            <w:tcW w:w="43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(Gain) loss on adjustment to bifurcated compound exchange feature</w:t>
            </w:r>
          </w:p>
        </w:tc>
        <w:tc>
          <w:tcPr>
            <w:tcW w:w="109" w:type="dxa"/>
            <w:tcBorders/>
            <w:shd w:fill="CEDBE0" w:val="clear"/>
            <w:vAlign w:val="center"/>
          </w:tcPr>
          <w:p>
            <w:pPr>
              <w:pStyle w:val="TableContents"/>
              <w:bidi w:val="0"/>
              <w:spacing w:before="1" w:after="1"/>
              <w:ind w:left="0" w:right="0" w:hanging="0"/>
              <w:jc w:val="left"/>
              <w:rPr/>
            </w:pPr>
            <w:r>
              <w:rPr/>
              <w:t>​</w:t>
            </w:r>
          </w:p>
        </w:tc>
        <w:tc>
          <w:tcPr>
            <w:tcW w:w="199"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64"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(134)</w:t>
            </w:r>
          </w:p>
        </w:tc>
        <w:tc>
          <w:tcPr>
            <w:tcW w:w="120" w:type="dxa"/>
            <w:tcBorders/>
            <w:shd w:fill="CEDBE0" w:val="clear"/>
            <w:vAlign w:val="center"/>
          </w:tcPr>
          <w:p>
            <w:pPr>
              <w:pStyle w:val="TableContents"/>
              <w:bidi w:val="0"/>
              <w:spacing w:before="1" w:after="1"/>
              <w:ind w:left="0" w:right="0" w:hanging="0"/>
              <w:jc w:val="left"/>
              <w:rPr/>
            </w:pPr>
            <w:r>
              <w:rPr/>
              <w:t>​</w:t>
            </w:r>
          </w:p>
        </w:tc>
        <w:tc>
          <w:tcPr>
            <w:tcW w:w="199"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3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(29)</w:t>
            </w:r>
          </w:p>
        </w:tc>
        <w:tc>
          <w:tcPr>
            <w:tcW w:w="109" w:type="dxa"/>
            <w:tcBorders/>
            <w:shd w:fill="CEDBE0" w:val="clear"/>
            <w:vAlign w:val="center"/>
          </w:tcPr>
          <w:p>
            <w:pPr>
              <w:pStyle w:val="TableContents"/>
              <w:bidi w:val="0"/>
              <w:spacing w:before="1" w:after="1"/>
              <w:ind w:left="0" w:right="0" w:hanging="0"/>
              <w:jc w:val="left"/>
              <w:rPr/>
            </w:pPr>
            <w:r>
              <w:rPr/>
              <w:t>​</w:t>
            </w:r>
          </w:p>
        </w:tc>
        <w:tc>
          <w:tcPr>
            <w:tcW w:w="202"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28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w:t>
            </w:r>
          </w:p>
        </w:tc>
        <w:tc>
          <w:tcPr>
            <w:tcW w:w="122" w:type="dxa"/>
            <w:tcBorders/>
            <w:shd w:fill="CEDBE0" w:val="clear"/>
            <w:vAlign w:val="center"/>
          </w:tcPr>
          <w:p>
            <w:pPr>
              <w:pStyle w:val="TableContents"/>
              <w:bidi w:val="0"/>
              <w:spacing w:before="1" w:after="1"/>
              <w:ind w:left="0" w:right="0" w:hanging="0"/>
              <w:jc w:val="left"/>
              <w:rPr/>
            </w:pPr>
            <w:r>
              <w:rPr/>
              <w:t>​</w:t>
            </w:r>
          </w:p>
        </w:tc>
        <w:tc>
          <w:tcPr>
            <w:tcW w:w="202"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387"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(65)</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43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w:t>
            </w:r>
          </w:p>
        </w:tc>
        <w:tc>
          <w:tcPr>
            <w:tcW w:w="109" w:type="dxa"/>
            <w:tcBorders/>
            <w:vAlign w:val="center"/>
          </w:tcPr>
          <w:p>
            <w:pPr>
              <w:pStyle w:val="TableContents"/>
              <w:bidi w:val="0"/>
              <w:spacing w:before="1" w:after="1"/>
              <w:ind w:left="0" w:right="0" w:hanging="0"/>
              <w:jc w:val="left"/>
              <w:rPr/>
            </w:pPr>
            <w:r>
              <w:rPr/>
              <w:t>​</w:t>
            </w:r>
          </w:p>
        </w:tc>
        <w:tc>
          <w:tcPr>
            <w:tcW w:w="199"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4"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(126)</w:t>
            </w:r>
          </w:p>
        </w:tc>
        <w:tc>
          <w:tcPr>
            <w:tcW w:w="120" w:type="dxa"/>
            <w:tcBorders/>
            <w:vAlign w:val="center"/>
          </w:tcPr>
          <w:p>
            <w:pPr>
              <w:pStyle w:val="TableContents"/>
              <w:bidi w:val="0"/>
              <w:spacing w:before="1" w:after="1"/>
              <w:ind w:left="0" w:right="0" w:hanging="0"/>
              <w:jc w:val="left"/>
              <w:rPr/>
            </w:pPr>
            <w:r>
              <w:rPr/>
              <w:t>​</w:t>
            </w:r>
          </w:p>
        </w:tc>
        <w:tc>
          <w:tcPr>
            <w:tcW w:w="199"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8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(18)</w:t>
            </w:r>
          </w:p>
        </w:tc>
        <w:tc>
          <w:tcPr>
            <w:tcW w:w="109" w:type="dxa"/>
            <w:tcBorders/>
            <w:vAlign w:val="center"/>
          </w:tcPr>
          <w:p>
            <w:pPr>
              <w:pStyle w:val="TableContents"/>
              <w:bidi w:val="0"/>
              <w:spacing w:before="1" w:after="1"/>
              <w:ind w:left="0" w:right="0" w:hanging="0"/>
              <w:jc w:val="left"/>
              <w:rPr/>
            </w:pPr>
            <w:r>
              <w:rPr/>
              <w:t>​</w:t>
            </w:r>
          </w:p>
        </w:tc>
        <w:tc>
          <w:tcPr>
            <w:tcW w:w="202"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286"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35</w:t>
            </w:r>
          </w:p>
        </w:tc>
        <w:tc>
          <w:tcPr>
            <w:tcW w:w="122" w:type="dxa"/>
            <w:tcBorders/>
            <w:vAlign w:val="center"/>
          </w:tcPr>
          <w:p>
            <w:pPr>
              <w:pStyle w:val="TableContents"/>
              <w:bidi w:val="0"/>
              <w:spacing w:before="1" w:after="1"/>
              <w:ind w:left="0" w:right="0" w:hanging="0"/>
              <w:jc w:val="left"/>
              <w:rPr/>
            </w:pPr>
            <w:r>
              <w:rPr/>
              <w:t>​</w:t>
            </w:r>
          </w:p>
        </w:tc>
        <w:tc>
          <w:tcPr>
            <w:tcW w:w="202"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87"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(43)</w:t>
            </w:r>
          </w:p>
        </w:tc>
        <w:tc>
          <w:tcPr>
            <w:tcW w:w="154"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80" w:after="120"/>
        <w:ind w:left="0" w:right="0" w:firstLine="720"/>
        <w:jc w:val="both"/>
        <w:rPr>
          <w:rFonts w:ascii="Arial Narrow" w:hAnsi="Arial Narrow"/>
          <w:sz w:val="20"/>
        </w:rPr>
      </w:pPr>
      <w:r>
        <w:rPr>
          <w:rFonts w:ascii="Arial Narrow" w:hAnsi="Arial Narrow"/>
          <w:sz w:val="20"/>
        </w:rPr>
        <w:t>Effective March 30, 2026, we may redeem for cash all or a portion of the 4.625% senior guaranteed exchangeable bonds due September 2029 (the “4.625% Exchangeable Bonds”) at a price equivalent to the aggregate principal amount to be redeemed if the closing price of our shares has been greater than 115 percent of the exchange price for a period of at least 20 trading days.  If we give notice of our election to exercise the right to redeem, the indenture governing the 4.625% Exchangeable Bonds contains a compound exchange feature that, in addition to the exchange terms presented below, requires us to pay a make-whole premium of future interest through March 30, 2028 to any holders that exercise their right to exchange during the redemption notice period.  Such compound exchange feature must be bifurcated from the host debt instrument since it is not considered indexed to our stock.  Accordingly, we recognize changes to the liability for the estimated fair value of the bifurcated compound exchange feature with a corresponding adjustment to interest expense.  At June 30, 2026 and December 31, 2025, the carrying amount of the bifurcated compound exchange feature, recorded as a component of the carrying amount of debt, was $145 million and $126 million, respectively.</w:t>
      </w:r>
    </w:p>
    <w:p>
      <w:pPr>
        <w:pStyle w:val="TextBody"/>
        <w:bidi w:val="0"/>
        <w:spacing w:before="60" w:after="120"/>
        <w:ind w:left="0" w:right="0" w:firstLine="720"/>
        <w:jc w:val="both"/>
        <w:rPr>
          <w:rFonts w:ascii="Arial Narrow" w:hAnsi="Arial Narrow"/>
          <w:sz w:val="20"/>
        </w:rPr>
      </w:pPr>
      <w:r>
        <w:rPr>
          <w:rFonts w:ascii="Arial Narrow" w:hAnsi="Arial Narrow"/>
          <w:b/>
          <w:sz w:val="20"/>
        </w:rPr>
        <w:t>Effective interest rate and fair value</w:t>
      </w:r>
      <w:r>
        <w:rPr>
          <w:rFonts w:ascii="Arial Narrow" w:hAnsi="Arial Narrow"/>
          <w:sz w:val="20"/>
        </w:rPr>
        <w:t>—At June 30, 2026, the 4.625% Exchangeable Bonds had an effective interest rate of 18.3% and an estimated fair value of $389 million.  We estimated the fair value of the exchangeable debt instrument, including the exchange feature, by employing a binomial lattice model using significant other observable inputs, representative of Level 2 fair value measurements, including the terms and credit spreads of our debt and the expected volatility of the market price for our shares.</w:t>
      </w:r>
    </w:p>
    <w:p>
      <w:pPr>
        <w:pStyle w:val="TextBody"/>
        <w:bidi w:val="0"/>
        <w:spacing w:before="60" w:after="120"/>
        <w:ind w:left="0" w:right="0" w:firstLine="720"/>
        <w:jc w:val="both"/>
        <w:rPr>
          <w:rFonts w:ascii="Arial Narrow" w:hAnsi="Arial Narrow"/>
          <w:sz w:val="20"/>
        </w:rPr>
      </w:pPr>
      <w:r>
        <w:rPr>
          <w:rFonts w:ascii="Arial Narrow" w:hAnsi="Arial Narrow"/>
          <w:b/>
          <w:sz w:val="20"/>
        </w:rPr>
        <w:t>Exchange terms</w:t>
      </w:r>
      <w:r>
        <w:rPr>
          <w:rFonts w:ascii="Arial Narrow" w:hAnsi="Arial Narrow"/>
          <w:sz w:val="20"/>
        </w:rPr>
        <w:t>—At June 30, 2026, the 4.625% Exchangeable Bonds had the following exchange terms: (a) an exchange rate of 290.6618 Transocean Ltd. shares per $1,000 note, (b) an implied exchange price of $3.44 per Transocean Ltd. share and (c) an aggregate of 75.3 million shares issuable upon exchange of our exchangeable bonds.  The exchange rate is subject to adjustment upon the occurrence of certain events.  The 4.625% Exchangeable Bonds may be exchanged by holders at any time prior to the close of business on the second business day immediately preceding the maturity date or redemption date and, at our election, such exchange may be settled by delivering cash, Transocean Ltd. shares or a combination of cash and shares.</w:t>
      </w:r>
    </w:p>
    <w:p>
      <w:pPr>
        <w:pStyle w:val="TextBody"/>
        <w:bidi w:val="0"/>
        <w:spacing w:before="60" w:after="120"/>
        <w:ind w:left="0" w:right="0" w:firstLine="720"/>
        <w:jc w:val="both"/>
        <w:rPr/>
      </w:pPr>
      <w:r>
        <w:rPr>
          <w:rFonts w:ascii="Arial Narrow" w:hAnsi="Arial Narrow"/>
          <w:b/>
          <w:sz w:val="20"/>
        </w:rPr>
        <w:t>Exchanges</w:t>
      </w:r>
      <w:r>
        <w:rPr>
          <w:rFonts w:ascii="Arial Narrow" w:hAnsi="Arial Narrow"/>
          <w:sz w:val="20"/>
        </w:rPr>
        <w:t xml:space="preserve">—In June 2025, we entered into separate, individually negotiated agreements (as amended, the “Exchange Agreements”) with certain holders of the 4.00% senior guaranteed exchangeable bonds due December 2025 (the “4.00% Exchangeable Bonds”).  In the three and six months ended June 30, 2025, the holders exchanged $50 million aggregate principal amount of 4.00% Exchangeable Bonds under the terms of the Exchange Agreements and received an aggregate 18.6 million Transocean Ltd. shares, which included an aggregate 9.2 million shares incremental to the number of shares issuable pursuant to the governing indenture based upon the principal amount exchanged.  In the three and six months ended June 30, 2025, we recognized a loss of $24 million, recorded in other, net, associated with these transactions.  See </w:t>
      </w:r>
      <w:hyperlink w:anchor="FN_Equity">
        <w:r>
          <w:rPr>
            <w:rStyle w:val="InternetLink"/>
            <w:rFonts w:ascii="Arial Narrow" w:hAnsi="Arial Narrow"/>
            <w:b w:val="false"/>
            <w:i w:val="false"/>
            <w:caps w:val="false"/>
            <w:smallCaps w:val="false"/>
            <w:sz w:val="20"/>
          </w:rPr>
          <w:t>Note 10—Equity</w:t>
        </w:r>
      </w:hyperlink>
      <w:r>
        <w:rPr>
          <w:rFonts w:ascii="Arial Narrow" w:hAnsi="Arial Narrow"/>
          <w:sz w:val="20"/>
        </w:rPr>
        <w:t>.</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Redemption and retirement</w:t>
      </w:r>
    </w:p>
    <w:p>
      <w:pPr>
        <w:pStyle w:val="TextBody"/>
        <w:bidi w:val="0"/>
        <w:spacing w:before="60" w:after="120"/>
        <w:ind w:left="0" w:right="0" w:firstLine="720"/>
        <w:jc w:val="both"/>
        <w:rPr>
          <w:rFonts w:ascii="Arial Narrow" w:hAnsi="Arial Narrow"/>
          <w:sz w:val="20"/>
        </w:rPr>
      </w:pPr>
      <w:r>
        <w:rPr>
          <w:rFonts w:ascii="Arial Narrow" w:hAnsi="Arial Narrow"/>
          <w:sz w:val="20"/>
        </w:rPr>
        <w:t>In March 2026, we made a cash payment of $365 million, including an early redemption premium, to retire the outstanding $358 million aggregate principal amount of the 8.375% senior secured notes due February 2028.  In the six months ended June 30, 2026, as a result of the early redemption, we recognized a loss of $11 million associated with the retirement of debt.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802" w:name="FNIncomeTaxes"/>
      <w:bookmarkEnd w:id="802"/>
      <w:r>
        <w:rPr>
          <w:rFonts w:ascii="Arial Narrow" w:hAnsi="Arial Narrow"/>
          <w:b/>
          <w:caps/>
          <w:color w:val="00556F"/>
          <w:sz w:val="22"/>
        </w:rPr>
        <w:t>Note 7—Income Taxes</w:t>
      </w:r>
    </w:p>
    <w:p>
      <w:pPr>
        <w:pStyle w:val="TextBody"/>
        <w:bidi w:val="0"/>
        <w:spacing w:before="60" w:after="0"/>
        <w:ind w:left="0" w:right="0" w:firstLine="720"/>
        <w:jc w:val="both"/>
        <w:rPr>
          <w:rFonts w:ascii="Arial Narrow" w:hAnsi="Arial Narrow"/>
          <w:sz w:val="20"/>
        </w:rPr>
      </w:pPr>
      <w:r>
        <w:rPr>
          <w:rFonts w:ascii="Arial Narrow" w:hAnsi="Arial Narrow"/>
          <w:b/>
          <w:sz w:val="20"/>
        </w:rPr>
        <w:t>Tax provision and rate</w:t>
      </w:r>
      <w:r>
        <w:rPr>
          <w:rFonts w:ascii="Arial Narrow" w:hAnsi="Arial Narrow"/>
          <w:sz w:val="20"/>
        </w:rPr>
        <w:t xml:space="preserve">—In the six months ended June 30, 2026 and 2025, our effective tax rate was (19.8) percent and 10.3 percent, respectively, based on income or loss before income taxes.  In the six months ended June 30, 2026 and 2025, the effect of various discrete period tax items was a net tax benefit of $137 million and $189 million, respectively.  In the six months ended June 30, 2026, </w:t>
      </w:r>
    </w:p>
    <w:p>
      <w:pPr>
        <w:pStyle w:val="TextBody"/>
        <w:bidi w:val="0"/>
        <w:spacing w:before="0" w:after="0"/>
        <w:ind w:left="0" w:right="0" w:hanging="0"/>
        <w:jc w:val="center"/>
        <w:rPr>
          <w:rFonts w:ascii="Arial Narrow" w:hAnsi="Arial Narrow"/>
          <w:sz w:val="20"/>
        </w:rPr>
      </w:pPr>
      <w:r>
        <w:rPr>
          <w:rFonts w:ascii="Arial Narrow" w:hAnsi="Arial Narrow"/>
          <w:sz w:val="20"/>
        </w:rPr>
        <w:t>- 9 -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hanging="0"/>
        <w:jc w:val="both"/>
        <w:rPr>
          <w:rFonts w:ascii="Arial Narrow" w:hAnsi="Arial Narrow"/>
          <w:sz w:val="20"/>
        </w:rPr>
      </w:pPr>
      <w:r>
        <w:rPr>
          <w:rFonts w:ascii="Arial Narrow" w:hAnsi="Arial Narrow"/>
          <w:sz w:val="20"/>
        </w:rPr>
        <w:t>such discrete items included changes to operating structures and valuation allowances.  In the six months ended June 30, 2025, such discrete items included changes to various uncertain tax positions, valuation allowances and rig basis changes related to impairment.  In the six months ended June 30, 2026 and 2025, our effective tax rate, excluding discrete items, was 42.8 percent and 268.9 percent, respectively, based on income or loss before income taxes.</w:t>
      </w:r>
    </w:p>
    <w:p>
      <w:pPr>
        <w:pStyle w:val="TextBody"/>
        <w:bidi w:val="0"/>
        <w:spacing w:before="60" w:after="120"/>
        <w:ind w:left="0" w:right="0" w:firstLine="720"/>
        <w:jc w:val="both"/>
        <w:rPr>
          <w:rFonts w:ascii="Arial Narrow" w:hAnsi="Arial Narrow"/>
          <w:sz w:val="20"/>
        </w:rPr>
      </w:pPr>
      <w:r>
        <w:rPr>
          <w:rFonts w:ascii="Arial Narrow" w:hAnsi="Arial Narrow"/>
          <w:sz w:val="20"/>
        </w:rPr>
        <w:t>In the six months ended June 30, 2025, we recognized a net tax benefit of $169 million, primarily resulting from a release of uncertain tax positions.</w:t>
      </w:r>
    </w:p>
    <w:p>
      <w:pPr>
        <w:pStyle w:val="TextBody"/>
        <w:bidi w:val="0"/>
        <w:spacing w:before="60" w:after="120"/>
        <w:ind w:left="0" w:right="0" w:firstLine="720"/>
        <w:jc w:val="both"/>
        <w:rPr>
          <w:rFonts w:ascii="Arial Narrow" w:hAnsi="Arial Narrow"/>
          <w:sz w:val="20"/>
        </w:rPr>
      </w:pPr>
      <w:r>
        <w:rPr>
          <w:rFonts w:ascii="Arial Narrow" w:hAnsi="Arial Narrow"/>
          <w:b/>
          <w:sz w:val="20"/>
        </w:rPr>
        <w:t>Tax positions and returns</w:t>
      </w:r>
      <w:r>
        <w:rPr>
          <w:rFonts w:ascii="Arial Narrow" w:hAnsi="Arial Narrow"/>
          <w:sz w:val="20"/>
        </w:rPr>
        <w:t>—We conduct operations through our various subsidiaries in countries throughout the world.  Each country has its own tax regimes with varying nominal rates, deductions and tax attributes that are subject to changes resulting from new legislation, interpretation or guidance.  From time to time, as a result of these changes, we may revise previously evaluated tax positions, which could cause us to adjust our recorded tax assets and liabilities.  Tax authorities in certain jurisdictions are examining our tax returns and, in some cases, have issued assessments.  We intend to defend our tax positions vigorously.  Although we can provide no assurance as to the outcome of the aforementioned changes, examinations or assessments, we do not expect the ultimate liability to have a material adverse effect on our condensed consolidated statement of financial position or results of operations; however, it could have a material adverse effect on our condensed consolidated statement of cash flows.</w:t>
      </w:r>
    </w:p>
    <w:p>
      <w:pPr>
        <w:pStyle w:val="TextBody"/>
        <w:bidi w:val="0"/>
        <w:spacing w:before="60" w:after="120"/>
        <w:ind w:left="0" w:right="0" w:firstLine="720"/>
        <w:jc w:val="both"/>
        <w:rPr>
          <w:rFonts w:ascii="Arial Narrow" w:hAnsi="Arial Narrow"/>
          <w:sz w:val="20"/>
        </w:rPr>
      </w:pPr>
      <w:r>
        <w:rPr>
          <w:rFonts w:ascii="Arial Narrow" w:hAnsi="Arial Narrow"/>
          <w:i/>
          <w:sz w:val="20"/>
        </w:rPr>
        <w:t>Brazil tax investigations</w:t>
      </w:r>
      <w:r>
        <w:rPr>
          <w:rFonts w:ascii="Arial Narrow" w:hAnsi="Arial Narrow"/>
          <w:sz w:val="20"/>
        </w:rPr>
        <w:t>—In December 2005, the Brazilian tax authorities began issuing tax assessments with respect to our tax returns for the years 2000 through 2004.  In May 2014, the Brazilian tax authorities issued an additional tax assessment for the years 2009 and 2010.  We filed protests with the Brazilian tax authorities for the assessments and are engaged in the appeals process, and a portion of two cases were favorably closed.  As of June 30, 2026, the remaining aggregate tax assessment, including interest and penalties, was for corporate income tax of BRL 533 million, equivalent to $103 million, and indirect tax of BRL 98 million, equivalent to $19 million.  We believe our returns are materially correct as filed, and we are vigorously contesting these assessments.  An unfavorable outcome on these proposed assessments could have a material adverse effect on our condensed consolidated statement of financial position, results of operations or cash flows.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803" w:name="Tc_5i5Yv3O9XkqT0N7yqvd8tw_6_25"/>
      <w:bookmarkStart w:id="804" w:name="Tc_Az-YeevExUGXLsQu6c0ARw_6_22"/>
      <w:bookmarkStart w:id="805" w:name="Tc_MhmfLv5McUWsaQQKclY4Fg_6_19"/>
      <w:bookmarkStart w:id="806" w:name="Tc_8WzRxkxY60S7OvX8DeUm2g_6_16"/>
      <w:bookmarkStart w:id="807" w:name="Tc_BC-mF3NwB0CesmEAp2IRkQ_6_0"/>
      <w:bookmarkStart w:id="808" w:name="Tc_3YTeU_brAEuhc3wcTT5sBA_5_0"/>
      <w:bookmarkStart w:id="809" w:name="Tc_-hliARHrDUmQFSU3l_4Tpg_4_16"/>
      <w:bookmarkStart w:id="810" w:name="Tc_YY7E-IP8TkybiTbE5sg4Qw_4_0"/>
      <w:bookmarkStart w:id="811" w:name="Tc_z9Ncxiv4aUWn-0VBjmjvKQ_3_24"/>
      <w:bookmarkStart w:id="812" w:name="Tc_8Qnrc8J3REqRd_WL3z9gzw_3_21"/>
      <w:bookmarkStart w:id="813" w:name="Tc_tSk876LZJ0SGWDr4FjSSlg_3_18"/>
      <w:bookmarkStart w:id="814" w:name="Tc_WI61Mj4VxEOUBMDtKhDjmg_3_15"/>
      <w:bookmarkStart w:id="815" w:name="Tc_6VxYWLxwUkyAdu_0EPCj9Q_2_21"/>
      <w:bookmarkStart w:id="816" w:name="Tc_eXHWUzh1GES8YxXfi5kpXQ_2_15"/>
      <w:bookmarkStart w:id="817" w:name="Tc_333RSvBb6Ui-ZZMUnC_tYg_1_21"/>
      <w:bookmarkStart w:id="818" w:name="Tc_aT-5G0Oj2U-Td2_QdWM7cg_1_15"/>
      <w:bookmarkStart w:id="819" w:name="_177b2ef8_d046_4da6_ad25_63d3b4a46d95"/>
      <w:bookmarkStart w:id="820" w:name="Tc_BpSFwI8810S3uNMXYpqFNg_17_24"/>
      <w:bookmarkStart w:id="821" w:name="Tc_zxrzgcKwr0idHo905xs5wA_17_21"/>
      <w:bookmarkStart w:id="822" w:name="Tc_EmS_KF2ZhkOi1d3sMh_axQ_17_18"/>
      <w:bookmarkStart w:id="823" w:name="Tc_nsVsdAxqTUuIhav_A5MKvA_17_15"/>
      <w:bookmarkStart w:id="824" w:name="Tc_PC_dsvmGfUWWow1XxVRc-Q_17_11"/>
      <w:bookmarkStart w:id="825" w:name="Tc_6EL2T5alWEeaBPsTMIIeSw_17_8"/>
      <w:bookmarkStart w:id="826" w:name="Tc_8wGf418mX0a1dshBwisCaQ_17_5"/>
      <w:bookmarkStart w:id="827" w:name="Tc_cJ4ls5--eEasUATXTncLUA_17_2"/>
      <w:bookmarkStart w:id="828" w:name="Tc_Vbm0uMqmQ0S7m9KmN8LHlw_17_0"/>
      <w:bookmarkStart w:id="829" w:name="Tc_gIQxxwNiSkOVsK9oKledag_14_0"/>
      <w:bookmarkStart w:id="830" w:name="Tc_DKyJd00-WkGXMLFzdjeZXA_13_25"/>
      <w:bookmarkStart w:id="831" w:name="Tc_eDZE_c8_rk2rRJU-H-lbpA_13_22"/>
      <w:bookmarkStart w:id="832" w:name="Tc_IL8Qowc6aEKqiyuMpBP1VQ_13_16"/>
      <w:bookmarkStart w:id="833" w:name="Tc_UBP8drRUoUmie32qudLwmw_13_12"/>
      <w:bookmarkStart w:id="834" w:name="Tc_rs68hnUGzUa0A1x5-kxWxA_13_9"/>
      <w:bookmarkStart w:id="835" w:name="Tc_bsRRRlYBdUGFdwR6OzpMuw_13_6"/>
      <w:bookmarkStart w:id="836" w:name="Tc_0yy-wejqjUabxo2Z9EWgfQ_13_3"/>
      <w:bookmarkStart w:id="837" w:name="Tc_448c6Vg_XEOkTJQPJuqZ7w_13_0"/>
      <w:bookmarkStart w:id="838" w:name="Tc_omyNlaO7PE6Z_LnhlRT0GQ_12_25"/>
      <w:bookmarkStart w:id="839" w:name="Tc_VNIQViNPHkyKyIMxGcvPjQ_12_22"/>
      <w:bookmarkStart w:id="840" w:name="Tc_wC7aYaOfy0azPpMspHTiqw_12_16"/>
      <w:bookmarkStart w:id="841" w:name="Tc_gm633ynW6kqUnpMv25PudA_12_12"/>
      <w:bookmarkStart w:id="842" w:name="Tc_t9Z3_0NU1k6DohT5VlIboQ_12_9"/>
      <w:bookmarkStart w:id="843" w:name="Tc_uYKCjwxv6UucnAuml4H6SA_12_3"/>
      <w:bookmarkStart w:id="844" w:name="Tc_PRkZbfzOZE2OaHK7I5sYIA_12_0"/>
      <w:bookmarkStart w:id="845" w:name="Tc_drqjKYkJVEO7mEMcdUEbTQ_11_25"/>
      <w:bookmarkStart w:id="846" w:name="Tc_NR_VQjwiBUWlEr4NroCWlw_11_22"/>
      <w:bookmarkStart w:id="847" w:name="Tc_nVhgJT-u5kqF1NW7Z4I4vQ_11_19"/>
      <w:bookmarkStart w:id="848" w:name="Tc_eaTLrGojwE-zwDvXKwHMKQ_11_16"/>
      <w:bookmarkStart w:id="849" w:name="Tc_1HKJXTZ7Z0SeLRDxf-Q3cw_11_12"/>
      <w:bookmarkStart w:id="850" w:name="Tc_OGVx9TnYOkm-HfO02cCprw_11_9"/>
      <w:bookmarkStart w:id="851" w:name="Tc_mHC1Vu2XJ06TDxkb9ozeJw_11_3"/>
      <w:bookmarkStart w:id="852" w:name="Tc_NFGu_HWvn0KsuKekf3GEIg_11_0"/>
      <w:bookmarkStart w:id="853" w:name="Tc_cKmpHrPOWUKyKHwyLU_Yvw_10_0"/>
      <w:bookmarkStart w:id="854" w:name="Tc_F-4IiyLtgEOQB1KuBpsx5Q_9_0"/>
      <w:bookmarkStart w:id="855" w:name="Tc__QC23j5kb0q-32BPtxKA1w_7_24"/>
      <w:bookmarkStart w:id="856" w:name="Tc_M4wKWn-31UuGVvPNnilIGw_7_21"/>
      <w:bookmarkStart w:id="857" w:name="Tc_Oeho3ozKMUqVPSH6O3nEyw_7_18"/>
      <w:bookmarkStart w:id="858" w:name="Tc_2gl2C78qaEaNxzmOhpYumg_7_15"/>
      <w:bookmarkStart w:id="859" w:name="Tc_4lyFo-bM20aMtqDy_70MPQ_7_11"/>
      <w:bookmarkStart w:id="860" w:name="Tc_6BIygqBsBkuh30gVMXz5Rw_7_8"/>
      <w:bookmarkStart w:id="861" w:name="Tc_ZuFDTx2udUCFvs3D8__i-g_7_5"/>
      <w:bookmarkStart w:id="862" w:name="Tc_ps-q4qGL4UqLuwBHUqXpGQ_7_2"/>
      <w:bookmarkStart w:id="863" w:name="Tc_nJqlQpNJLEOU1VuAc2e36A_7_0"/>
      <w:bookmarkStart w:id="864" w:name="Tc_ihUB3FOcm0y5UVv5FGwzug_6_25"/>
      <w:bookmarkStart w:id="865" w:name="Tc_Io99gLMhuEC16qOt7kEz6Q_6_22"/>
      <w:bookmarkStart w:id="866" w:name="Tc_eI1oOeAawkKUEAdi5Rding_6_19"/>
      <w:bookmarkStart w:id="867" w:name="Tc_W0TNfwb8l0ilTkQqdrSr_w_6_16"/>
      <w:bookmarkStart w:id="868" w:name="Tc_AaCKbMfUpEmxApmmer-obg_6_12"/>
      <w:bookmarkStart w:id="869" w:name="Tc_RQkJ8OJEp0Wn6h9mljmRag_6_9"/>
      <w:bookmarkStart w:id="870" w:name="Tc_-PghUPvixUe38hJ9KamuCw_6_3"/>
      <w:bookmarkStart w:id="871" w:name="Tc_bjAzZWtijUGntZFHkiW1tA_6_0"/>
      <w:bookmarkStart w:id="872" w:name="Tc_y1zdSOixeUqNYd7si6L-Xg_5_24"/>
      <w:bookmarkStart w:id="873" w:name="Tc_ULMlj8Pf5EeZHUcfcZ_OJQ_5_21"/>
      <w:bookmarkStart w:id="874" w:name="Tc_F5ypxubpwU2sP8SNz2M2ZA_5_18"/>
      <w:bookmarkStart w:id="875" w:name="Tc_TXy2_eHtAUWNSfjWbBPCdw_5_15"/>
      <w:bookmarkStart w:id="876" w:name="Tc_jI_YSlRyk06DfPIvMk8o5w_5_11"/>
      <w:bookmarkStart w:id="877" w:name="Tc_7kqM-0Q8UkuphmoVYZQDdQ_5_8"/>
      <w:bookmarkStart w:id="878" w:name="Tc_5sdJQ1laWU-qOt16F88knQ_5_5"/>
      <w:bookmarkStart w:id="879" w:name="Tc_ACyHzuywvUeqcbv86JifKw_5_2"/>
      <w:bookmarkStart w:id="880" w:name="Tc_5K2iaydTn0u_1jDIpDdhrQ_5_0"/>
      <w:bookmarkStart w:id="881" w:name="Tc_kKiq9R_bhkKC7RjCaSsSGA_4_0"/>
      <w:bookmarkStart w:id="882" w:name="Tc_4eamFidZGUCm-iKMjt8rPg_3_24"/>
      <w:bookmarkStart w:id="883" w:name="Tc_7jPzkE94_UWIqPdU_fVtfw_3_21"/>
      <w:bookmarkStart w:id="884" w:name="Tc_W4sU6D2JbU6aA7HqwnuhCg_3_18"/>
      <w:bookmarkStart w:id="885" w:name="Tc_YfVwjnbTQ0O3Fhe9YywCdQ_3_15"/>
      <w:bookmarkStart w:id="886" w:name="Tc_2n6JZomZk02p8Bk6ik4RkQ_3_11"/>
      <w:bookmarkStart w:id="887" w:name="Tc_waT7QKtFwU21Z5ZEx5IuqQ_3_8"/>
      <w:bookmarkStart w:id="888" w:name="Tc_37OcdNOfF0WH5iml4_12lw_3_5"/>
      <w:bookmarkStart w:id="889" w:name="Tc_NT_IfMpjWEO9j5Zp97RfXQ_3_2"/>
      <w:bookmarkStart w:id="890" w:name="Tc_KbaYMmWdaU6fazbgNyvPxg_2_21"/>
      <w:bookmarkStart w:id="891" w:name="Tc_zLlrkjuGS0-oGQGrvXZasg_2_15"/>
      <w:bookmarkStart w:id="892" w:name="Tc_-ekJvGGCtkSwvbBlKrvUtQ_2_8"/>
      <w:bookmarkStart w:id="893" w:name="Tc_y03dIIsCNUCr7hrXR_J8-g_2_2"/>
      <w:bookmarkStart w:id="894" w:name="Tc_RM5V7uwCfE2mm-niBPZH4w_1_15"/>
      <w:bookmarkStart w:id="895" w:name="Tc_iXL8Ams-YEG124gLXol3Fg_1_2"/>
      <w:bookmarkStart w:id="896" w:name="_bae94f0d_e0d3_4b03_a146_bc7f273968cb"/>
      <w:bookmarkStart w:id="897" w:name="FN_EarningsLossPerShare"/>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Arial Narrow" w:hAnsi="Arial Narrow"/>
          <w:b/>
          <w:caps/>
          <w:color w:val="00556F"/>
          <w:sz w:val="22"/>
        </w:rPr>
        <w:t>Note 8—Earnings (Loss) Per Share</w:t>
      </w:r>
    </w:p>
    <w:p>
      <w:pPr>
        <w:pStyle w:val="TextBody"/>
        <w:bidi w:val="0"/>
        <w:spacing w:before="60" w:after="60"/>
        <w:ind w:left="0" w:right="0" w:firstLine="720"/>
        <w:jc w:val="both"/>
        <w:rPr>
          <w:rFonts w:ascii="Arial Narrow" w:hAnsi="Arial Narrow"/>
          <w:sz w:val="20"/>
        </w:rPr>
      </w:pPr>
      <w:r>
        <w:rPr>
          <w:rFonts w:ascii="Arial Narrow" w:hAnsi="Arial Narrow"/>
          <w:sz w:val="20"/>
        </w:rPr>
        <w:t>The computations of basic and diluted earnings or loss per share were as follows (in millions, except per share data):</w:t>
      </w:r>
    </w:p>
    <w:tbl>
      <w:tblPr>
        <w:tblW w:w="9891" w:type="dxa"/>
        <w:jc w:val="left"/>
        <w:tblInd w:w="0" w:type="dxa"/>
        <w:tblLayout w:type="fixed"/>
        <w:tblCellMar>
          <w:top w:w="0" w:type="dxa"/>
          <w:left w:w="0" w:type="dxa"/>
          <w:bottom w:w="0" w:type="dxa"/>
          <w:right w:w="0" w:type="dxa"/>
        </w:tblCellMar>
      </w:tblPr>
      <w:tblGrid>
        <w:gridCol w:w="3256"/>
        <w:gridCol w:w="226"/>
        <w:gridCol w:w="181"/>
        <w:gridCol w:w="451"/>
        <w:gridCol w:w="109"/>
        <w:gridCol w:w="181"/>
        <w:gridCol w:w="451"/>
        <w:gridCol w:w="109"/>
        <w:gridCol w:w="181"/>
        <w:gridCol w:w="466"/>
        <w:gridCol w:w="109"/>
        <w:gridCol w:w="181"/>
        <w:gridCol w:w="466"/>
        <w:gridCol w:w="109"/>
        <w:gridCol w:w="109"/>
        <w:gridCol w:w="181"/>
        <w:gridCol w:w="451"/>
        <w:gridCol w:w="109"/>
        <w:gridCol w:w="181"/>
        <w:gridCol w:w="451"/>
        <w:gridCol w:w="109"/>
        <w:gridCol w:w="181"/>
        <w:gridCol w:w="541"/>
        <w:gridCol w:w="109"/>
        <w:gridCol w:w="181"/>
        <w:gridCol w:w="541"/>
        <w:gridCol w:w="27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67560" cy="175895"/>
                      <wp:effectExtent l="0" t="0" r="0" b="0"/>
                      <wp:wrapNone/>
                      <wp:docPr id="149" name="Frame148"/>
                      <a:graphic xmlns:a="http://schemas.openxmlformats.org/drawingml/2006/main">
                        <a:graphicData uri="http://schemas.microsoft.com/office/word/2010/wordprocessingShape">
                          <wps:wsp>
                            <wps:cNvSpPr txBox="1"/>
                            <wps:spPr>
                              <a:xfrm>
                                <a:off x="0" y="0"/>
                                <a:ext cx="2067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3510" cy="175895"/>
                      <wp:effectExtent l="0" t="0" r="0" b="0"/>
                      <wp:wrapNone/>
                      <wp:docPr id="150" name="Frame149"/>
                      <a:graphic xmlns:a="http://schemas.openxmlformats.org/drawingml/2006/main">
                        <a:graphicData uri="http://schemas.microsoft.com/office/word/2010/wordprocessingShape">
                          <wps:wsp>
                            <wps:cNvSpPr txBox="1"/>
                            <wps:spPr>
                              <a:xfrm>
                                <a:off x="0" y="0"/>
                                <a:ext cx="143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4935" cy="175895"/>
                      <wp:effectExtent l="0" t="0" r="0" b="0"/>
                      <wp:wrapNone/>
                      <wp:docPr id="151" name="Frame150"/>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86385" cy="175895"/>
                      <wp:effectExtent l="0" t="0" r="0" b="0"/>
                      <wp:wrapNone/>
                      <wp:docPr id="152" name="Frame151"/>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895"/>
                      <wp:effectExtent l="0" t="0" r="0" b="0"/>
                      <wp:wrapNone/>
                      <wp:docPr id="153" name="Frame15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4935" cy="175895"/>
                      <wp:effectExtent l="0" t="0" r="0" b="0"/>
                      <wp:wrapNone/>
                      <wp:docPr id="154" name="Frame153"/>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86385" cy="175895"/>
                      <wp:effectExtent l="0" t="0" r="0" b="0"/>
                      <wp:wrapNone/>
                      <wp:docPr id="155" name="Frame154"/>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895"/>
                      <wp:effectExtent l="0" t="0" r="0" b="0"/>
                      <wp:wrapNone/>
                      <wp:docPr id="156" name="Frame15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14935" cy="175895"/>
                      <wp:effectExtent l="0" t="0" r="0" b="0"/>
                      <wp:wrapNone/>
                      <wp:docPr id="157" name="Frame156"/>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95910" cy="175895"/>
                      <wp:effectExtent l="0" t="0" r="0" b="0"/>
                      <wp:wrapNone/>
                      <wp:docPr id="158" name="Frame157"/>
                      <a:graphic xmlns:a="http://schemas.openxmlformats.org/drawingml/2006/main">
                        <a:graphicData uri="http://schemas.microsoft.com/office/word/2010/wordprocessingShape">
                          <wps:wsp>
                            <wps:cNvSpPr txBox="1"/>
                            <wps:spPr>
                              <a:xfrm>
                                <a:off x="0" y="0"/>
                                <a:ext cx="295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895"/>
                      <wp:effectExtent l="0" t="0" r="0" b="0"/>
                      <wp:wrapNone/>
                      <wp:docPr id="159" name="Frame15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4935" cy="175895"/>
                      <wp:effectExtent l="0" t="0" r="0" b="0"/>
                      <wp:wrapNone/>
                      <wp:docPr id="160" name="Frame159"/>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95910" cy="175895"/>
                      <wp:effectExtent l="0" t="0" r="0" b="0"/>
                      <wp:wrapNone/>
                      <wp:docPr id="161" name="Frame160"/>
                      <a:graphic xmlns:a="http://schemas.openxmlformats.org/drawingml/2006/main">
                        <a:graphicData uri="http://schemas.microsoft.com/office/word/2010/wordprocessingShape">
                          <wps:wsp>
                            <wps:cNvSpPr txBox="1"/>
                            <wps:spPr>
                              <a:xfrm>
                                <a:off x="0" y="0"/>
                                <a:ext cx="295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895"/>
                      <wp:effectExtent l="0" t="0" r="0" b="0"/>
                      <wp:wrapNone/>
                      <wp:docPr id="162" name="Frame16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895"/>
                      <wp:effectExtent l="0" t="0" r="0" b="0"/>
                      <wp:wrapNone/>
                      <wp:docPr id="163" name="Frame16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14935" cy="175895"/>
                      <wp:effectExtent l="0" t="0" r="0" b="0"/>
                      <wp:wrapNone/>
                      <wp:docPr id="164" name="Frame163"/>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86385" cy="175895"/>
                      <wp:effectExtent l="0" t="0" r="0" b="0"/>
                      <wp:wrapNone/>
                      <wp:docPr id="165" name="Frame164"/>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895"/>
                      <wp:effectExtent l="0" t="0" r="0" b="0"/>
                      <wp:wrapNone/>
                      <wp:docPr id="166" name="Frame16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14935" cy="175895"/>
                      <wp:effectExtent l="0" t="0" r="0" b="0"/>
                      <wp:wrapNone/>
                      <wp:docPr id="167" name="Frame166"/>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6385" cy="175895"/>
                      <wp:effectExtent l="0" t="0" r="0" b="0"/>
                      <wp:wrapNone/>
                      <wp:docPr id="168" name="Frame167"/>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895"/>
                      <wp:effectExtent l="0" t="0" r="0" b="0"/>
                      <wp:wrapNone/>
                      <wp:docPr id="169" name="Frame16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14935" cy="175895"/>
                      <wp:effectExtent l="0" t="0" r="0" b="0"/>
                      <wp:wrapNone/>
                      <wp:docPr id="170" name="Frame169"/>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43535" cy="175895"/>
                      <wp:effectExtent l="0" t="0" r="0" b="0"/>
                      <wp:wrapNone/>
                      <wp:docPr id="171" name="Frame170"/>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895"/>
                      <wp:effectExtent l="0" t="0" r="0" b="0"/>
                      <wp:wrapNone/>
                      <wp:docPr id="172" name="Frame17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14935" cy="175895"/>
                      <wp:effectExtent l="0" t="0" r="0" b="0"/>
                      <wp:wrapNone/>
                      <wp:docPr id="173" name="Frame172"/>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43535" cy="175895"/>
                      <wp:effectExtent l="0" t="0" r="0" b="0"/>
                      <wp:wrapNone/>
                      <wp:docPr id="174" name="Frame173"/>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2085" cy="175895"/>
                      <wp:effectExtent l="0" t="0" r="0" b="0"/>
                      <wp:wrapNone/>
                      <wp:docPr id="175" name="Frame174"/>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w:t>
            </w:r>
          </w:p>
        </w:tc>
        <w:tc>
          <w:tcPr>
            <w:tcW w:w="2885"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Three months ended June 30,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3035" w:type="dxa"/>
            <w:gridSpan w:val="11"/>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Six months ended June 30, </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w:t>
            </w:r>
          </w:p>
        </w:tc>
        <w:tc>
          <w:tcPr>
            <w:tcW w:w="137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140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37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155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Basic</w:t>
            </w:r>
          </w:p>
        </w:tc>
        <w:tc>
          <w:tcPr>
            <w:tcW w:w="109"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Diluted</w:t>
            </w:r>
          </w:p>
        </w:tc>
        <w:tc>
          <w:tcPr>
            <w:tcW w:w="109" w:type="dxa"/>
            <w:tcBorders/>
            <w:vAlign w:val="center"/>
          </w:tcPr>
          <w:p>
            <w:pPr>
              <w:pStyle w:val="TableContents"/>
              <w:bidi w:val="0"/>
              <w:spacing w:before="1"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Basic</w:t>
            </w:r>
          </w:p>
        </w:tc>
        <w:tc>
          <w:tcPr>
            <w:tcW w:w="109" w:type="dxa"/>
            <w:tcBorders/>
            <w:vAlign w:val="center"/>
          </w:tcPr>
          <w:p>
            <w:pPr>
              <w:pStyle w:val="TableContents"/>
              <w:bidi w:val="0"/>
              <w:spacing w:before="1" w:after="1"/>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Diluted</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Basic</w:t>
            </w:r>
          </w:p>
        </w:tc>
        <w:tc>
          <w:tcPr>
            <w:tcW w:w="109"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Diluted</w:t>
            </w:r>
          </w:p>
        </w:tc>
        <w:tc>
          <w:tcPr>
            <w:tcW w:w="109" w:type="dxa"/>
            <w:tcBorders/>
            <w:vAlign w:val="center"/>
          </w:tcPr>
          <w:p>
            <w:pPr>
              <w:pStyle w:val="TableContents"/>
              <w:bidi w:val="0"/>
              <w:spacing w:before="1" w:after="1"/>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Basic</w:t>
            </w:r>
          </w:p>
        </w:tc>
        <w:tc>
          <w:tcPr>
            <w:tcW w:w="109" w:type="dxa"/>
            <w:tcBorders/>
            <w:vAlign w:val="center"/>
          </w:tcPr>
          <w:p>
            <w:pPr>
              <w:pStyle w:val="TableContents"/>
              <w:bidi w:val="0"/>
              <w:spacing w:before="1" w:after="1"/>
              <w:ind w:left="0" w:right="0" w:hanging="0"/>
              <w:jc w:val="center"/>
              <w:rPr/>
            </w:pPr>
            <w:r>
              <w:rPr/>
              <w:t>​</w:t>
            </w:r>
          </w:p>
        </w:tc>
        <w:tc>
          <w:tcPr>
            <w:tcW w:w="7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Diluted</w:t>
            </w:r>
          </w:p>
        </w:tc>
        <w:tc>
          <w:tcPr>
            <w:tcW w:w="271" w:type="dxa"/>
            <w:tcBorders/>
            <w:vAlign w:val="center"/>
          </w:tcPr>
          <w:p>
            <w:pPr>
              <w:pStyle w:val="TableContents"/>
              <w:bidi w:val="0"/>
              <w:spacing w:before="1" w:after="1"/>
              <w:ind w:left="0" w:right="0" w:hanging="0"/>
              <w:jc w:val="center"/>
              <w:rPr/>
            </w:pPr>
            <w:r>
              <w:rPr/>
              <w:t>  ​</w:t>
            </w:r>
          </w:p>
        </w:tc>
      </w:tr>
      <w:tr>
        <w:trPr/>
        <w:tc>
          <w:tcPr>
            <w:tcW w:w="325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Numerator for earnings (loss) per share</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46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541" w:type="dxa"/>
            <w:tcBorders/>
            <w:vAlign w:val="center"/>
          </w:tcPr>
          <w:p>
            <w:pPr>
              <w:pStyle w:val="TableContents"/>
              <w:bidi w:val="0"/>
              <w:spacing w:before="1" w:after="1"/>
              <w:ind w:left="0" w:right="0" w:hanging="0"/>
              <w:jc w:val="center"/>
              <w:rPr/>
            </w:pPr>
            <w:r>
              <w:rPr/>
              <w:t>​</w:t>
            </w:r>
          </w:p>
        </w:tc>
        <w:tc>
          <w:tcPr>
            <w:tcW w:w="271" w:type="dxa"/>
            <w:tcBorders/>
            <w:vAlign w:val="center"/>
          </w:tcPr>
          <w:p>
            <w:pPr>
              <w:pStyle w:val="TableContents"/>
              <w:bidi w:val="0"/>
              <w:spacing w:before="1" w:after="1"/>
              <w:ind w:left="0" w:right="0" w:hanging="0"/>
              <w:jc w:val="center"/>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Net income (loss)</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170</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170</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(938)</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(938)</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(1,017)</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(1,017)</w:t>
            </w:r>
          </w:p>
        </w:tc>
        <w:tc>
          <w:tcPr>
            <w:tcW w:w="271" w:type="dxa"/>
            <w:tcBorders/>
            <w:shd w:fill="CEDBE0" w:val="clear"/>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convertible debt instruments, net of tax</w:t>
            </w:r>
          </w:p>
        </w:tc>
        <w:tc>
          <w:tcPr>
            <w:tcW w:w="22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(126)</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Income (loss) for per share calculation</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170</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(938)</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(938)</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(1,017)</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(1,017)</w:t>
            </w:r>
          </w:p>
        </w:tc>
        <w:tc>
          <w:tcPr>
            <w:tcW w:w="271" w:type="dxa"/>
            <w:tcBorders/>
            <w:shd w:fill="CEDBE0" w:val="clear"/>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541"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r>
      <w:tr>
        <w:trPr/>
        <w:tc>
          <w:tcPr>
            <w:tcW w:w="325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Denominator for earnings (loss) per share</w:t>
            </w:r>
          </w:p>
        </w:tc>
        <w:tc>
          <w:tcPr>
            <w:tcW w:w="226"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5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541"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center"/>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Weighted-average shares outstanding</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1,120</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1,120</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1,115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1,115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54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54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885</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convertible debt instruments</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541"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share-based awards</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66"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66"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541"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shd w:fill="CEDBE0" w:val="clear"/>
            <w:vAlign w:val="center"/>
          </w:tcPr>
          <w:p>
            <w:pPr>
              <w:pStyle w:val="TableContents"/>
              <w:bidi w:val="0"/>
              <w:spacing w:before="1" w:after="1"/>
              <w:ind w:left="0" w:right="0" w:hanging="0"/>
              <w:jc w:val="right"/>
              <w:rPr/>
            </w:pPr>
            <w:r>
              <w:rPr/>
              <w:t>​</w:t>
            </w:r>
          </w:p>
        </w:tc>
        <w:tc>
          <w:tcPr>
            <w:tcW w:w="541" w:type="dxa"/>
            <w:tcBorders/>
            <w:shd w:fill="CEDBE0" w:val="clear"/>
            <w:vAlign w:val="center"/>
          </w:tcPr>
          <w:p>
            <w:pPr>
              <w:pStyle w:val="TableContents"/>
              <w:bidi w:val="0"/>
              <w:spacing w:before="1" w:after="1"/>
              <w:ind w:left="0" w:right="0" w:hanging="0"/>
              <w:jc w:val="right"/>
              <w:rPr/>
            </w:pPr>
            <w:r>
              <w:rPr/>
              <w:t>—</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Effect of warrants</w:t>
            </w:r>
          </w:p>
        </w:tc>
        <w:tc>
          <w:tcPr>
            <w:tcW w:w="22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54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Weighted-average shares for per share calculation</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1,120</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1,202</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66"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888</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1,115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1,125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885</w:t>
            </w:r>
          </w:p>
        </w:tc>
        <w:tc>
          <w:tcPr>
            <w:tcW w:w="271" w:type="dxa"/>
            <w:tcBorders/>
            <w:shd w:fill="CEDBE0" w:val="clear"/>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541" w:type="dxa"/>
            <w:tcBorders/>
            <w:vAlign w:val="center"/>
          </w:tcPr>
          <w:p>
            <w:pPr>
              <w:pStyle w:val="TableContents"/>
              <w:bidi w:val="0"/>
              <w:spacing w:before="1" w:after="1"/>
              <w:ind w:left="0" w:right="0" w:hanging="0"/>
              <w:jc w:val="lef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6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81" w:type="dxa"/>
            <w:tcBorders/>
            <w:vAlign w:val="center"/>
          </w:tcPr>
          <w:p>
            <w:pPr>
              <w:pStyle w:val="TableContents"/>
              <w:bidi w:val="0"/>
              <w:spacing w:before="1" w:after="1"/>
              <w:ind w:left="0" w:right="0" w:hanging="0"/>
              <w:jc w:val="right"/>
              <w:rPr/>
            </w:pPr>
            <w:r>
              <w:rPr/>
              <w:t>​</w:t>
            </w:r>
          </w:p>
        </w:tc>
        <w:tc>
          <w:tcPr>
            <w:tcW w:w="541" w:type="dxa"/>
            <w:tcBorders/>
            <w:vAlign w:val="center"/>
          </w:tcPr>
          <w:p>
            <w:pPr>
              <w:pStyle w:val="TableContents"/>
              <w:bidi w:val="0"/>
              <w:spacing w:before="1" w:after="1"/>
              <w:ind w:left="0" w:right="0" w:hanging="0"/>
              <w:jc w:val="left"/>
              <w:rPr/>
            </w:pPr>
            <w:r>
              <w:rPr/>
              <w:t>​</w:t>
            </w:r>
          </w:p>
        </w:tc>
        <w:tc>
          <w:tcPr>
            <w:tcW w:w="271" w:type="dxa"/>
            <w:tcBorders/>
            <w:vAlign w:val="center"/>
          </w:tcPr>
          <w:p>
            <w:pPr>
              <w:pStyle w:val="TableContents"/>
              <w:bidi w:val="0"/>
              <w:spacing w:before="1" w:after="1"/>
              <w:ind w:left="0" w:right="0" w:hanging="0"/>
              <w:jc w:val="right"/>
              <w:rPr/>
            </w:pPr>
            <w:r>
              <w:rPr/>
              <w:t>​</w:t>
            </w:r>
          </w:p>
        </w:tc>
      </w:tr>
      <w:tr>
        <w:trPr/>
        <w:tc>
          <w:tcPr>
            <w:tcW w:w="3256" w:type="dxa"/>
            <w:tcBorders/>
            <w:shd w:fill="CEDBE0" w:val="clear"/>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Earnings (loss) per share</w:t>
            </w:r>
          </w:p>
        </w:tc>
        <w:tc>
          <w:tcPr>
            <w:tcW w:w="22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0.15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0.04</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(1.06)</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(1.06)</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0.22</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0.21</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(1.15)</w:t>
            </w:r>
          </w:p>
        </w:tc>
        <w:tc>
          <w:tcPr>
            <w:tcW w:w="109" w:type="dxa"/>
            <w:tcBorders/>
            <w:shd w:fill="CEDBE0" w:val="clear"/>
            <w:vAlign w:val="center"/>
          </w:tcPr>
          <w:p>
            <w:pPr>
              <w:pStyle w:val="TableContents"/>
              <w:bidi w:val="0"/>
              <w:spacing w:before="1" w:after="1"/>
              <w:ind w:left="0" w:right="0" w:hanging="0"/>
              <w:jc w:val="righ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(1.15)</w:t>
            </w:r>
          </w:p>
        </w:tc>
        <w:tc>
          <w:tcPr>
            <w:tcW w:w="271" w:type="dxa"/>
            <w:tcBorders/>
            <w:shd w:fill="CEDBE0" w:val="clear"/>
            <w:vAlign w:val="center"/>
          </w:tcPr>
          <w:p>
            <w:pPr>
              <w:pStyle w:val="TableContents"/>
              <w:bidi w:val="0"/>
              <w:spacing w:before="1" w:after="1"/>
              <w:ind w:left="0" w:right="0" w:hanging="0"/>
              <w:jc w:val="right"/>
              <w:rPr/>
            </w:pPr>
            <w:r>
              <w:rPr/>
              <w:t>​</w:t>
            </w:r>
          </w:p>
        </w:tc>
      </w:tr>
    </w:tbl>
    <w:p>
      <w:pPr>
        <w:pStyle w:val="TextBody"/>
        <w:bidi w:val="0"/>
        <w:spacing w:before="60" w:after="120"/>
        <w:ind w:left="0" w:right="0" w:firstLine="720"/>
        <w:jc w:val="both"/>
        <w:rPr/>
      </w:pPr>
      <w:r>
        <w:rPr/>
        <w:t>​</w:t>
      </w:r>
    </w:p>
    <w:p>
      <w:pPr>
        <w:pStyle w:val="TextBody"/>
        <w:bidi w:val="0"/>
        <w:spacing w:before="180" w:after="60"/>
        <w:ind w:left="0" w:right="0" w:firstLine="720"/>
        <w:jc w:val="both"/>
        <w:rPr>
          <w:rFonts w:ascii="Arial Narrow" w:hAnsi="Arial Narrow"/>
          <w:sz w:val="20"/>
        </w:rPr>
      </w:pPr>
      <w:r>
        <w:rPr>
          <w:rFonts w:ascii="Arial Narrow" w:hAnsi="Arial Narrow"/>
          <w:sz w:val="20"/>
        </w:rPr>
        <w:t>We excluded from the computations certain shares issuable as follows because the effect would have been antidilutive (in millions):</w:t>
      </w:r>
    </w:p>
    <w:tbl>
      <w:tblPr>
        <w:tblW w:w="6645" w:type="dxa"/>
        <w:jc w:val="left"/>
        <w:tblInd w:w="0" w:type="dxa"/>
        <w:tblLayout w:type="fixed"/>
        <w:tblCellMar>
          <w:top w:w="0" w:type="dxa"/>
          <w:left w:w="0" w:type="dxa"/>
          <w:bottom w:w="0" w:type="dxa"/>
          <w:right w:w="0" w:type="dxa"/>
        </w:tblCellMar>
      </w:tblPr>
      <w:tblGrid>
        <w:gridCol w:w="1921"/>
        <w:gridCol w:w="109"/>
        <w:gridCol w:w="109"/>
        <w:gridCol w:w="109"/>
        <w:gridCol w:w="109"/>
        <w:gridCol w:w="109"/>
        <w:gridCol w:w="109"/>
        <w:gridCol w:w="109"/>
        <w:gridCol w:w="109"/>
        <w:gridCol w:w="109"/>
        <w:gridCol w:w="109"/>
        <w:gridCol w:w="109"/>
        <w:gridCol w:w="109"/>
        <w:gridCol w:w="109"/>
        <w:gridCol w:w="109"/>
        <w:gridCol w:w="166"/>
        <w:gridCol w:w="530"/>
        <w:gridCol w:w="166"/>
        <w:gridCol w:w="166"/>
        <w:gridCol w:w="530"/>
        <w:gridCol w:w="109"/>
        <w:gridCol w:w="147"/>
        <w:gridCol w:w="468"/>
        <w:gridCol w:w="147"/>
        <w:gridCol w:w="147"/>
        <w:gridCol w:w="468"/>
        <w:gridCol w:w="154"/>
      </w:tblGrid>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left"/>
              <w:rPr/>
            </w:pPr>
            <w:r>
              <w:rPr/>
              <w:t>​</w:t>
            </w:r>
          </w:p>
        </w:tc>
        <w:tc>
          <w:tcPr>
            <w:tcW w:w="530"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left"/>
              <w:rPr/>
            </w:pPr>
            <w:r>
              <w:rPr/>
              <w:t>​</w:t>
            </w:r>
          </w:p>
        </w:tc>
        <w:tc>
          <w:tcPr>
            <w:tcW w:w="530"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47" w:type="dxa"/>
            <w:tcBorders/>
            <w:vAlign w:val="center"/>
          </w:tcPr>
          <w:p>
            <w:pPr>
              <w:pStyle w:val="TableContents"/>
              <w:bidi w:val="0"/>
              <w:spacing w:before="1" w:after="1"/>
              <w:ind w:left="0" w:right="0" w:hanging="0"/>
              <w:jc w:val="left"/>
              <w:rPr/>
            </w:pPr>
            <w:r>
              <w:rPr/>
              <w:t>​</w:t>
            </w:r>
          </w:p>
        </w:tc>
        <w:tc>
          <w:tcPr>
            <w:tcW w:w="468" w:type="dxa"/>
            <w:tcBorders/>
            <w:vAlign w:val="center"/>
          </w:tcPr>
          <w:p>
            <w:pPr>
              <w:pStyle w:val="TableContents"/>
              <w:bidi w:val="0"/>
              <w:spacing w:before="1" w:after="1"/>
              <w:ind w:left="0" w:right="0" w:hanging="0"/>
              <w:jc w:val="left"/>
              <w:rPr/>
            </w:pPr>
            <w:r>
              <w:rPr/>
              <w:t>​</w:t>
            </w:r>
          </w:p>
        </w:tc>
        <w:tc>
          <w:tcPr>
            <w:tcW w:w="147" w:type="dxa"/>
            <w:tcBorders/>
            <w:vAlign w:val="center"/>
          </w:tcPr>
          <w:p>
            <w:pPr>
              <w:pStyle w:val="TableContents"/>
              <w:bidi w:val="0"/>
              <w:spacing w:before="1" w:after="1"/>
              <w:ind w:left="0" w:right="0" w:hanging="0"/>
              <w:jc w:val="left"/>
              <w:rPr/>
            </w:pPr>
            <w:r>
              <w:rPr/>
              <w:t>​</w:t>
            </w:r>
          </w:p>
        </w:tc>
        <w:tc>
          <w:tcPr>
            <w:tcW w:w="147" w:type="dxa"/>
            <w:tcBorders/>
            <w:vAlign w:val="center"/>
          </w:tcPr>
          <w:p>
            <w:pPr>
              <w:pStyle w:val="TableContents"/>
              <w:bidi w:val="0"/>
              <w:spacing w:before="1" w:after="1"/>
              <w:ind w:left="0" w:right="0" w:hanging="0"/>
              <w:jc w:val="left"/>
              <w:rPr/>
            </w:pPr>
            <w:r>
              <w:rPr/>
              <w:t>​</w:t>
            </w:r>
          </w:p>
        </w:tc>
        <w:tc>
          <w:tcPr>
            <w:tcW w:w="468" w:type="dxa"/>
            <w:tcBorders/>
            <w:vAlign w:val="center"/>
          </w:tcPr>
          <w:p>
            <w:pPr>
              <w:pStyle w:val="TableContents"/>
              <w:bidi w:val="0"/>
              <w:spacing w:before="1" w:after="1"/>
              <w:ind w:left="0" w:right="0" w:hanging="0"/>
              <w:jc w:val="left"/>
              <w:rPr/>
            </w:pPr>
            <w:r>
              <w:rPr/>
              <w:t>​</w:t>
            </w:r>
          </w:p>
        </w:tc>
        <w:tc>
          <w:tcPr>
            <w:tcW w:w="154" w:type="dxa"/>
            <w:tcBorders/>
            <w:vAlign w:val="center"/>
          </w:tcPr>
          <w:p>
            <w:pPr>
              <w:pStyle w:val="TableContents"/>
              <w:bidi w:val="0"/>
              <w:spacing w:before="1" w:after="1"/>
              <w:ind w:left="0" w:right="0" w:hanging="0"/>
              <w:jc w:val="left"/>
              <w:rPr/>
            </w:pPr>
            <w:r>
              <w:rPr/>
              <w:t>​</w:t>
            </w:r>
          </w:p>
        </w:tc>
      </w:tr>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558"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109" w:type="dxa"/>
            <w:tcBorders/>
            <w:vAlign w:val="center"/>
          </w:tcPr>
          <w:p>
            <w:pPr>
              <w:pStyle w:val="TableContents"/>
              <w:bidi w:val="0"/>
              <w:spacing w:before="1" w:after="1"/>
              <w:ind w:left="0" w:right="0" w:hanging="0"/>
              <w:jc w:val="left"/>
              <w:rPr/>
            </w:pPr>
            <w:r>
              <w:rPr/>
              <w:t>​</w:t>
            </w:r>
          </w:p>
        </w:tc>
        <w:tc>
          <w:tcPr>
            <w:tcW w:w="1377"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Six months ended </w:t>
            </w:r>
          </w:p>
        </w:tc>
        <w:tc>
          <w:tcPr>
            <w:tcW w:w="154" w:type="dxa"/>
            <w:tcBorders/>
            <w:vAlign w:val="center"/>
          </w:tcPr>
          <w:p>
            <w:pPr>
              <w:pStyle w:val="TableContents"/>
              <w:bidi w:val="0"/>
              <w:spacing w:before="1" w:after="1"/>
              <w:ind w:left="0" w:right="0" w:hanging="0"/>
              <w:jc w:val="left"/>
              <w:rPr/>
            </w:pPr>
            <w:r>
              <w:rPr/>
              <w:t>​</w:t>
            </w:r>
          </w:p>
        </w:tc>
      </w:tr>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55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09" w:type="dxa"/>
            <w:tcBorders/>
            <w:vAlign w:val="center"/>
          </w:tcPr>
          <w:p>
            <w:pPr>
              <w:pStyle w:val="TableContents"/>
              <w:bidi w:val="0"/>
              <w:spacing w:before="1" w:after="1"/>
              <w:ind w:left="0" w:right="0" w:hanging="0"/>
              <w:jc w:val="left"/>
              <w:rPr/>
            </w:pPr>
            <w:r>
              <w:rPr/>
              <w:t>​</w:t>
            </w:r>
          </w:p>
        </w:tc>
        <w:tc>
          <w:tcPr>
            <w:tcW w:w="1377"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54" w:type="dxa"/>
            <w:tcBorders/>
            <w:vAlign w:val="center"/>
          </w:tcPr>
          <w:p>
            <w:pPr>
              <w:pStyle w:val="TableContents"/>
              <w:bidi w:val="0"/>
              <w:spacing w:before="1" w:after="1"/>
              <w:ind w:left="0" w:right="0" w:hanging="0"/>
              <w:jc w:val="left"/>
              <w:rPr/>
            </w:pPr>
            <w:r>
              <w:rPr/>
              <w:t>​</w:t>
            </w:r>
          </w:p>
        </w:tc>
      </w:tr>
      <w:tr>
        <w:trPr/>
        <w:tc>
          <w:tcPr>
            <w:tcW w:w="192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66" w:type="dxa"/>
            <w:tcBorders/>
            <w:vAlign w:val="center"/>
          </w:tcPr>
          <w:p>
            <w:pPr>
              <w:pStyle w:val="TableContents"/>
              <w:bidi w:val="0"/>
              <w:spacing w:before="1" w:after="1"/>
              <w:ind w:left="0" w:right="0" w:hanging="0"/>
              <w:jc w:val="center"/>
              <w:rPr/>
            </w:pPr>
            <w:r>
              <w:rPr/>
              <w:t>​</w:t>
            </w:r>
          </w:p>
        </w:tc>
        <w:tc>
          <w:tcPr>
            <w:tcW w:w="6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09" w:type="dxa"/>
            <w:tcBorders/>
            <w:vAlign w:val="center"/>
          </w:tcPr>
          <w:p>
            <w:pPr>
              <w:pStyle w:val="TableContents"/>
              <w:bidi w:val="0"/>
              <w:spacing w:before="1" w:after="1"/>
              <w:ind w:left="0" w:right="0" w:hanging="0"/>
              <w:jc w:val="center"/>
              <w:rPr/>
            </w:pPr>
            <w:r>
              <w:rPr/>
              <w:t>​</w:t>
            </w:r>
          </w:p>
        </w:tc>
        <w:tc>
          <w:tcPr>
            <w:tcW w:w="6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47" w:type="dxa"/>
            <w:tcBorders/>
            <w:vAlign w:val="center"/>
          </w:tcPr>
          <w:p>
            <w:pPr>
              <w:pStyle w:val="TableContents"/>
              <w:bidi w:val="0"/>
              <w:spacing w:before="1" w:after="1"/>
              <w:ind w:left="0" w:right="0" w:hanging="0"/>
              <w:jc w:val="center"/>
              <w:rPr/>
            </w:pPr>
            <w:r>
              <w:rPr/>
              <w:t>​</w:t>
            </w:r>
          </w:p>
        </w:tc>
        <w:tc>
          <w:tcPr>
            <w:tcW w:w="6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54" w:type="dxa"/>
            <w:tcBorders/>
            <w:vAlign w:val="center"/>
          </w:tcPr>
          <w:p>
            <w:pPr>
              <w:pStyle w:val="TableContents"/>
              <w:bidi w:val="0"/>
              <w:spacing w:before="1" w:after="1"/>
              <w:ind w:left="0" w:right="0" w:hanging="0"/>
              <w:jc w:val="center"/>
              <w:rPr/>
            </w:pPr>
            <w:r>
              <w:rPr/>
              <w:t>​</w:t>
            </w:r>
          </w:p>
        </w:tc>
      </w:tr>
      <w:tr>
        <w:trPr/>
        <w:tc>
          <w:tcPr>
            <w:tcW w:w="192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Convertible debt instruments</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530" w:type="dxa"/>
            <w:tcBorders/>
            <w:shd w:fill="CEDBE0" w:val="clear"/>
            <w:vAlign w:val="center"/>
          </w:tcPr>
          <w:p>
            <w:pPr>
              <w:pStyle w:val="TableContents"/>
              <w:bidi w:val="0"/>
              <w:spacing w:before="1" w:after="1"/>
              <w:ind w:left="0" w:right="0" w:hanging="0"/>
              <w:jc w:val="righ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right"/>
              <w:rPr/>
            </w:pPr>
            <w:r>
              <w:rPr/>
              <w:t>​</w:t>
            </w:r>
          </w:p>
        </w:tc>
        <w:tc>
          <w:tcPr>
            <w:tcW w:w="53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119</w:t>
            </w:r>
          </w:p>
        </w:tc>
        <w:tc>
          <w:tcPr>
            <w:tcW w:w="109" w:type="dxa"/>
            <w:tcBorders/>
            <w:shd w:fill="CEDBE0" w:val="clear"/>
            <w:vAlign w:val="center"/>
          </w:tcPr>
          <w:p>
            <w:pPr>
              <w:pStyle w:val="TableContents"/>
              <w:bidi w:val="0"/>
              <w:spacing w:before="1" w:after="1"/>
              <w:ind w:left="0" w:right="0" w:hanging="0"/>
              <w:jc w:val="left"/>
              <w:rPr/>
            </w:pPr>
            <w:r>
              <w:rPr/>
              <w:t>​</w:t>
            </w:r>
          </w:p>
        </w:tc>
        <w:tc>
          <w:tcPr>
            <w:tcW w:w="147" w:type="dxa"/>
            <w:tcBorders/>
            <w:shd w:fill="CEDBE0" w:val="clear"/>
            <w:vAlign w:val="center"/>
          </w:tcPr>
          <w:p>
            <w:pPr>
              <w:pStyle w:val="TableContents"/>
              <w:bidi w:val="0"/>
              <w:spacing w:before="1" w:after="1"/>
              <w:ind w:left="0" w:right="0" w:hanging="0"/>
              <w:jc w:val="left"/>
              <w:rPr/>
            </w:pPr>
            <w:r>
              <w:rPr/>
              <w:t>​</w:t>
            </w:r>
          </w:p>
        </w:tc>
        <w:tc>
          <w:tcPr>
            <w:tcW w:w="46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w:t>
            </w:r>
          </w:p>
        </w:tc>
        <w:tc>
          <w:tcPr>
            <w:tcW w:w="147" w:type="dxa"/>
            <w:tcBorders/>
            <w:shd w:fill="CEDBE0" w:val="clear"/>
            <w:vAlign w:val="center"/>
          </w:tcPr>
          <w:p>
            <w:pPr>
              <w:pStyle w:val="TableContents"/>
              <w:bidi w:val="0"/>
              <w:spacing w:before="1" w:after="1"/>
              <w:ind w:left="0" w:right="0" w:hanging="0"/>
              <w:jc w:val="left"/>
              <w:rPr/>
            </w:pPr>
            <w:r>
              <w:rPr/>
              <w:t>​</w:t>
            </w:r>
          </w:p>
        </w:tc>
        <w:tc>
          <w:tcPr>
            <w:tcW w:w="147" w:type="dxa"/>
            <w:tcBorders/>
            <w:shd w:fill="CEDBE0" w:val="clear"/>
            <w:vAlign w:val="center"/>
          </w:tcPr>
          <w:p>
            <w:pPr>
              <w:pStyle w:val="TableContents"/>
              <w:bidi w:val="0"/>
              <w:spacing w:before="1" w:after="1"/>
              <w:ind w:left="0" w:right="0" w:hanging="0"/>
              <w:jc w:val="right"/>
              <w:rPr/>
            </w:pPr>
            <w:r>
              <w:rPr/>
              <w:t>​</w:t>
            </w:r>
          </w:p>
        </w:tc>
        <w:tc>
          <w:tcPr>
            <w:tcW w:w="46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119</w:t>
            </w:r>
          </w:p>
        </w:tc>
        <w:tc>
          <w:tcPr>
            <w:tcW w:w="154" w:type="dxa"/>
            <w:tcBorders/>
            <w:shd w:fill="CEDBE0" w:val="clear"/>
            <w:vAlign w:val="center"/>
          </w:tcPr>
          <w:p>
            <w:pPr>
              <w:pStyle w:val="TableContents"/>
              <w:bidi w:val="0"/>
              <w:spacing w:before="1" w:after="1"/>
              <w:ind w:left="0" w:right="0" w:hanging="0"/>
              <w:jc w:val="right"/>
              <w:rPr/>
            </w:pPr>
            <w:r>
              <w:rPr/>
              <w:t>​</w:t>
            </w:r>
          </w:p>
        </w:tc>
      </w:tr>
      <w:tr>
        <w:trPr/>
        <w:tc>
          <w:tcPr>
            <w:tcW w:w="192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Share-based awards</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left"/>
              <w:rPr/>
            </w:pPr>
            <w:r>
              <w:rPr/>
              <w:t>​</w:t>
            </w:r>
          </w:p>
        </w:tc>
        <w:tc>
          <w:tcPr>
            <w:tcW w:w="53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w:t>
            </w:r>
          </w:p>
        </w:tc>
        <w:tc>
          <w:tcPr>
            <w:tcW w:w="166" w:type="dxa"/>
            <w:tcBorders/>
            <w:vAlign w:val="center"/>
          </w:tcPr>
          <w:p>
            <w:pPr>
              <w:pStyle w:val="TableContents"/>
              <w:bidi w:val="0"/>
              <w:spacing w:before="1" w:after="1"/>
              <w:ind w:left="0" w:right="0" w:hanging="0"/>
              <w:jc w:val="left"/>
              <w:rPr/>
            </w:pPr>
            <w:r>
              <w:rPr/>
              <w:t>​</w:t>
            </w:r>
          </w:p>
        </w:tc>
        <w:tc>
          <w:tcPr>
            <w:tcW w:w="166" w:type="dxa"/>
            <w:tcBorders/>
            <w:vAlign w:val="center"/>
          </w:tcPr>
          <w:p>
            <w:pPr>
              <w:pStyle w:val="TableContents"/>
              <w:bidi w:val="0"/>
              <w:spacing w:before="1" w:after="1"/>
              <w:ind w:left="0" w:right="0" w:hanging="0"/>
              <w:jc w:val="right"/>
              <w:rPr/>
            </w:pPr>
            <w:r>
              <w:rPr/>
              <w:t>​</w:t>
            </w:r>
          </w:p>
        </w:tc>
        <w:tc>
          <w:tcPr>
            <w:tcW w:w="53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w:t>
            </w:r>
          </w:p>
        </w:tc>
        <w:tc>
          <w:tcPr>
            <w:tcW w:w="109" w:type="dxa"/>
            <w:tcBorders/>
            <w:vAlign w:val="center"/>
          </w:tcPr>
          <w:p>
            <w:pPr>
              <w:pStyle w:val="TableContents"/>
              <w:bidi w:val="0"/>
              <w:spacing w:before="1" w:after="1"/>
              <w:ind w:left="0" w:right="0" w:hanging="0"/>
              <w:jc w:val="left"/>
              <w:rPr/>
            </w:pPr>
            <w:r>
              <w:rPr/>
              <w:t>​</w:t>
            </w:r>
          </w:p>
        </w:tc>
        <w:tc>
          <w:tcPr>
            <w:tcW w:w="147" w:type="dxa"/>
            <w:tcBorders/>
            <w:vAlign w:val="center"/>
          </w:tcPr>
          <w:p>
            <w:pPr>
              <w:pStyle w:val="TableContents"/>
              <w:bidi w:val="0"/>
              <w:spacing w:before="1" w:after="1"/>
              <w:ind w:left="0" w:right="0" w:hanging="0"/>
              <w:jc w:val="left"/>
              <w:rPr/>
            </w:pPr>
            <w:r>
              <w:rPr/>
              <w:t>​</w:t>
            </w:r>
          </w:p>
        </w:tc>
        <w:tc>
          <w:tcPr>
            <w:tcW w:w="46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w:t>
            </w:r>
          </w:p>
        </w:tc>
        <w:tc>
          <w:tcPr>
            <w:tcW w:w="147" w:type="dxa"/>
            <w:tcBorders/>
            <w:vAlign w:val="center"/>
          </w:tcPr>
          <w:p>
            <w:pPr>
              <w:pStyle w:val="TableContents"/>
              <w:bidi w:val="0"/>
              <w:spacing w:before="1" w:after="1"/>
              <w:ind w:left="0" w:right="0" w:hanging="0"/>
              <w:jc w:val="left"/>
              <w:rPr/>
            </w:pPr>
            <w:r>
              <w:rPr/>
              <w:t>​</w:t>
            </w:r>
          </w:p>
        </w:tc>
        <w:tc>
          <w:tcPr>
            <w:tcW w:w="147" w:type="dxa"/>
            <w:tcBorders/>
            <w:vAlign w:val="center"/>
          </w:tcPr>
          <w:p>
            <w:pPr>
              <w:pStyle w:val="TableContents"/>
              <w:bidi w:val="0"/>
              <w:spacing w:before="1" w:after="1"/>
              <w:ind w:left="0" w:right="0" w:hanging="0"/>
              <w:jc w:val="right"/>
              <w:rPr/>
            </w:pPr>
            <w:r>
              <w:rPr/>
              <w:t>​</w:t>
            </w:r>
          </w:p>
        </w:tc>
        <w:tc>
          <w:tcPr>
            <w:tcW w:w="46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17</w:t>
            </w:r>
          </w:p>
        </w:tc>
        <w:tc>
          <w:tcPr>
            <w:tcW w:w="154" w:type="dxa"/>
            <w:tcBorders/>
            <w:vAlign w:val="center"/>
          </w:tcPr>
          <w:p>
            <w:pPr>
              <w:pStyle w:val="TableContents"/>
              <w:bidi w:val="0"/>
              <w:spacing w:before="1" w:after="1"/>
              <w:ind w:left="0" w:right="0" w:hanging="0"/>
              <w:jc w:val="right"/>
              <w:rPr/>
            </w:pPr>
            <w:r>
              <w:rPr/>
              <w:t>​</w:t>
            </w:r>
          </w:p>
        </w:tc>
      </w:tr>
      <w:tr>
        <w:trPr/>
        <w:tc>
          <w:tcPr>
            <w:tcW w:w="192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Warrants (a)</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530" w:type="dxa"/>
            <w:tcBorders/>
            <w:shd w:fill="CEDBE0" w:val="clear"/>
            <w:vAlign w:val="center"/>
          </w:tcPr>
          <w:p>
            <w:pPr>
              <w:pStyle w:val="TableContents"/>
              <w:bidi w:val="0"/>
              <w:spacing w:before="1" w:after="1"/>
              <w:ind w:left="0" w:right="0" w:hanging="0"/>
              <w:jc w:val="right"/>
              <w:rPr/>
            </w:pPr>
            <w:r>
              <w:rPr/>
              <w:t>—</w:t>
            </w:r>
          </w:p>
        </w:tc>
        <w:tc>
          <w:tcPr>
            <w:tcW w:w="166" w:type="dxa"/>
            <w:tcBorders/>
            <w:shd w:fill="CEDBE0" w:val="clear"/>
            <w:vAlign w:val="center"/>
          </w:tcPr>
          <w:p>
            <w:pPr>
              <w:pStyle w:val="TableContents"/>
              <w:bidi w:val="0"/>
              <w:spacing w:before="1" w:after="1"/>
              <w:ind w:left="0" w:right="0" w:hanging="0"/>
              <w:jc w:val="left"/>
              <w:rPr/>
            </w:pPr>
            <w:r>
              <w:rPr/>
              <w:t>​</w:t>
            </w:r>
          </w:p>
        </w:tc>
        <w:tc>
          <w:tcPr>
            <w:tcW w:w="166" w:type="dxa"/>
            <w:tcBorders/>
            <w:shd w:fill="CEDBE0" w:val="clear"/>
            <w:vAlign w:val="center"/>
          </w:tcPr>
          <w:p>
            <w:pPr>
              <w:pStyle w:val="TableContents"/>
              <w:bidi w:val="0"/>
              <w:spacing w:before="1" w:after="1"/>
              <w:ind w:left="0" w:right="0" w:hanging="0"/>
              <w:jc w:val="right"/>
              <w:rPr/>
            </w:pPr>
            <w:r>
              <w:rPr/>
              <w:t>​</w:t>
            </w:r>
          </w:p>
        </w:tc>
        <w:tc>
          <w:tcPr>
            <w:tcW w:w="530" w:type="dxa"/>
            <w:tcBorders/>
            <w:shd w:fill="CEDBE0" w:val="clear"/>
            <w:vAlign w:val="center"/>
          </w:tcPr>
          <w:p>
            <w:pPr>
              <w:pStyle w:val="TableContents"/>
              <w:bidi w:val="0"/>
              <w:spacing w:before="1" w:after="1"/>
              <w:ind w:left="0" w:right="0" w:hanging="0"/>
              <w:jc w:val="right"/>
              <w:rPr/>
            </w:pPr>
            <w:r>
              <w:rPr/>
              <w:t>—</w:t>
            </w:r>
          </w:p>
        </w:tc>
        <w:tc>
          <w:tcPr>
            <w:tcW w:w="109" w:type="dxa"/>
            <w:tcBorders/>
            <w:shd w:fill="CEDBE0" w:val="clear"/>
            <w:vAlign w:val="center"/>
          </w:tcPr>
          <w:p>
            <w:pPr>
              <w:pStyle w:val="TableContents"/>
              <w:bidi w:val="0"/>
              <w:spacing w:before="1" w:after="1"/>
              <w:ind w:left="0" w:right="0" w:hanging="0"/>
              <w:jc w:val="left"/>
              <w:rPr/>
            </w:pPr>
            <w:r>
              <w:rPr/>
              <w:t>​</w:t>
            </w:r>
          </w:p>
        </w:tc>
        <w:tc>
          <w:tcPr>
            <w:tcW w:w="147" w:type="dxa"/>
            <w:tcBorders/>
            <w:shd w:fill="CEDBE0" w:val="clear"/>
            <w:vAlign w:val="center"/>
          </w:tcPr>
          <w:p>
            <w:pPr>
              <w:pStyle w:val="TableContents"/>
              <w:bidi w:val="0"/>
              <w:spacing w:before="1" w:after="1"/>
              <w:ind w:left="0" w:right="0" w:hanging="0"/>
              <w:jc w:val="left"/>
              <w:rPr/>
            </w:pPr>
            <w:r>
              <w:rPr/>
              <w:t>​</w:t>
            </w:r>
          </w:p>
        </w:tc>
        <w:tc>
          <w:tcPr>
            <w:tcW w:w="468" w:type="dxa"/>
            <w:tcBorders/>
            <w:shd w:fill="CEDBE0" w:val="clear"/>
            <w:vAlign w:val="center"/>
          </w:tcPr>
          <w:p>
            <w:pPr>
              <w:pStyle w:val="TableContents"/>
              <w:bidi w:val="0"/>
              <w:spacing w:before="1" w:after="1"/>
              <w:ind w:left="0" w:right="0" w:hanging="0"/>
              <w:jc w:val="right"/>
              <w:rPr/>
            </w:pPr>
            <w:r>
              <w:rPr/>
              <w:t>—</w:t>
            </w:r>
          </w:p>
        </w:tc>
        <w:tc>
          <w:tcPr>
            <w:tcW w:w="147" w:type="dxa"/>
            <w:tcBorders/>
            <w:shd w:fill="CEDBE0" w:val="clear"/>
            <w:vAlign w:val="center"/>
          </w:tcPr>
          <w:p>
            <w:pPr>
              <w:pStyle w:val="TableContents"/>
              <w:bidi w:val="0"/>
              <w:spacing w:before="1" w:after="1"/>
              <w:ind w:left="0" w:right="0" w:hanging="0"/>
              <w:jc w:val="left"/>
              <w:rPr/>
            </w:pPr>
            <w:r>
              <w:rPr/>
              <w:t>​</w:t>
            </w:r>
          </w:p>
        </w:tc>
        <w:tc>
          <w:tcPr>
            <w:tcW w:w="147" w:type="dxa"/>
            <w:tcBorders/>
            <w:shd w:fill="CEDBE0" w:val="clear"/>
            <w:vAlign w:val="center"/>
          </w:tcPr>
          <w:p>
            <w:pPr>
              <w:pStyle w:val="TableContents"/>
              <w:bidi w:val="0"/>
              <w:spacing w:before="1" w:after="1"/>
              <w:ind w:left="0" w:right="0" w:hanging="0"/>
              <w:jc w:val="right"/>
              <w:rPr/>
            </w:pPr>
            <w:r>
              <w:rPr/>
              <w:t>​</w:t>
            </w:r>
          </w:p>
        </w:tc>
        <w:tc>
          <w:tcPr>
            <w:tcW w:w="468" w:type="dxa"/>
            <w:tcBorders/>
            <w:shd w:fill="CEDBE0" w:val="clear"/>
            <w:vAlign w:val="center"/>
          </w:tcPr>
          <w:p>
            <w:pPr>
              <w:pStyle w:val="TableContents"/>
              <w:bidi w:val="0"/>
              <w:spacing w:before="1" w:after="1"/>
              <w:ind w:left="0" w:right="0" w:hanging="0"/>
              <w:jc w:val="right"/>
              <w:rPr/>
            </w:pPr>
            <w:r>
              <w:rPr/>
              <w:t>—</w:t>
            </w:r>
          </w:p>
        </w:tc>
        <w:tc>
          <w:tcPr>
            <w:tcW w:w="154" w:type="dxa"/>
            <w:tcBorders/>
            <w:shd w:fill="CEDBE0" w:val="clear"/>
            <w:vAlign w:val="center"/>
          </w:tcPr>
          <w:p>
            <w:pPr>
              <w:pStyle w:val="TableContents"/>
              <w:bidi w:val="0"/>
              <w:spacing w:before="1" w:after="1"/>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69"/>
        <w:gridCol w:w="9657"/>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before="0" w:after="283"/>
              <w:jc w:val="left"/>
              <w:rPr>
                <w:rFonts w:ascii="Arial Narrow" w:hAnsi="Arial Narrow"/>
                <w:sz w:val="18"/>
              </w:rPr>
            </w:pPr>
            <w:r>
              <w:rPr>
                <w:rFonts w:ascii="Arial Narrow" w:hAnsi="Arial Narrow"/>
                <w:sz w:val="18"/>
              </w:rPr>
              <w:t>(a)</w:t>
            </w:r>
          </w:p>
        </w:tc>
        <w:tc>
          <w:tcPr>
            <w:tcW w:w="9657" w:type="dxa"/>
            <w:tcBorders/>
            <w:tcMar>
              <w:top w:w="0" w:type="dxa"/>
              <w:left w:w="0" w:type="dxa"/>
              <w:bottom w:w="0" w:type="dxa"/>
              <w:right w:w="0" w:type="dxa"/>
            </w:tcMar>
            <w:vAlign w:val="center"/>
          </w:tcPr>
          <w:p>
            <w:pPr>
              <w:pStyle w:val="TableContents"/>
              <w:bidi w:val="0"/>
              <w:spacing w:before="0" w:after="283"/>
              <w:jc w:val="left"/>
              <w:rPr>
                <w:rFonts w:ascii="Arial Narrow" w:hAnsi="Arial Narrow"/>
                <w:b w:val="false"/>
                <w:i w:val="false"/>
                <w:caps w:val="false"/>
                <w:smallCaps w:val="false"/>
                <w:sz w:val="18"/>
              </w:rPr>
            </w:pPr>
            <w:r>
              <w:rPr>
                <w:rFonts w:ascii="Arial Narrow" w:hAnsi="Arial Narrow"/>
                <w:b w:val="false"/>
                <w:i w:val="false"/>
                <w:caps w:val="false"/>
                <w:smallCaps w:val="false"/>
                <w:sz w:val="18"/>
              </w:rPr>
              <w:t>For the three and six months ended June 30, 2025, the warrants were antidilutive since the exercise price was greater than the average price for our shares.</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Arial Narrow" w:hAnsi="Arial Narrow"/>
          <w:sz w:val="20"/>
        </w:rPr>
      </w:pPr>
      <w:r>
        <w:rPr>
          <w:rFonts w:ascii="Arial Narrow" w:hAnsi="Arial Narrow"/>
          <w:sz w:val="20"/>
        </w:rPr>
        <w:t>- 10 -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pBdr>
          <w:bottom w:val="single" w:sz="18" w:space="1" w:color="ECA44A"/>
        </w:pBdr>
        <w:bidi w:val="0"/>
        <w:spacing w:before="0" w:after="60"/>
        <w:ind w:left="0" w:right="0" w:hanging="0"/>
        <w:jc w:val="left"/>
        <w:rPr>
          <w:rFonts w:ascii="Arial Narrow" w:hAnsi="Arial Narrow"/>
          <w:b/>
          <w:caps/>
          <w:color w:val="00556F"/>
          <w:sz w:val="22"/>
        </w:rPr>
      </w:pPr>
      <w:bookmarkStart w:id="898" w:name="FNContingencies"/>
      <w:bookmarkEnd w:id="898"/>
      <w:r>
        <w:rPr>
          <w:rFonts w:ascii="Arial Narrow" w:hAnsi="Arial Narrow"/>
          <w:b/>
          <w:caps/>
          <w:color w:val="00556F"/>
          <w:sz w:val="22"/>
        </w:rPr>
        <w:t>Note 9—Contingencies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Legal proceedings</w:t>
      </w:r>
    </w:p>
    <w:p>
      <w:pPr>
        <w:pStyle w:val="TextBody"/>
        <w:bidi w:val="0"/>
        <w:spacing w:before="60" w:after="120"/>
        <w:ind w:left="0" w:right="0" w:firstLine="720"/>
        <w:jc w:val="both"/>
        <w:rPr>
          <w:rFonts w:ascii="Arial Narrow" w:hAnsi="Arial Narrow"/>
          <w:sz w:val="20"/>
        </w:rPr>
      </w:pPr>
      <w:r>
        <w:rPr>
          <w:rFonts w:ascii="Arial Narrow" w:hAnsi="Arial Narrow"/>
          <w:b/>
          <w:sz w:val="20"/>
        </w:rPr>
        <w:t>Asbestos litigation</w:t>
      </w:r>
      <w:r>
        <w:rPr>
          <w:rFonts w:ascii="Arial Narrow" w:hAnsi="Arial Narrow"/>
          <w:sz w:val="20"/>
        </w:rPr>
        <w:t>—In 2014, several of our subsidiaries were named, along with numerous other unaffiliated defendants, in complaints filed in Louisiana.  The plaintiffs, former employees of some of the defendants, generally allege that the defendants used or manufactured asbestos-containing drilling mud additives for use in connection with drilling operations, claiming negligence, products liability, strict liability and claims allowed under the Jones Act and general maritime law.  One of our subsidiaries has been named in similar complaints filed in Illinois, Missouri and California.  As of June 30, 2026, six plaintiffs have claims pending in Louisiana and 36 plaintiffs in the aggregate have claims pending in Illinois, Missouri and California, in which we have or may have an interest.  We intend to defend these lawsuits vigorously, although we can provide no assurance as to the outcome.  We historically have maintained broad liability insurance, although we can provide no assurance as to whether insurance will cover the liabilities, if any, arising out of these claims.  Based on our evaluation of the exposure to date, we do not expect the liability, if any, resulting from these claims to have a material adverse effect on our condensed consolidated statement of financial position, results of operations or cash flows.</w:t>
      </w:r>
    </w:p>
    <w:p>
      <w:pPr>
        <w:pStyle w:val="TextBody"/>
        <w:bidi w:val="0"/>
        <w:spacing w:before="60" w:after="120"/>
        <w:ind w:left="0" w:right="0" w:firstLine="720"/>
        <w:jc w:val="both"/>
        <w:rPr>
          <w:rFonts w:ascii="Arial Narrow" w:hAnsi="Arial Narrow"/>
          <w:sz w:val="20"/>
        </w:rPr>
      </w:pPr>
      <w:r>
        <w:rPr>
          <w:rFonts w:ascii="Arial Narrow" w:hAnsi="Arial Narrow"/>
          <w:sz w:val="20"/>
        </w:rPr>
        <w:t>One of our subsidiaries was named as a defendant, along with numerous other companies, in lawsuits arising out of the subsidiary’s manufacture and sale of heat exchangers, and involvement in the construction and refurbishment of major industrial complexes, alleging bodily injury or personal injury as a result of exposure to asbestos.  As of June 30, 2026, the subsidiary was a defendant in approximately 562 lawsuits with a corresponding number of plaintiffs.  For many of these lawsuits, we have not been provided sufficient information from the plaintiffs to determine whether all or some of the plaintiffs have claims against the subsidiary, the basis of any such claims, or the nature of their alleged injuries.  The operating assets of the subsidiary were sold in 1989.  We have a coverage-in-place agreement with certain insurers and additional funding from settlement agreements with other insurers.  Overall, we believe the subsidiary has sufficient resources to respond to both the current lawsuits as well as future lawsuits of a similar nature.  While we cannot predict or provide assurance as to the outcome of these matters, we do not expect the ultimate liability, if any, resulting from these claims to have a material adverse effect on our condensed consolidated statement of financial position, results of operations or cash flows.</w:t>
      </w:r>
    </w:p>
    <w:p>
      <w:pPr>
        <w:pStyle w:val="TextBody"/>
        <w:bidi w:val="0"/>
        <w:spacing w:before="60" w:after="120"/>
        <w:ind w:left="0" w:right="0" w:firstLine="720"/>
        <w:jc w:val="both"/>
        <w:rPr>
          <w:rFonts w:ascii="Arial Narrow" w:hAnsi="Arial Narrow"/>
          <w:sz w:val="20"/>
        </w:rPr>
      </w:pPr>
      <w:r>
        <w:rPr>
          <w:rFonts w:ascii="Arial Narrow" w:hAnsi="Arial Narrow"/>
          <w:b/>
          <w:sz w:val="20"/>
        </w:rPr>
        <w:t>Other matters</w:t>
      </w:r>
      <w:r>
        <w:rPr>
          <w:rFonts w:ascii="Arial Narrow" w:hAnsi="Arial Narrow"/>
          <w:sz w:val="20"/>
        </w:rPr>
        <w:t>—We are involved in various regulatory matters and a number of claims and lawsuits, asserted and unasserted, all of which have arisen in the ordinary course of our business.  We do not expect the liability, if any, resulting from these other matters to have a material adverse effect on our condensed consolidated statement of financial position, results of operations or cash flows.  We cannot predict with certainty the outcome or effect of any of the litigation matters specifically described above or of any such other pending, threatened, or possible litigation or liability.  We can provide no assurance that our beliefs or expectations as to the outcome or effect of any tax, regulatory, lawsuit or other litigation matter will prove correct, and the eventual outcome of these matters could materially differ from management’s current estimates.</w:t>
      </w:r>
    </w:p>
    <w:p>
      <w:pPr>
        <w:pStyle w:val="TextBody"/>
        <w:bidi w:val="0"/>
        <w:spacing w:before="120" w:after="60"/>
        <w:ind w:left="0" w:right="0" w:hanging="0"/>
        <w:jc w:val="left"/>
        <w:rPr>
          <w:rFonts w:ascii="Arial Narrow" w:hAnsi="Arial Narrow"/>
          <w:b/>
          <w:i/>
          <w:color w:val="00556F"/>
          <w:sz w:val="20"/>
        </w:rPr>
      </w:pPr>
      <w:r>
        <w:rPr>
          <w:rFonts w:ascii="Arial Narrow" w:hAnsi="Arial Narrow"/>
          <w:b/>
          <w:i/>
          <w:color w:val="00556F"/>
          <w:sz w:val="20"/>
        </w:rPr>
        <w:t>Environmental matters</w:t>
      </w:r>
    </w:p>
    <w:p>
      <w:pPr>
        <w:pStyle w:val="TextBody"/>
        <w:bidi w:val="0"/>
        <w:spacing w:before="60" w:after="120"/>
        <w:ind w:left="0" w:right="0" w:firstLine="720"/>
        <w:jc w:val="both"/>
        <w:rPr>
          <w:rFonts w:ascii="Arial Narrow" w:hAnsi="Arial Narrow"/>
          <w:sz w:val="20"/>
        </w:rPr>
      </w:pPr>
      <w:r>
        <w:rPr>
          <w:rFonts w:ascii="Arial Narrow" w:hAnsi="Arial Narrow"/>
          <w:sz w:val="20"/>
        </w:rPr>
        <w:t>We have certain potential liabilities under the Comprehensive Environmental Response, Compensation, and Liability Act (“CERCLA”) and similar state acts regulating cleanup of hazardous substances at various waste disposal sites, including those described below.  CERCLA is intended to expedite the remediation of hazardous substances without regard to fault.  Potentially responsible parties (“PRPs”) for each site include present and former owners and operators of, transporters to and generators of the substances at the site.  It is difficult to quantify the potential cost of environmental matters and remediation obligations.  Liability is strict and can be joint and several.</w:t>
      </w:r>
    </w:p>
    <w:p>
      <w:pPr>
        <w:pStyle w:val="TextBody"/>
        <w:bidi w:val="0"/>
        <w:spacing w:before="60" w:after="120"/>
        <w:ind w:left="0" w:right="0" w:firstLine="720"/>
        <w:jc w:val="both"/>
        <w:rPr>
          <w:rFonts w:ascii="Arial Narrow" w:hAnsi="Arial Narrow"/>
          <w:sz w:val="20"/>
        </w:rPr>
      </w:pPr>
      <w:r>
        <w:rPr>
          <w:rFonts w:ascii="Arial Narrow" w:hAnsi="Arial Narrow"/>
          <w:sz w:val="20"/>
        </w:rPr>
        <w:t>One of our subsidiaries was named as a PRP in connection with a site located in Santa Fe Springs, California, known as the Waste Disposal, Inc. site.  We and other PRPs agreed, under a participation agreement with the U.S. Environmental Protection Agency (the “EPA”) and the U.S. Department of Justice, to settle our potential liabilities by remediating the site.  The remedial action for the site was completed in 2006.  Our share of the ongoing operating and maintenance costs has been insignificant, and we do not expect any additional potential liabilities to be material.  Resolutions of other claims by the EPA, the involved state agency or PRPs are at various stages of investigation.  Nevertheless, based on available information with respect to all environmental matters, including all related pending legal proceedings, asserted legal claims and known potential legal claims that are likely to be asserted, we do not expect the ultimate liability, if any, resulting from such matters, to have a material adverse effect on our condensed consolidated statement of financial position, results of operations or cash flows.</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899" w:name="FN_Equity"/>
      <w:bookmarkEnd w:id="899"/>
      <w:r>
        <w:rPr>
          <w:rFonts w:ascii="Arial Narrow" w:hAnsi="Arial Narrow"/>
          <w:b/>
          <w:caps/>
          <w:color w:val="00556F"/>
          <w:sz w:val="22"/>
        </w:rPr>
        <w:t>Note 10—Equity</w:t>
      </w:r>
    </w:p>
    <w:p>
      <w:pPr>
        <w:pStyle w:val="TextBody"/>
        <w:bidi w:val="0"/>
        <w:spacing w:before="60" w:after="0"/>
        <w:ind w:left="0" w:right="0" w:firstLine="720"/>
        <w:jc w:val="both"/>
        <w:rPr>
          <w:rFonts w:ascii="Arial Narrow" w:hAnsi="Arial Narrow"/>
          <w:sz w:val="20"/>
        </w:rPr>
      </w:pPr>
      <w:r>
        <w:rPr>
          <w:rFonts w:ascii="Arial Narrow" w:hAnsi="Arial Narrow"/>
          <w:b/>
          <w:sz w:val="20"/>
        </w:rPr>
        <w:t>Warrants</w:t>
      </w:r>
      <w:r>
        <w:rPr>
          <w:rFonts w:ascii="Arial Narrow" w:hAnsi="Arial Narrow"/>
          <w:sz w:val="20"/>
        </w:rPr>
        <w:t xml:space="preserve">—At December 31, 2025, we had 22.2 million outstanding warrants to purchase Transocean Ltd. shares.  The warrants could be exercised by holders at any time prior to the close of business on March 13, 2026 at an exercise price equal to $3.71 per share, and at our election, such exercise could be settled by delivering cash, Transocean Ltd. shares or a combination of cash and shares.  At December 31, 2025, the carrying amount of the warrants, recorded as a component of additional paid-in capital, was $16 million, net of issue costs, which represented the initial estimated fair value on the date of issuance.  In March 2026, we received exercise notices from holders of 22.2 million warrants to acquire Transocean Ltd. shares.  In accordance with the warrant agreement, we elected to net settle such exercises by delivering Transocean Ltd. shares, and such net settlement was based on the volume-weighted average trading price of </w:t>
      </w:r>
    </w:p>
    <w:p>
      <w:pPr>
        <w:pStyle w:val="TextBody"/>
        <w:bidi w:val="0"/>
        <w:spacing w:before="0" w:after="0"/>
        <w:ind w:left="0" w:right="0" w:hanging="0"/>
        <w:jc w:val="center"/>
        <w:rPr>
          <w:rFonts w:ascii="Arial Narrow" w:hAnsi="Arial Narrow"/>
          <w:sz w:val="20"/>
        </w:rPr>
      </w:pPr>
      <w:r>
        <w:rPr>
          <w:rFonts w:ascii="Arial Narrow" w:hAnsi="Arial Narrow"/>
          <w:sz w:val="20"/>
        </w:rPr>
        <w:t>- 11 -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0"/>
        <w:ind w:left="0" w:right="0" w:hanging="0"/>
        <w:jc w:val="center"/>
        <w:rPr>
          <w:rFonts w:ascii="Arial Narrow" w:hAnsi="Arial Narrow"/>
          <w:b/>
          <w:caps/>
          <w:sz w:val="22"/>
        </w:rPr>
      </w:pPr>
      <w:r>
        <w:rPr>
          <w:rFonts w:ascii="Arial Narrow" w:hAnsi="Arial Narrow"/>
          <w:b/>
          <w:caps/>
          <w:sz w:val="22"/>
        </w:rPr>
        <w:t>TRANSOCEAN LTD. AND SUBSIDIARIES</w:t>
      </w:r>
    </w:p>
    <w:p>
      <w:pPr>
        <w:pStyle w:val="TextBody"/>
        <w:bidi w:val="0"/>
        <w:spacing w:before="0" w:after="0"/>
        <w:ind w:left="0" w:right="0" w:hanging="0"/>
        <w:jc w:val="center"/>
        <w:rPr>
          <w:rFonts w:ascii="Arial Narrow" w:hAnsi="Arial Narrow"/>
          <w:b/>
          <w:caps/>
          <w:sz w:val="22"/>
        </w:rPr>
      </w:pPr>
      <w:r>
        <w:rPr>
          <w:rFonts w:ascii="Arial Narrow" w:hAnsi="Arial Narrow"/>
          <w:b/>
          <w:caps/>
          <w:sz w:val="22"/>
        </w:rPr>
        <w:t>NOTES TO CONDENSED CONSOLIDATED FINANCIAL STATEMENTS─continued</w:t>
      </w:r>
    </w:p>
    <w:p>
      <w:pPr>
        <w:pStyle w:val="TextBody"/>
        <w:bidi w:val="0"/>
        <w:spacing w:before="0" w:after="0"/>
        <w:ind w:left="0" w:right="0" w:hanging="0"/>
        <w:jc w:val="center"/>
        <w:rPr>
          <w:rFonts w:ascii="Arial Narrow" w:hAnsi="Arial Narrow"/>
          <w:sz w:val="20"/>
        </w:rPr>
      </w:pPr>
      <w:r>
        <w:rPr>
          <w:rFonts w:ascii="Arial Narrow" w:hAnsi="Arial Narrow"/>
          <w:sz w:val="20"/>
        </w:rPr>
        <w:t>(Unaudited)</w:t>
      </w:r>
    </w:p>
    <w:p>
      <w:pPr>
        <w:pStyle w:val="TextBody"/>
        <w:bidi w:val="0"/>
        <w:spacing w:before="0" w:after="120"/>
        <w:ind w:left="0" w:right="0" w:hanging="0"/>
        <w:jc w:val="both"/>
        <w:rPr>
          <w:rFonts w:ascii="Arial Narrow" w:hAnsi="Arial Narrow"/>
          <w:sz w:val="20"/>
        </w:rPr>
      </w:pPr>
      <w:r>
        <w:rPr>
          <w:rFonts w:ascii="Arial Narrow" w:hAnsi="Arial Narrow"/>
          <w:sz w:val="20"/>
        </w:rPr>
        <w:t>Transocean Ltd. shares over the applicable settlement period following receipt of each exercise notice.  In April 2026, we issued 9.7 million Transocean Ltd. shares as net settlement of the exercised warrants.</w:t>
      </w:r>
    </w:p>
    <w:p>
      <w:pPr>
        <w:pStyle w:val="TextBody"/>
        <w:bidi w:val="0"/>
        <w:spacing w:before="60" w:after="120"/>
        <w:ind w:left="0" w:right="0" w:firstLine="720"/>
        <w:jc w:val="both"/>
        <w:rPr/>
      </w:pPr>
      <w:r>
        <w:rPr>
          <w:rFonts w:ascii="Arial Narrow" w:hAnsi="Arial Narrow"/>
          <w:b/>
          <w:sz w:val="20"/>
        </w:rPr>
        <w:t>Share issuance</w:t>
      </w:r>
      <w:r>
        <w:rPr>
          <w:rFonts w:ascii="Arial Narrow" w:hAnsi="Arial Narrow"/>
          <w:sz w:val="20"/>
        </w:rPr>
        <w:t xml:space="preserve">—In June 2025, we issued 18.6 million Transocean Ltd. shares with an aggregate fair value of $49 million to certain holders of the 4.00% Exchangeable Bonds pursuant to the Exchange Agreements.  See </w:t>
      </w:r>
      <w:hyperlink w:anchor="FN_Debt">
        <w:r>
          <w:rPr>
            <w:rStyle w:val="InternetLink"/>
            <w:rFonts w:ascii="Arial Narrow" w:hAnsi="Arial Narrow"/>
            <w:b w:val="false"/>
            <w:i w:val="false"/>
            <w:caps w:val="false"/>
            <w:smallCaps w:val="false"/>
            <w:sz w:val="20"/>
          </w:rPr>
          <w:t>Note 6—Debt</w:t>
        </w:r>
      </w:hyperlink>
      <w:hyperlink w:anchor="FN_Debt">
        <w:r>
          <w:rPr>
            <w:rStyle w:val="InternetLink"/>
            <w:rFonts w:ascii="Arial Narrow" w:hAnsi="Arial Narrow"/>
            <w:b w:val="false"/>
            <w:i w:val="false"/>
            <w:caps w:val="false"/>
            <w:smallCaps w:val="false"/>
            <w:sz w:val="18"/>
          </w:rPr>
          <w:t>.</w:t>
        </w:r>
      </w:hyperlink>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900" w:name="Tc_MIqhB3t0qkC3r60nsFqqqw_6_0"/>
      <w:bookmarkStart w:id="901" w:name="Tc_ihKNtJzLFUOwH6A_hYNbBw_5_0"/>
      <w:bookmarkStart w:id="902" w:name="Tc_9HnGi9DqvEmQA6_6k9cT-A_4_11"/>
      <w:bookmarkStart w:id="903" w:name="Tc_6H4ZcwJycUOd7p4zmwv3cQ_4_8"/>
      <w:bookmarkStart w:id="904" w:name="Tc_7HG90fK6ekCX_tPBx2IROw_4_5"/>
      <w:bookmarkStart w:id="905" w:name="Tc_J3KVPWo8Ykyj4rTbXZbBBw_4_2"/>
      <w:bookmarkStart w:id="906" w:name="Tc_ifT6tl690EKrSPVdu0zZYw_4_0"/>
      <w:bookmarkStart w:id="907" w:name="Tc_vzGAwg9tEEyO4ZsNK2OrfQ_3_11"/>
      <w:bookmarkStart w:id="908" w:name="Tc_2s4kK4dTo0WhLs0cnmkk4A_3_8"/>
      <w:bookmarkStart w:id="909" w:name="Tc_i0yQwRCnIEGyGNkaPYmfeQ_3_5"/>
      <w:bookmarkStart w:id="910" w:name="Tc_QJZRRPC4qEuzQL4zPryG4g_3_2"/>
      <w:bookmarkStart w:id="911" w:name="Tc_32SGOn8nGkyeyUQUSU5ohw_2_11"/>
      <w:bookmarkStart w:id="912" w:name="Tc_03AnI5_BPkqpwX6B95IaxQ_2_8"/>
      <w:bookmarkStart w:id="913" w:name="Tc_EFliLNMcPkmitI62yWshcA_2_5"/>
      <w:bookmarkStart w:id="914" w:name="Tc_TWQvvNR-dkir98bJSrOF1Q_2_2"/>
      <w:bookmarkStart w:id="915" w:name="Tc_W51HuqNQc0KPG5IJddmCYg_1_8"/>
      <w:bookmarkStart w:id="916" w:name="Tc_XlGtaE7f90G98Otnj-iGgA_1_2"/>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Arial Narrow" w:hAnsi="Arial Narrow"/>
          <w:b/>
          <w:caps/>
          <w:color w:val="00556F"/>
          <w:sz w:val="22"/>
        </w:rPr>
        <w:t>Note 11—Financial Instruments</w:t>
      </w:r>
    </w:p>
    <w:p>
      <w:pPr>
        <w:pStyle w:val="TextBody"/>
        <w:bidi w:val="0"/>
        <w:spacing w:before="60" w:after="60"/>
        <w:ind w:left="0" w:right="0" w:firstLine="720"/>
        <w:jc w:val="both"/>
        <w:rPr>
          <w:rFonts w:ascii="Arial Narrow" w:hAnsi="Arial Narrow"/>
          <w:sz w:val="20"/>
        </w:rPr>
      </w:pPr>
      <w:r>
        <w:rPr>
          <w:rFonts w:ascii="Arial Narrow" w:hAnsi="Arial Narrow"/>
          <w:b/>
          <w:sz w:val="20"/>
        </w:rPr>
        <w:t>Overview</w:t>
      </w:r>
      <w:r>
        <w:rPr>
          <w:rFonts w:ascii="Arial Narrow" w:hAnsi="Arial Narrow"/>
          <w:sz w:val="20"/>
        </w:rPr>
        <w:t>—The carrying amounts and fair values of our financial instruments were as follows (in millions):</w:t>
      </w:r>
    </w:p>
    <w:p>
      <w:pPr>
        <w:pStyle w:val="TextBody"/>
        <w:bidi w:val="0"/>
        <w:spacing w:before="0" w:after="0"/>
        <w:ind w:left="0" w:right="0" w:hanging="0"/>
        <w:jc w:val="left"/>
        <w:rPr/>
      </w:pPr>
      <w:r>
        <w:rPr/>
        <w:t>​</w:t>
      </w:r>
    </w:p>
    <w:tbl>
      <w:tblPr>
        <w:tblW w:w="6579" w:type="dxa"/>
        <w:jc w:val="left"/>
        <w:tblInd w:w="0" w:type="dxa"/>
        <w:tblLayout w:type="fixed"/>
        <w:tblCellMar>
          <w:top w:w="0" w:type="dxa"/>
          <w:left w:w="0" w:type="dxa"/>
          <w:bottom w:w="0" w:type="dxa"/>
          <w:right w:w="0" w:type="dxa"/>
        </w:tblCellMar>
      </w:tblPr>
      <w:tblGrid>
        <w:gridCol w:w="2476"/>
        <w:gridCol w:w="346"/>
        <w:gridCol w:w="181"/>
        <w:gridCol w:w="451"/>
        <w:gridCol w:w="346"/>
        <w:gridCol w:w="181"/>
        <w:gridCol w:w="451"/>
        <w:gridCol w:w="346"/>
        <w:gridCol w:w="181"/>
        <w:gridCol w:w="451"/>
        <w:gridCol w:w="346"/>
        <w:gridCol w:w="181"/>
        <w:gridCol w:w="451"/>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72260" cy="175895"/>
                      <wp:effectExtent l="0" t="0" r="0" b="0"/>
                      <wp:wrapNone/>
                      <wp:docPr id="176" name="Frame175"/>
                      <a:graphic xmlns:a="http://schemas.openxmlformats.org/drawingml/2006/main">
                        <a:graphicData uri="http://schemas.microsoft.com/office/word/2010/wordprocessingShape">
                          <wps:wsp>
                            <wps:cNvSpPr txBox="1"/>
                            <wps:spPr>
                              <a:xfrm>
                                <a:off x="0" y="0"/>
                                <a:ext cx="1572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895"/>
                      <wp:effectExtent l="0" t="0" r="0" b="0"/>
                      <wp:wrapNone/>
                      <wp:docPr id="177" name="Frame17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4935" cy="175895"/>
                      <wp:effectExtent l="0" t="0" r="0" b="0"/>
                      <wp:wrapNone/>
                      <wp:docPr id="178" name="Frame177"/>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86385" cy="175895"/>
                      <wp:effectExtent l="0" t="0" r="0" b="0"/>
                      <wp:wrapNone/>
                      <wp:docPr id="179" name="Frame178"/>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895"/>
                      <wp:effectExtent l="0" t="0" r="0" b="0"/>
                      <wp:wrapNone/>
                      <wp:docPr id="180" name="Frame17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14935" cy="175895"/>
                      <wp:effectExtent l="0" t="0" r="0" b="0"/>
                      <wp:wrapNone/>
                      <wp:docPr id="181" name="Frame180"/>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86385" cy="175895"/>
                      <wp:effectExtent l="0" t="0" r="0" b="0"/>
                      <wp:wrapNone/>
                      <wp:docPr id="182" name="Frame181"/>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895"/>
                      <wp:effectExtent l="0" t="0" r="0" b="0"/>
                      <wp:wrapNone/>
                      <wp:docPr id="183" name="Frame18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4935" cy="175895"/>
                      <wp:effectExtent l="0" t="0" r="0" b="0"/>
                      <wp:wrapNone/>
                      <wp:docPr id="184" name="Frame183"/>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86385" cy="175895"/>
                      <wp:effectExtent l="0" t="0" r="0" b="0"/>
                      <wp:wrapNone/>
                      <wp:docPr id="185" name="Frame184"/>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895"/>
                      <wp:effectExtent l="0" t="0" r="0" b="0"/>
                      <wp:wrapNone/>
                      <wp:docPr id="186" name="Frame18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4935" cy="175895"/>
                      <wp:effectExtent l="0" t="0" r="0" b="0"/>
                      <wp:wrapNone/>
                      <wp:docPr id="187" name="Frame186"/>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86385" cy="175895"/>
                      <wp:effectExtent l="0" t="0" r="0" b="0"/>
                      <wp:wrapNone/>
                      <wp:docPr id="188" name="Frame187"/>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1285" cy="175895"/>
                      <wp:effectExtent l="0" t="0" r="0" b="0"/>
                      <wp:wrapNone/>
                      <wp:docPr id="189" name="Frame18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161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2026</w:t>
            </w:r>
          </w:p>
        </w:tc>
        <w:tc>
          <w:tcPr>
            <w:tcW w:w="346" w:type="dxa"/>
            <w:tcBorders/>
            <w:vAlign w:val="center"/>
          </w:tcPr>
          <w:p>
            <w:pPr>
              <w:pStyle w:val="TableContents"/>
              <w:bidi w:val="0"/>
              <w:spacing w:before="1" w:after="1"/>
              <w:ind w:left="0" w:right="0" w:hanging="0"/>
              <w:jc w:val="center"/>
              <w:rPr/>
            </w:pPr>
            <w:r>
              <w:rPr/>
              <w:t>​</w:t>
            </w:r>
          </w:p>
        </w:tc>
        <w:tc>
          <w:tcPr>
            <w:tcW w:w="161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December 31, 2025</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Carrying</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Fair</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Carrying</w:t>
            </w:r>
          </w:p>
        </w:tc>
        <w:tc>
          <w:tcPr>
            <w:tcW w:w="3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Fair</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amount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value</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amount</w:t>
            </w:r>
          </w:p>
        </w:tc>
        <w:tc>
          <w:tcPr>
            <w:tcW w:w="346" w:type="dxa"/>
            <w:tcBorders/>
            <w:vAlign w:val="center"/>
          </w:tcPr>
          <w:p>
            <w:pPr>
              <w:pStyle w:val="TableContents"/>
              <w:bidi w:val="0"/>
              <w:spacing w:before="1"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value</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Cash and cash equivalents</w:t>
            </w:r>
          </w:p>
        </w:tc>
        <w:tc>
          <w:tcPr>
            <w:tcW w:w="34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509</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509</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620</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620</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247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Restricted cash and cash equivalents</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286</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286</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377</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377</w:t>
            </w:r>
          </w:p>
        </w:tc>
        <w:tc>
          <w:tcPr>
            <w:tcW w:w="191" w:type="dxa"/>
            <w:tcBorders/>
            <w:vAlign w:val="center"/>
          </w:tcPr>
          <w:p>
            <w:pPr>
              <w:pStyle w:val="TableContents"/>
              <w:bidi w:val="0"/>
              <w:spacing w:before="1" w:after="1"/>
              <w:ind w:left="0" w:right="0" w:hanging="0"/>
              <w:jc w:val="left"/>
              <w:rPr/>
            </w:pPr>
            <w:r>
              <w:rPr/>
              <w:t>​</w:t>
            </w:r>
          </w:p>
        </w:tc>
      </w:tr>
      <w:tr>
        <w:trPr/>
        <w:tc>
          <w:tcPr>
            <w:tcW w:w="247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debt</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5,119</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5,329</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5,657</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pPr>
            <w:r>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5,755</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80" w:after="60"/>
        <w:ind w:left="0" w:right="0" w:firstLine="720"/>
        <w:jc w:val="both"/>
        <w:rPr>
          <w:rFonts w:ascii="Arial Narrow" w:hAnsi="Arial Narrow"/>
          <w:sz w:val="20"/>
        </w:rPr>
      </w:pPr>
      <w:r>
        <w:rPr>
          <w:rFonts w:ascii="Arial Narrow" w:hAnsi="Arial Narrow"/>
          <w:b/>
          <w:sz w:val="20"/>
        </w:rPr>
        <w:t>Cash and cash equivalents</w:t>
      </w:r>
      <w:r>
        <w:rPr>
          <w:rFonts w:ascii="Arial Narrow" w:hAnsi="Arial Narrow"/>
          <w:sz w:val="20"/>
        </w:rPr>
        <w:t>—Our cash and cash equivalents are primarily invested in demand deposits, short-term time deposits and money market funds.  The carrying amount of our cash and cash equivalents represents the historical cost, plus accrued interest, which approximates fair value because of the short maturities of the instruments.</w:t>
      </w:r>
    </w:p>
    <w:p>
      <w:pPr>
        <w:pStyle w:val="TextBody"/>
        <w:bidi w:val="0"/>
        <w:spacing w:before="60" w:after="120"/>
        <w:ind w:left="0" w:right="0" w:firstLine="720"/>
        <w:jc w:val="both"/>
        <w:rPr>
          <w:rFonts w:ascii="Arial Narrow" w:hAnsi="Arial Narrow"/>
          <w:sz w:val="20"/>
        </w:rPr>
      </w:pPr>
      <w:r>
        <w:rPr>
          <w:rFonts w:ascii="Arial Narrow" w:hAnsi="Arial Narrow"/>
          <w:b/>
          <w:sz w:val="20"/>
        </w:rPr>
        <w:t>Restricted cash and cash equivalents</w:t>
      </w:r>
      <w:r>
        <w:rPr>
          <w:rFonts w:ascii="Arial Narrow" w:hAnsi="Arial Narrow"/>
          <w:sz w:val="20"/>
        </w:rPr>
        <w:t>—Our restricted cash and cash equivalents, which are subject to restrictions due to collateral requirements, legislation, regulation or court order, are primarily invested in demand deposits and money market funds.  The carrying amount of our restricted cash and cash equivalents represents the historical cost, plus accrued interest, which approximates fair value because of the short maturities of the instruments.</w:t>
      </w:r>
    </w:p>
    <w:p>
      <w:pPr>
        <w:pStyle w:val="TextBody"/>
        <w:bidi w:val="0"/>
        <w:spacing w:before="60" w:after="60"/>
        <w:ind w:left="0" w:right="0" w:firstLine="720"/>
        <w:jc w:val="both"/>
        <w:rPr/>
      </w:pPr>
      <w:r>
        <w:rPr>
          <w:rFonts w:ascii="Arial Narrow" w:hAnsi="Arial Narrow"/>
          <w:b/>
          <w:sz w:val="20"/>
        </w:rPr>
        <w:t>Total debt</w:t>
      </w:r>
      <w:r>
        <w:rPr>
          <w:rFonts w:ascii="Arial Narrow" w:hAnsi="Arial Narrow"/>
          <w:sz w:val="20"/>
        </w:rPr>
        <w:t xml:space="preserve">—The carrying amount of our total debt represents the principal amount, together with unamortized discounts, premiums and issue costs.  The carrying amount and fair value of our total debt includes amounts related to our exchangeable bonds (see </w:t>
      </w:r>
      <w:hyperlink w:anchor="FN_Debt">
        <w:r>
          <w:rPr>
            <w:rStyle w:val="InternetLink"/>
            <w:rFonts w:ascii="Arial Narrow" w:hAnsi="Arial Narrow"/>
            <w:b w:val="false"/>
            <w:i w:val="false"/>
            <w:caps w:val="false"/>
            <w:smallCaps w:val="false"/>
            <w:sz w:val="20"/>
          </w:rPr>
          <w:t>Note 6—Debt</w:t>
        </w:r>
      </w:hyperlink>
      <w:r>
        <w:rPr>
          <w:rFonts w:ascii="Arial Narrow" w:hAnsi="Arial Narrow"/>
          <w:sz w:val="20"/>
        </w:rPr>
        <w:t xml:space="preserve">).  We estimated the fair value of our total debt using significant other observable inputs, representative of Level 2 fair value measurements, including the terms and credit spreads for the instruments and, with respect to our exchangeable bonds, the expected volatility of the market price for our shares. </w:t>
      </w:r>
    </w:p>
    <w:p>
      <w:pPr>
        <w:pStyle w:val="TextBody"/>
        <w:shd w:fill="CEDBE0" w:val="clear"/>
        <w:bidi w:val="0"/>
        <w:spacing w:before="240" w:after="283"/>
        <w:ind w:left="0" w:right="0" w:hanging="0"/>
        <w:jc w:val="both"/>
        <w:rPr>
          <w:caps/>
        </w:rPr>
      </w:pPr>
      <w:r>
        <w:rPr>
          <w:caps/>
        </w:rPr>
        <w:t>​</w:t>
      </w:r>
    </w:p>
    <w:p>
      <w:pPr>
        <w:pStyle w:val="TextBody"/>
        <w:bidi w:val="0"/>
        <w:spacing w:before="0" w:after="0"/>
        <w:ind w:left="0" w:right="0" w:hanging="0"/>
        <w:jc w:val="center"/>
        <w:rPr>
          <w:rFonts w:ascii="Arial Narrow" w:hAnsi="Arial Narrow"/>
          <w:sz w:val="20"/>
        </w:rPr>
      </w:pPr>
      <w:r>
        <w:rPr>
          <w:rFonts w:ascii="Arial Narrow" w:hAnsi="Arial Narrow"/>
          <w:sz w:val="20"/>
        </w:rPr>
        <w:t>- 12 -</w:t>
      </w:r>
    </w:p>
    <w:p>
      <w:pPr>
        <w:pStyle w:val="TextBody"/>
        <w:bidi w:val="0"/>
        <w:spacing w:before="0" w:after="130"/>
        <w:ind w:left="0" w:right="0" w:hanging="0"/>
        <w:jc w:val="left"/>
        <w:rPr/>
      </w:pPr>
      <w:hyperlink w:anchor="Toc">
        <w:r>
          <w:rPr>
            <w:rStyle w:val="InternetLink"/>
            <w:rFonts w:ascii="Arial Narrow" w:hAnsi="Arial Narrow"/>
            <w:b w:val="false"/>
            <w:i w:val="false"/>
            <w:caps/>
            <w:sz w:val="18"/>
          </w:rPr>
          <w:t>Table of Contents</w:t>
        </w:r>
      </w:hyperlink>
    </w:p>
    <w:p>
      <w:pPr>
        <w:pStyle w:val="Normal"/>
        <w:bidi w:val="0"/>
        <w:spacing w:before="0" w:after="0"/>
        <w:jc w:val="left"/>
        <w:rPr>
          <w:sz w:val="4"/>
          <w:szCs w:val="4"/>
        </w:rPr>
      </w:pPr>
      <w:r>
        <w:rPr>
          <w:sz w:val="4"/>
          <w:szCs w:val="4"/>
        </w:rPr>
      </w:r>
      <w:bookmarkStart w:id="917" w:name="Item7ManagementsDiscussionandAnalysis_88"/>
      <w:bookmarkStart w:id="918" w:name="_4035ebe0_d7a1_4602_af7e_853c7b5eb711"/>
      <w:bookmarkStart w:id="919" w:name="Item7ManagementsDiscussionandAnalysis_88"/>
      <w:bookmarkStart w:id="920" w:name="_4035ebe0_d7a1_4602_af7e_853c7b5eb711"/>
      <w:bookmarkEnd w:id="919"/>
      <w:bookmarkEnd w:id="920"/>
    </w:p>
    <w:tbl>
      <w:tblPr>
        <w:tblW w:w="10186" w:type="dxa"/>
        <w:jc w:val="left"/>
        <w:tblInd w:w="0" w:type="dxa"/>
        <w:tblLayout w:type="fixed"/>
        <w:tblCellMar>
          <w:top w:w="0" w:type="dxa"/>
          <w:left w:w="0" w:type="dxa"/>
          <w:bottom w:w="0" w:type="dxa"/>
          <w:right w:w="0" w:type="dxa"/>
        </w:tblCellMar>
      </w:tblPr>
      <w:tblGrid>
        <w:gridCol w:w="751"/>
        <w:gridCol w:w="9435"/>
      </w:tblGrid>
      <w:tr>
        <w:trPr/>
        <w:tc>
          <w:tcPr>
            <w:tcW w:w="751" w:type="dxa"/>
            <w:tcBorders/>
            <w:vAlign w:val="center"/>
          </w:tcPr>
          <w:p>
            <w:pPr>
              <w:pStyle w:val="TableContents"/>
              <w:shd w:fill="CEDBE0" w:val="clear"/>
              <w:bidi w:val="0"/>
              <w:spacing w:before="60" w:after="60"/>
              <w:jc w:val="both"/>
              <w:rPr>
                <w:rFonts w:ascii="Arial Narrow" w:hAnsi="Arial Narrow"/>
                <w:b/>
                <w:caps/>
                <w:sz w:val="22"/>
              </w:rPr>
            </w:pPr>
            <w:r>
              <w:rPr>
                <w:rFonts w:ascii="Arial Narrow" w:hAnsi="Arial Narrow"/>
                <w:b/>
                <w:caps/>
                <w:sz w:val="22"/>
              </w:rPr>
              <w:t>Item 2.</w:t>
            </w:r>
          </w:p>
        </w:tc>
        <w:tc>
          <w:tcPr>
            <w:tcW w:w="9435" w:type="dxa"/>
            <w:tcBorders/>
            <w:vAlign w:val="center"/>
          </w:tcPr>
          <w:p>
            <w:pPr>
              <w:pStyle w:val="TableContents"/>
              <w:shd w:fill="CEDBE0" w:val="clear"/>
              <w:bidi w:val="0"/>
              <w:spacing w:before="60" w:after="60"/>
              <w:jc w:val="both"/>
              <w:rPr>
                <w:rFonts w:ascii="Arial Narrow" w:hAnsi="Arial Narrow"/>
                <w:b/>
                <w:caps/>
                <w:spacing w:val="-4"/>
                <w:sz w:val="22"/>
              </w:rPr>
            </w:pPr>
            <w:r>
              <w:rPr>
                <w:rFonts w:ascii="Arial Narrow" w:hAnsi="Arial Narrow"/>
                <w:b/>
                <w:caps/>
                <w:spacing w:val="-4"/>
                <w:sz w:val="22"/>
              </w:rPr>
              <w:t>Management’s Discussion and Analysis of Financial Condition and Results of Operations</w:t>
            </w:r>
          </w:p>
        </w:tc>
      </w:tr>
    </w:tbl>
    <w:p>
      <w:pPr>
        <w:pStyle w:val="TextBody"/>
        <w:pBdr>
          <w:bottom w:val="single" w:sz="18" w:space="1" w:color="ECA44A"/>
        </w:pBdr>
        <w:bidi w:val="0"/>
        <w:spacing w:before="60" w:after="60"/>
        <w:ind w:left="0" w:right="0" w:hanging="0"/>
        <w:jc w:val="left"/>
        <w:rPr>
          <w:rFonts w:ascii="Arial Narrow" w:hAnsi="Arial Narrow"/>
          <w:b/>
          <w:caps/>
          <w:color w:val="00556F"/>
          <w:sz w:val="22"/>
        </w:rPr>
      </w:pPr>
      <w:r>
        <w:rPr>
          <w:rFonts w:ascii="Arial Narrow" w:hAnsi="Arial Narrow"/>
          <w:b/>
          <w:caps/>
          <w:color w:val="00556F"/>
          <w:sz w:val="22"/>
        </w:rPr>
        <w:t>Forward-Looking Information</w:t>
      </w:r>
    </w:p>
    <w:p>
      <w:pPr>
        <w:pStyle w:val="TextBody"/>
        <w:bidi w:val="0"/>
        <w:spacing w:before="60" w:after="60"/>
        <w:ind w:left="0" w:right="0" w:firstLine="360"/>
        <w:jc w:val="both"/>
        <w:rPr>
          <w:rFonts w:ascii="Arial Narrow" w:hAnsi="Arial Narrow"/>
          <w:sz w:val="20"/>
        </w:rPr>
      </w:pPr>
      <w:r>
        <w:rPr>
          <w:rFonts w:ascii="Arial Narrow" w:hAnsi="Arial Narrow"/>
          <w:sz w:val="20"/>
        </w:rPr>
        <w:t>The statements included in this quarterly report regarding future financial performance and results of operations and other statements that are not historical facts are forward-looking statements within the meaning of Section 27A of the United States (“U.S.”) Securities Act of 1933 and Section 21E of the U.S. Securities Exchange Act of 1934.  Forward-looking statements in this quarterly report include, but are not limited to, statements about the following subjects:</w:t>
      </w:r>
    </w:p>
    <w:p>
      <w:pPr>
        <w:pStyle w:val="TextBody"/>
        <w:bidi w:val="0"/>
        <w:spacing w:before="0" w:after="0"/>
        <w:ind w:left="360" w:right="0" w:hanging="0"/>
        <w:jc w:val="both"/>
        <w:rPr/>
      </w:pPr>
      <w:r>
        <w:rPr/>
        <w:t>◾</w:t>
      </w:r>
      <w:r>
        <w:rPr>
          <w:rFonts w:ascii="Arial Narrow" w:hAnsi="Arial Narrow"/>
          <w:sz w:val="17"/>
        </w:rPr>
        <w:t>the effect of any disputes and actions with respect to production levels by, among or between major oil and gas producing countries and any expectations we may have with respect thereto;</w:t>
      </w:r>
    </w:p>
    <w:p>
      <w:pPr>
        <w:pStyle w:val="TextBody"/>
        <w:bidi w:val="0"/>
        <w:spacing w:before="0" w:after="0"/>
        <w:ind w:left="360" w:right="0" w:hanging="0"/>
        <w:jc w:val="both"/>
        <w:rPr/>
      </w:pPr>
      <w:r>
        <w:rPr/>
        <w:t>◾</w:t>
      </w:r>
      <w:r>
        <w:rPr>
          <w:rFonts w:ascii="Arial Narrow" w:hAnsi="Arial Narrow"/>
          <w:sz w:val="17"/>
        </w:rPr>
        <w:t>our results of operations, our cash flow from operations, our revenue efficiency and other performance indicators and optimization of rig-based spending;</w:t>
      </w:r>
    </w:p>
    <w:p>
      <w:pPr>
        <w:pStyle w:val="TextBody"/>
        <w:bidi w:val="0"/>
        <w:spacing w:before="0" w:after="0"/>
        <w:ind w:left="360" w:right="0" w:hanging="0"/>
        <w:jc w:val="both"/>
        <w:rPr/>
      </w:pPr>
      <w:r>
        <w:rPr/>
        <w:t>◾</w:t>
      </w:r>
      <w:r>
        <w:rPr>
          <w:rFonts w:ascii="Arial Narrow" w:hAnsi="Arial Narrow"/>
          <w:sz w:val="17"/>
        </w:rPr>
        <w:t>the offshore drilling market, including the effects of variations in commodity prices, supply and demand, utilization rates, dayrates, customer drilling programs, customer strategy, stacking and reactivation of rigs, the impact of changes to regulations in jurisdictions in which we operate and changes in the global economy or market outlook for our industry, or the various geographies in which we operate;</w:t>
      </w:r>
    </w:p>
    <w:p>
      <w:pPr>
        <w:pStyle w:val="TextBody"/>
        <w:bidi w:val="0"/>
        <w:spacing w:before="0" w:after="0"/>
        <w:ind w:left="360" w:right="0" w:hanging="0"/>
        <w:jc w:val="both"/>
        <w:rPr/>
      </w:pPr>
      <w:r>
        <w:rPr/>
        <w:t>◾</w:t>
      </w:r>
      <w:r>
        <w:rPr>
          <w:rFonts w:ascii="Arial Narrow" w:hAnsi="Arial Narrow"/>
          <w:sz w:val="17"/>
        </w:rPr>
        <w:t>customer drilling contracts, including contract backlog, force majeure provisions, contract awards, commencements, extensions, cancellations, terminations, renegotiations, contract option exercises, contract revenues, early termination fees, indemnity provisions and rig mobilizations;</w:t>
      </w:r>
    </w:p>
    <w:p>
      <w:pPr>
        <w:pStyle w:val="TextBody"/>
        <w:bidi w:val="0"/>
        <w:spacing w:before="0" w:after="0"/>
        <w:ind w:left="360" w:right="0" w:hanging="0"/>
        <w:jc w:val="both"/>
        <w:rPr/>
      </w:pPr>
      <w:r>
        <w:rPr/>
        <w:t>◾</w:t>
      </w:r>
      <w:r>
        <w:rPr>
          <w:rFonts w:ascii="Arial Narrow" w:hAnsi="Arial Narrow"/>
          <w:sz w:val="17"/>
        </w:rPr>
        <w:t>the addition of renewable or other energy alternatives to meet local, regional or global demand for energy, and efforts by us or our customers, to reduce greenhouse gas emissions or operating intensity thereof;</w:t>
      </w:r>
    </w:p>
    <w:p>
      <w:pPr>
        <w:pStyle w:val="TextBody"/>
        <w:bidi w:val="0"/>
        <w:spacing w:before="0" w:after="0"/>
        <w:ind w:left="360" w:right="0" w:hanging="0"/>
        <w:jc w:val="both"/>
        <w:rPr/>
      </w:pPr>
      <w:r>
        <w:rPr/>
        <w:t>◾</w:t>
      </w:r>
      <w:r>
        <w:rPr>
          <w:rFonts w:ascii="Arial Narrow" w:hAnsi="Arial Narrow"/>
          <w:sz w:val="17"/>
        </w:rPr>
        <w:t>liquidity, including availability under our Secured Credit Facility, as defined in this periodic report, and adequacy of cash flows for our obligations;</w:t>
      </w:r>
    </w:p>
    <w:p>
      <w:pPr>
        <w:pStyle w:val="TextBody"/>
        <w:bidi w:val="0"/>
        <w:spacing w:before="0" w:after="0"/>
        <w:ind w:left="360" w:right="0" w:hanging="0"/>
        <w:jc w:val="both"/>
        <w:rPr/>
      </w:pPr>
      <w:r>
        <w:rPr/>
        <w:t>◾</w:t>
      </w:r>
      <w:r>
        <w:rPr>
          <w:rFonts w:ascii="Arial Narrow" w:hAnsi="Arial Narrow"/>
          <w:sz w:val="17"/>
        </w:rPr>
        <w:t>debt, including interest rates, credit ratings and our evaluation or decisions with respect to any potential liability management transactions or strategic alternatives intended to prudently manage our liquidity, debt maturities and other aspects of our capital structure;</w:t>
      </w:r>
    </w:p>
    <w:p>
      <w:pPr>
        <w:pStyle w:val="TextBody"/>
        <w:bidi w:val="0"/>
        <w:spacing w:before="0" w:after="0"/>
        <w:ind w:left="360" w:right="0" w:hanging="0"/>
        <w:jc w:val="both"/>
        <w:rPr/>
      </w:pPr>
      <w:r>
        <w:rPr/>
        <w:t>◾</w:t>
      </w:r>
      <w:r>
        <w:rPr>
          <w:rFonts w:ascii="Arial Narrow" w:hAnsi="Arial Narrow"/>
          <w:sz w:val="17"/>
        </w:rPr>
        <w:t>upgrade, shipyard, reactivations and other capital projects, including the level of expected capital expenditures and the timing and cost of completing capital projects, relinquishment or abandonment, expected downtime and lost revenues;</w:t>
      </w:r>
    </w:p>
    <w:p>
      <w:pPr>
        <w:pStyle w:val="TextBody"/>
        <w:bidi w:val="0"/>
        <w:spacing w:before="0" w:after="0"/>
        <w:ind w:left="360" w:right="0" w:hanging="0"/>
        <w:jc w:val="both"/>
        <w:rPr/>
      </w:pPr>
      <w:r>
        <w:rPr/>
        <w:t>◾</w:t>
      </w:r>
      <w:r>
        <w:rPr>
          <w:rFonts w:ascii="Arial Narrow" w:hAnsi="Arial Narrow"/>
          <w:sz w:val="17"/>
        </w:rPr>
        <w:t>the cost and timing of acquisitions and reactivations, and the proceeds and timing of dispositions;</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 Narrow" w:hAnsi="Arial Narrow"/>
                <w:b w:val="false"/>
                <w:i w:val="false"/>
                <w:caps w:val="false"/>
                <w:smallCaps w:val="false"/>
                <w:sz w:val="17"/>
              </w:rPr>
            </w:pPr>
            <w:r>
              <w:rPr>
                <w:rFonts w:ascii="Arial Narrow" w:hAnsi="Arial Narrow"/>
                <w:b w:val="false"/>
                <w:i w:val="false"/>
                <w:caps w:val="false"/>
                <w:smallCaps w:val="false"/>
                <w:sz w:val="17"/>
              </w:rPr>
              <w:t>our expectations regarding the timing, completion and anticipated benefits of the proposed business combination (the “Business Combination”) with Valaris Limited, an exempted company limited by shares incorporated under the laws of Bermuda (“Valaris”);</w:t>
            </w:r>
          </w:p>
        </w:tc>
      </w:tr>
    </w:tbl>
    <w:p>
      <w:pPr>
        <w:pStyle w:val="TextBody"/>
        <w:bidi w:val="0"/>
        <w:spacing w:before="0" w:after="0"/>
        <w:ind w:left="360" w:right="0" w:hanging="0"/>
        <w:jc w:val="both"/>
        <w:rPr/>
      </w:pPr>
      <w:r>
        <w:rPr/>
        <w:t>◾</w:t>
      </w:r>
      <w:r>
        <w:rPr>
          <w:rFonts w:ascii="Arial Narrow" w:hAnsi="Arial Narrow"/>
          <w:sz w:val="17"/>
        </w:rPr>
        <w:t>tax matters, including our effective tax rate, uncertain tax positions, changes in tax laws, treaties and regulations, tax assessments, tax incentive programs and liabilities for tax issues in the tax jurisdictions in which we operate or have a taxable presence;</w:t>
      </w:r>
    </w:p>
    <w:p>
      <w:pPr>
        <w:pStyle w:val="TextBody"/>
        <w:bidi w:val="0"/>
        <w:spacing w:before="0" w:after="0"/>
        <w:ind w:left="360" w:right="0" w:hanging="0"/>
        <w:jc w:val="both"/>
        <w:rPr/>
      </w:pPr>
      <w:r>
        <w:rPr/>
        <w:t>◾</w:t>
      </w:r>
      <w:r>
        <w:rPr>
          <w:rFonts w:ascii="Arial Narrow" w:hAnsi="Arial Narrow"/>
          <w:sz w:val="17"/>
        </w:rPr>
        <w:t>legal and regulatory matters, including results and effects of current or potential legal proceedings and governmental audits and assessments, outcomes and effects of internal and governmental investigations, customs and environmental matters;</w:t>
      </w:r>
    </w:p>
    <w:p>
      <w:pPr>
        <w:pStyle w:val="TextBody"/>
        <w:bidi w:val="0"/>
        <w:spacing w:before="0" w:after="0"/>
        <w:ind w:left="360" w:right="0" w:hanging="0"/>
        <w:jc w:val="both"/>
        <w:rPr/>
      </w:pPr>
      <w:r>
        <w:rPr/>
        <w:t>◾</w:t>
      </w:r>
      <w:r>
        <w:rPr>
          <w:rFonts w:ascii="Arial Narrow" w:hAnsi="Arial Narrow"/>
          <w:sz w:val="17"/>
        </w:rPr>
        <w:t>insurance matters, risk tolerance and risk response, including adequacy and solvency of insurance, renewal of insurance, insurance proceeds and cash investments of our wholly owned captive insurance company;</w:t>
      </w:r>
    </w:p>
    <w:p>
      <w:pPr>
        <w:pStyle w:val="TextBody"/>
        <w:bidi w:val="0"/>
        <w:spacing w:before="0" w:after="0"/>
        <w:ind w:left="360" w:right="0" w:hanging="0"/>
        <w:jc w:val="both"/>
        <w:rPr/>
      </w:pPr>
      <w:r>
        <w:rPr/>
        <w:t>◾</w:t>
      </w:r>
      <w:r>
        <w:rPr>
          <w:rFonts w:ascii="Arial Narrow" w:hAnsi="Arial Narrow"/>
          <w:sz w:val="17"/>
        </w:rPr>
        <w:t>effects of accounting changes and adoption of accounting policies; and</w:t>
      </w:r>
    </w:p>
    <w:p>
      <w:pPr>
        <w:pStyle w:val="TextBody"/>
        <w:bidi w:val="0"/>
        <w:ind w:left="360" w:right="0" w:hanging="0"/>
        <w:jc w:val="both"/>
        <w:rPr/>
      </w:pPr>
      <w:r>
        <w:rPr/>
        <w:t>◾</w:t>
      </w:r>
      <w:r>
        <w:rPr>
          <w:rFonts w:ascii="Arial Narrow" w:hAnsi="Arial Narrow"/>
          <w:sz w:val="17"/>
        </w:rPr>
        <w:t>investment in recruitment, retention and personnel development initiatives, the timing of, and other matters concerning, severance payments, benefit payments and maintaining agreements with labor unions</w:t>
      </w:r>
      <w:r>
        <w:rPr>
          <w:rFonts w:ascii="Arial Narrow" w:hAnsi="Arial Narrow"/>
          <w:sz w:val="18"/>
        </w:rPr>
        <w:t>.</w:t>
      </w:r>
    </w:p>
    <w:p>
      <w:pPr>
        <w:pStyle w:val="TextBody"/>
        <w:bidi w:val="0"/>
        <w:spacing w:before="120" w:after="40"/>
        <w:ind w:left="0" w:right="0" w:firstLine="360"/>
        <w:jc w:val="both"/>
        <w:rPr>
          <w:rFonts w:ascii="Arial Narrow" w:hAnsi="Arial Narrow"/>
          <w:sz w:val="19"/>
        </w:rPr>
      </w:pPr>
      <w:r>
        <w:rPr>
          <w:rFonts w:ascii="Arial Narrow" w:hAnsi="Arial Narrow"/>
          <w:sz w:val="19"/>
        </w:rPr>
        <w:t>Forward-looking statements in this quarterly report are identifiable by use of the following words and other similar expressions:</w:t>
      </w:r>
    </w:p>
    <w:tbl>
      <w:tblPr>
        <w:tblW w:w="7441" w:type="dxa"/>
        <w:jc w:val="left"/>
        <w:tblInd w:w="0" w:type="dxa"/>
        <w:tblLayout w:type="fixed"/>
        <w:tblCellMar>
          <w:top w:w="0" w:type="dxa"/>
          <w:left w:w="0" w:type="dxa"/>
          <w:bottom w:w="0" w:type="dxa"/>
          <w:right w:w="0" w:type="dxa"/>
        </w:tblCellMar>
      </w:tblPr>
      <w:tblGrid>
        <w:gridCol w:w="301"/>
        <w:gridCol w:w="781"/>
        <w:gridCol w:w="286"/>
        <w:gridCol w:w="601"/>
        <w:gridCol w:w="286"/>
        <w:gridCol w:w="721"/>
        <w:gridCol w:w="286"/>
        <w:gridCol w:w="691"/>
        <w:gridCol w:w="286"/>
        <w:gridCol w:w="451"/>
        <w:gridCol w:w="286"/>
        <w:gridCol w:w="601"/>
        <w:gridCol w:w="286"/>
        <w:gridCol w:w="736"/>
        <w:gridCol w:w="286"/>
        <w:gridCol w:w="556"/>
      </w:tblGrid>
      <w:tr>
        <w:trPr/>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anticipates</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budgets</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estimates</w:t>
            </w:r>
          </w:p>
        </w:tc>
        <w:tc>
          <w:tcPr>
            <w:tcW w:w="28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forecasts</w:t>
            </w:r>
          </w:p>
        </w:tc>
        <w:tc>
          <w:tcPr>
            <w:tcW w:w="28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may</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plans</w:t>
            </w:r>
          </w:p>
        </w:tc>
        <w:tc>
          <w:tcPr>
            <w:tcW w:w="28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projects</w:t>
            </w:r>
          </w:p>
        </w:tc>
        <w:tc>
          <w:tcPr>
            <w:tcW w:w="28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should</w:t>
            </w:r>
          </w:p>
        </w:tc>
      </w:tr>
      <w:tr>
        <w:trPr/>
        <w:tc>
          <w:tcPr>
            <w:tcW w:w="30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believes</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could</w:t>
            </w:r>
          </w:p>
        </w:tc>
        <w:tc>
          <w:tcPr>
            <w:tcW w:w="28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expects</w:t>
            </w:r>
          </w:p>
        </w:tc>
        <w:tc>
          <w:tcPr>
            <w:tcW w:w="28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intends</w:t>
            </w:r>
          </w:p>
        </w:tc>
        <w:tc>
          <w:tcPr>
            <w:tcW w:w="28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might</w:t>
            </w:r>
          </w:p>
        </w:tc>
        <w:tc>
          <w:tcPr>
            <w:tcW w:w="28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predicts</w:t>
            </w:r>
          </w:p>
        </w:tc>
        <w:tc>
          <w:tcPr>
            <w:tcW w:w="28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Arial Narrow" w:hAnsi="Arial Narrow"/>
                <w:sz w:val="17"/>
              </w:rPr>
            </w:pPr>
            <w:r>
              <w:rPr>
                <w:rFonts w:ascii="Arial Narrow" w:hAnsi="Arial Narrow"/>
                <w:sz w:val="17"/>
              </w:rPr>
              <w:t>scheduled</w:t>
            </w:r>
          </w:p>
        </w:tc>
        <w:tc>
          <w:tcPr>
            <w:tcW w:w="28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r>
    </w:tbl>
    <w:p>
      <w:pPr>
        <w:pStyle w:val="TextBody"/>
        <w:bidi w:val="0"/>
        <w:spacing w:before="120" w:after="40"/>
        <w:ind w:left="0" w:right="0" w:firstLine="360"/>
        <w:jc w:val="both"/>
        <w:rPr>
          <w:rFonts w:ascii="Arial Narrow" w:hAnsi="Arial Narrow"/>
          <w:sz w:val="19"/>
        </w:rPr>
      </w:pPr>
      <w:r>
        <w:rPr>
          <w:rFonts w:ascii="Arial Narrow" w:hAnsi="Arial Narrow"/>
          <w:sz w:val="19"/>
        </w:rPr>
        <w:t>Such statements are subject to numerous risks, uncertainties and assumptions, including, but not limited to:</w:t>
      </w:r>
    </w:p>
    <w:p>
      <w:pPr>
        <w:pStyle w:val="TextBody"/>
        <w:bidi w:val="0"/>
        <w:spacing w:before="0" w:after="0"/>
        <w:ind w:left="360" w:right="0" w:hanging="0"/>
        <w:jc w:val="both"/>
        <w:rPr/>
      </w:pPr>
      <w:r>
        <w:rPr/>
        <w:t>◾</w:t>
      </w:r>
      <w:r>
        <w:rPr>
          <w:rFonts w:ascii="Arial Narrow" w:hAnsi="Arial Narrow"/>
          <w:sz w:val="17"/>
        </w:rPr>
        <w:t>those described</w:t>
      </w:r>
      <w:r>
        <w:rPr>
          <w:rFonts w:ascii="Arial Narrow" w:hAnsi="Arial Narrow"/>
          <w:sz w:val="18"/>
        </w:rPr>
        <w:t xml:space="preserve"> </w:t>
      </w:r>
      <w:r>
        <w:rPr>
          <w:rFonts w:ascii="Arial Narrow" w:hAnsi="Arial Narrow"/>
          <w:sz w:val="17"/>
        </w:rPr>
        <w:t xml:space="preserve">under “Item 1A. Risk Factors” included in Part I of our annual report on </w:t>
      </w:r>
      <w:hyperlink r:id="rId4">
        <w:r>
          <w:rPr>
            <w:rStyle w:val="InternetLink"/>
            <w:rFonts w:ascii="Arial Narrow" w:hAnsi="Arial Narrow"/>
            <w:b w:val="false"/>
            <w:i w:val="false"/>
            <w:caps w:val="false"/>
            <w:smallCaps w:val="false"/>
            <w:sz w:val="18"/>
          </w:rPr>
          <w:t>Form 10-K for the year ended December 31, 2025</w:t>
        </w:r>
      </w:hyperlink>
      <w:r>
        <w:rPr>
          <w:rFonts w:ascii="Arial Narrow" w:hAnsi="Arial Narrow"/>
          <w:sz w:val="17"/>
        </w:rPr>
        <w:t>;</w:t>
      </w:r>
    </w:p>
    <w:p>
      <w:pPr>
        <w:pStyle w:val="TextBody"/>
        <w:bidi w:val="0"/>
        <w:spacing w:before="0" w:after="0"/>
        <w:ind w:left="360" w:right="0" w:hanging="0"/>
        <w:jc w:val="both"/>
        <w:rPr/>
      </w:pPr>
      <w:r>
        <w:rPr/>
        <w:t>◾</w:t>
      </w:r>
      <w:r>
        <w:rPr>
          <w:rFonts w:ascii="Arial Narrow" w:hAnsi="Arial Narrow"/>
          <w:sz w:val="17"/>
        </w:rPr>
        <w:t>the effects of actions by, or disputes among or between, members of the Organization of the Petroleum Exporting Countries and other oil and natural gas producing countries with respect to production levels or other matters related to the prices of oil and natural gas;</w:t>
      </w:r>
    </w:p>
    <w:p>
      <w:pPr>
        <w:pStyle w:val="TextBody"/>
        <w:bidi w:val="0"/>
        <w:spacing w:before="0" w:after="0"/>
        <w:ind w:left="360" w:right="0" w:hanging="0"/>
        <w:jc w:val="both"/>
        <w:rPr/>
      </w:pPr>
      <w:r>
        <w:rPr/>
        <w:t>◾</w:t>
      </w:r>
      <w:r>
        <w:rPr>
          <w:rFonts w:ascii="Arial Narrow" w:hAnsi="Arial Narrow"/>
          <w:sz w:val="17"/>
        </w:rPr>
        <w:t>the adequacy of and access to our sources of liquidity;</w:t>
      </w:r>
    </w:p>
    <w:p>
      <w:pPr>
        <w:pStyle w:val="TextBody"/>
        <w:bidi w:val="0"/>
        <w:spacing w:before="0" w:after="0"/>
        <w:ind w:left="360" w:right="0" w:hanging="0"/>
        <w:jc w:val="both"/>
        <w:rPr/>
      </w:pPr>
      <w:r>
        <w:rPr/>
        <w:t>◾</w:t>
      </w:r>
      <w:r>
        <w:rPr>
          <w:rFonts w:ascii="Arial Narrow" w:hAnsi="Arial Narrow"/>
          <w:sz w:val="17"/>
        </w:rPr>
        <w:t>our inability to renew drilling contracts at comparable, or improved, dayrates and to obtain drilling contracts for our rigs that do not have contracts;</w:t>
      </w:r>
    </w:p>
    <w:p>
      <w:pPr>
        <w:pStyle w:val="TextBody"/>
        <w:bidi w:val="0"/>
        <w:spacing w:before="0" w:after="0"/>
        <w:ind w:left="360" w:right="0" w:hanging="0"/>
        <w:jc w:val="both"/>
        <w:rPr/>
      </w:pPr>
      <w:r>
        <w:rPr/>
        <w:t>◾</w:t>
      </w:r>
      <w:r>
        <w:rPr>
          <w:rFonts w:ascii="Arial Narrow" w:hAnsi="Arial Narrow"/>
          <w:sz w:val="17"/>
        </w:rPr>
        <w:t>our operational performance;</w:t>
      </w:r>
    </w:p>
    <w:p>
      <w:pPr>
        <w:pStyle w:val="TextBody"/>
        <w:bidi w:val="0"/>
        <w:spacing w:before="0" w:after="0"/>
        <w:ind w:left="360" w:right="0" w:hanging="0"/>
        <w:jc w:val="both"/>
        <w:rPr/>
      </w:pPr>
      <w:r>
        <w:rPr/>
        <w:t>◾</w:t>
      </w:r>
      <w:r>
        <w:rPr>
          <w:rFonts w:ascii="Arial Narrow" w:hAnsi="Arial Narrow"/>
          <w:sz w:val="17"/>
        </w:rPr>
        <w:t>the cancellation of drilling contracts currently included in our reported contract backlog;</w:t>
      </w:r>
    </w:p>
    <w:p>
      <w:pPr>
        <w:pStyle w:val="TextBody"/>
        <w:bidi w:val="0"/>
        <w:spacing w:before="0" w:after="0"/>
        <w:ind w:left="360" w:right="0" w:hanging="0"/>
        <w:jc w:val="both"/>
        <w:rPr/>
      </w:pPr>
      <w:r>
        <w:rPr/>
        <w:t>◾</w:t>
      </w:r>
      <w:r>
        <w:rPr>
          <w:rFonts w:ascii="Arial Narrow" w:hAnsi="Arial Narrow"/>
          <w:sz w:val="17"/>
        </w:rPr>
        <w:t>losses on impairment of long-lived assets;</w:t>
      </w:r>
    </w:p>
    <w:p>
      <w:pPr>
        <w:pStyle w:val="TextBody"/>
        <w:bidi w:val="0"/>
        <w:spacing w:before="0" w:after="0"/>
        <w:ind w:left="360" w:right="0" w:hanging="0"/>
        <w:jc w:val="both"/>
        <w:rPr/>
      </w:pPr>
      <w:r>
        <w:rPr/>
        <w:t>◾</w:t>
      </w:r>
      <w:r>
        <w:rPr>
          <w:rFonts w:ascii="Arial Narrow" w:hAnsi="Arial Narrow"/>
          <w:sz w:val="17"/>
        </w:rPr>
        <w:t>shipyard and other delays;</w:t>
      </w:r>
    </w:p>
    <w:p>
      <w:pPr>
        <w:pStyle w:val="TextBody"/>
        <w:bidi w:val="0"/>
        <w:spacing w:before="0" w:after="0"/>
        <w:ind w:left="360" w:right="0" w:hanging="0"/>
        <w:jc w:val="both"/>
        <w:rPr/>
      </w:pPr>
      <w:r>
        <w:rPr/>
        <w:t>◾</w:t>
      </w:r>
      <w:r>
        <w:rPr>
          <w:rFonts w:ascii="Arial Narrow" w:hAnsi="Arial Narrow"/>
          <w:sz w:val="17"/>
        </w:rPr>
        <w:t>the results of meetings of our shareholders;</w:t>
      </w:r>
    </w:p>
    <w:p>
      <w:pPr>
        <w:pStyle w:val="TextBody"/>
        <w:bidi w:val="0"/>
        <w:spacing w:before="0" w:after="0"/>
        <w:ind w:left="360" w:right="0" w:hanging="0"/>
        <w:jc w:val="both"/>
        <w:rPr/>
      </w:pPr>
      <w:r>
        <w:rPr/>
        <w:t>◾</w:t>
      </w:r>
      <w:r>
        <w:rPr>
          <w:rFonts w:ascii="Arial Narrow" w:hAnsi="Arial Narrow"/>
          <w:sz w:val="17"/>
        </w:rPr>
        <w:t>changes in political, social and economic conditions, including the effects of political and military disputes;</w:t>
      </w:r>
    </w:p>
    <w:p>
      <w:pPr>
        <w:pStyle w:val="TextBody"/>
        <w:bidi w:val="0"/>
        <w:spacing w:before="0" w:after="0"/>
        <w:ind w:left="360" w:right="0" w:hanging="0"/>
        <w:jc w:val="both"/>
        <w:rPr/>
      </w:pPr>
      <w:r>
        <w:rPr/>
        <w:t>◾</w:t>
      </w:r>
      <w:r>
        <w:rPr>
          <w:rFonts w:ascii="Arial Narrow" w:hAnsi="Arial Narrow"/>
          <w:sz w:val="17"/>
        </w:rPr>
        <w:t>the possibility of changes in tax, environmental, trade, immigration and other laws, regulations and policies, including the imposition of tariffs, economic or trade sanctions or other trade barriers and actions of government that impact, whether directly or indirectly, oil and gas operations;</w:t>
      </w:r>
    </w:p>
    <w:p>
      <w:pPr>
        <w:pStyle w:val="TextBody"/>
        <w:bidi w:val="0"/>
        <w:spacing w:before="0" w:after="0"/>
        <w:ind w:left="360" w:right="0" w:hanging="0"/>
        <w:jc w:val="both"/>
        <w:rPr/>
      </w:pPr>
      <w:r>
        <w:rPr/>
        <w:t>◾</w:t>
      </w:r>
      <w:r>
        <w:rPr>
          <w:rFonts w:ascii="Arial Narrow" w:hAnsi="Arial Narrow"/>
          <w:sz w:val="17"/>
        </w:rPr>
        <w:t>the effect and results of litigation, regulatory matters, settlements, audits, assessments and contingencies;</w:t>
      </w:r>
    </w:p>
    <w:p>
      <w:pPr>
        <w:pStyle w:val="TextBody"/>
        <w:bidi w:val="0"/>
        <w:spacing w:before="0" w:after="0"/>
        <w:ind w:left="360" w:right="0" w:hanging="0"/>
        <w:jc w:val="both"/>
        <w:rPr/>
      </w:pPr>
      <w:r>
        <w:rPr/>
        <w:t>◾</w:t>
      </w:r>
      <w:r>
        <w:rPr>
          <w:rFonts w:ascii="Arial Narrow" w:hAnsi="Arial Narrow"/>
          <w:sz w:val="17"/>
        </w:rPr>
        <w:t>the availability of borrowings under our Secured Credit Facility, as well as the timing of any amendments thereto; and</w:t>
      </w:r>
    </w:p>
    <w:p>
      <w:pPr>
        <w:pStyle w:val="TextBody"/>
        <w:bidi w:val="0"/>
        <w:ind w:left="360" w:right="0" w:hanging="0"/>
        <w:jc w:val="both"/>
        <w:rPr/>
      </w:pPr>
      <w:r>
        <w:rPr/>
        <w:t>◾</w:t>
      </w:r>
      <w:r>
        <w:rPr>
          <w:rFonts w:ascii="Arial Narrow" w:hAnsi="Arial Narrow"/>
          <w:sz w:val="17"/>
        </w:rPr>
        <w:t xml:space="preserve">other factors discussed in this quarterly report and in our other filings with the U.S. Securities and Exchange Commission (“SEC”), which are available free of charge on the SEC website at </w:t>
      </w:r>
      <w:r>
        <w:rPr>
          <w:rFonts w:ascii="Arial Narrow" w:hAnsi="Arial Narrow"/>
          <w:i/>
          <w:sz w:val="17"/>
        </w:rPr>
        <w:t>www.sec.gov</w:t>
      </w:r>
      <w:r>
        <w:rPr>
          <w:rFonts w:ascii="Arial Narrow" w:hAnsi="Arial Narrow"/>
          <w:sz w:val="17"/>
        </w:rPr>
        <w:t>.</w:t>
      </w:r>
    </w:p>
    <w:p>
      <w:pPr>
        <w:pStyle w:val="TextBody"/>
        <w:bidi w:val="0"/>
        <w:spacing w:before="80" w:after="60"/>
        <w:ind w:left="0" w:right="0" w:firstLine="360"/>
        <w:jc w:val="both"/>
        <w:rPr>
          <w:rFonts w:ascii="Arial Narrow" w:hAnsi="Arial Narrow"/>
          <w:sz w:val="18"/>
        </w:rPr>
      </w:pPr>
      <w:r>
        <w:rPr>
          <w:rFonts w:ascii="Arial Narrow" w:hAnsi="Arial Narrow"/>
          <w:sz w:val="19"/>
        </w:rPr>
        <w:t>The foregoing risks and uncertainties are beyond our ability to control, and in many cases, we cannot predict the risks and uncertainties that could cause our actual results to differ materially from those indicated by the forward-looking statements.  Should one or more of these risks or uncertainties materialize, or should underlying assumptions prove incorrect, actual results may vary materially from those indicated.  All subsequent written and oral forward-looking statements attributable to us or to persons acting on our behalf are expressly qualified in their entirety by reference to these risks and uncertainties.  You should not place undue reliance on forward-looking statements, each of which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w:t>
      </w:r>
      <w:r>
        <w:rPr>
          <w:rFonts w:ascii="Arial Narrow" w:hAnsi="Arial Narrow"/>
          <w:sz w:val="20"/>
        </w:rPr>
        <w:t>.</w:t>
      </w:r>
    </w:p>
    <w:p>
      <w:pPr>
        <w:pStyle w:val="TextBody"/>
        <w:bidi w:val="0"/>
        <w:spacing w:before="0" w:after="0"/>
        <w:ind w:left="0" w:right="0" w:hanging="0"/>
        <w:jc w:val="center"/>
        <w:rPr>
          <w:rFonts w:ascii="Arial Narrow" w:hAnsi="Arial Narrow"/>
          <w:sz w:val="20"/>
        </w:rPr>
      </w:pPr>
      <w:r>
        <w:rPr>
          <w:rFonts w:ascii="Arial Narrow" w:hAnsi="Arial Narrow"/>
          <w:sz w:val="20"/>
        </w:rPr>
        <w:t>- 13 -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bottom w:val="single" w:sz="18" w:space="1" w:color="ECA44A"/>
        </w:pBdr>
        <w:bidi w:val="0"/>
        <w:spacing w:before="0" w:after="60"/>
        <w:ind w:left="0" w:right="0" w:hanging="0"/>
        <w:jc w:val="left"/>
        <w:rPr>
          <w:rFonts w:ascii="Arial Narrow" w:hAnsi="Arial Narrow"/>
          <w:b/>
          <w:caps/>
          <w:color w:val="00556F"/>
          <w:sz w:val="22"/>
        </w:rPr>
      </w:pPr>
      <w:bookmarkStart w:id="921" w:name="_d67029bc_8273_4f50_bac9_232c94de54a2"/>
      <w:bookmarkEnd w:id="921"/>
      <w:r>
        <w:rPr>
          <w:rFonts w:ascii="Arial Narrow" w:hAnsi="Arial Narrow"/>
          <w:b/>
          <w:caps/>
          <w:color w:val="00556F"/>
          <w:sz w:val="22"/>
        </w:rPr>
        <w:t>Introduction</w:t>
      </w:r>
    </w:p>
    <w:p>
      <w:pPr>
        <w:pStyle w:val="TextBody"/>
        <w:bidi w:val="0"/>
        <w:spacing w:before="60" w:after="120"/>
        <w:ind w:left="0" w:right="0" w:firstLine="720"/>
        <w:jc w:val="both"/>
        <w:rPr>
          <w:rFonts w:ascii="Arial Narrow" w:hAnsi="Arial Narrow"/>
          <w:sz w:val="20"/>
        </w:rPr>
      </w:pPr>
      <w:r>
        <w:rPr>
          <w:rFonts w:ascii="Arial Narrow" w:hAnsi="Arial Narrow"/>
          <w:sz w:val="20"/>
        </w:rPr>
        <w:t>Transocean Ltd. (together with its subsidiaries and predecessors, unless the context requires otherwise, “Transocean,” “we,” “us” or “our”) is a leading international provider of offshore contract drilling services for oil and gas wells.  As of July 28, 2026, we owned or had partial ownership interests in and operated 27 mobile offshore drilling units, consisting of 20 ultra-deepwater drillships and seven harsh environment semisubmersibles.</w:t>
      </w:r>
    </w:p>
    <w:p>
      <w:pPr>
        <w:pStyle w:val="TextBody"/>
        <w:bidi w:val="0"/>
        <w:spacing w:before="60" w:after="120"/>
        <w:ind w:left="0" w:right="0" w:firstLine="720"/>
        <w:jc w:val="both"/>
        <w:rPr>
          <w:rFonts w:ascii="Arial Narrow" w:hAnsi="Arial Narrow"/>
          <w:sz w:val="20"/>
        </w:rPr>
      </w:pPr>
      <w:r>
        <w:rPr>
          <w:rFonts w:ascii="Arial Narrow" w:hAnsi="Arial Narrow"/>
          <w:sz w:val="20"/>
        </w:rPr>
        <w:t>We provide, as our primary business, contract drilling services in a single operating segment, which involves contracting our mobile offshore drilling rigs, related equipment and work crews to drill oil and gas wells.  We specialize in technically demanding regions of the global offshore drilling business with a particular focus on ultra-deepwater and harsh environment drilling services.  Our drilling fleet is one of the most versatile fleets in the world, consisting of drillships and semisubmersible floaters used in support of offshore drilling activities and offshore support services on a worldwide basis.</w:t>
      </w:r>
    </w:p>
    <w:p>
      <w:pPr>
        <w:pStyle w:val="TextBody"/>
        <w:bidi w:val="0"/>
        <w:spacing w:before="60" w:after="120"/>
        <w:ind w:left="0" w:right="0" w:firstLine="720"/>
        <w:jc w:val="both"/>
        <w:rPr>
          <w:rFonts w:ascii="Arial Narrow" w:hAnsi="Arial Narrow"/>
          <w:sz w:val="20"/>
        </w:rPr>
      </w:pPr>
      <w:r>
        <w:rPr>
          <w:rFonts w:ascii="Arial Narrow" w:hAnsi="Arial Narrow"/>
          <w:sz w:val="20"/>
        </w:rPr>
        <w:t>We perform contract drilling services by deploying our high-specification fleet in a single, global market that is geographically dispersed in oil and gas exploration and development areas throughout the world.  Although rigs can be moved from one region to another, the cost of moving rigs and the availability of rig-moving vessels may cause the supply and demand balance to fluctuate somewhat between regions.  Still, significant variations between regions do not tend to persist long term because of rig mobility.  The location of our rigs and the allocation of resources to operate, build or upgrade our rigs are determined by the activities and needs of our customers.</w:t>
      </w:r>
    </w:p>
    <w:p>
      <w:pPr>
        <w:pStyle w:val="TextBody"/>
        <w:bidi w:val="0"/>
        <w:spacing w:before="60" w:after="120"/>
        <w:ind w:left="0" w:right="0" w:firstLine="720"/>
        <w:jc w:val="both"/>
        <w:rPr/>
      </w:pPr>
      <w:r>
        <w:rPr>
          <w:rFonts w:ascii="Arial Narrow" w:hAnsi="Arial Narrow"/>
          <w:sz w:val="20"/>
        </w:rPr>
        <w:t>Our discussion and analysis of our financial condition, operating results and liquidity and capital resources are based upon, and should be read in conjunction with, our condensed consolidated financial statements and the notes thereto, included under “</w:t>
      </w:r>
      <w:hyperlink w:anchor="Item1FinancialStatements">
        <w:r>
          <w:rPr>
            <w:rStyle w:val="InternetLink"/>
            <w:rFonts w:ascii="Arial Narrow" w:hAnsi="Arial Narrow"/>
            <w:b w:val="false"/>
            <w:i w:val="false"/>
            <w:caps w:val="false"/>
            <w:smallCaps w:val="false"/>
            <w:sz w:val="20"/>
          </w:rPr>
          <w:t>Item 1. Financial Statements</w:t>
        </w:r>
      </w:hyperlink>
      <w:r>
        <w:rPr>
          <w:rFonts w:ascii="Arial Narrow" w:hAnsi="Arial Narrow"/>
          <w:sz w:val="20"/>
        </w:rPr>
        <w:t xml:space="preserve">” in this quarterly report on Form 10-Q and with “Part II. Item 7. Management’s Discussion and Analysis of Financial Condition and Results of Operations” in our annual report on </w:t>
      </w:r>
      <w:hyperlink r:id="rId5">
        <w:r>
          <w:rPr>
            <w:rStyle w:val="InternetLink"/>
            <w:rFonts w:ascii="Arial Narrow" w:hAnsi="Arial Narrow"/>
            <w:b w:val="false"/>
            <w:i w:val="false"/>
            <w:caps w:val="false"/>
            <w:smallCaps w:val="false"/>
            <w:sz w:val="20"/>
          </w:rPr>
          <w:t>Form 10-K for the year ended December 31, 2025.</w:t>
        </w:r>
      </w:hyperlink>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922" w:name="_08c76427_869c_483b_824d_c223558a478d"/>
      <w:bookmarkEnd w:id="922"/>
      <w:r>
        <w:rPr>
          <w:rFonts w:ascii="Arial Narrow" w:hAnsi="Arial Narrow"/>
          <w:b/>
          <w:caps/>
          <w:color w:val="00556F"/>
          <w:sz w:val="22"/>
        </w:rPr>
        <w:t>Significant Events</w:t>
      </w:r>
    </w:p>
    <w:p>
      <w:pPr>
        <w:pStyle w:val="TextBody"/>
        <w:bidi w:val="0"/>
        <w:spacing w:before="60" w:after="120"/>
        <w:ind w:left="0" w:right="0" w:firstLine="720"/>
        <w:jc w:val="both"/>
        <w:rPr/>
      </w:pPr>
      <w:r>
        <w:rPr>
          <w:rFonts w:ascii="Arial Narrow" w:hAnsi="Arial Narrow"/>
          <w:b/>
          <w:sz w:val="20"/>
        </w:rPr>
        <w:t>Agreement to acquire Valaris</w:t>
      </w:r>
      <w:r>
        <w:rPr>
          <w:rFonts w:ascii="Arial Narrow" w:hAnsi="Arial Narrow"/>
          <w:sz w:val="20"/>
        </w:rPr>
        <w:t>—On February 9, 2026, we and Valaris entered into a Business Combination Agreement (the "Agreement") providing for the Business Combination.  Pursuant to the Agreement, and on the terms and subject to the conditions thereof, we will acquire all of the issued and outstanding common shares, par value $0.01 each, of Valaris (the “Valaris Shares”) in exchange for Transocean Ltd. shares, par value $0.10 each, at an exchange ratio of 15.235 Transocean Ltd. shares for each Valaris Share.  See Notes to Consolidated Financial Statements—</w:t>
      </w:r>
      <w:hyperlink w:anchor="FN_Business">
        <w:r>
          <w:rPr>
            <w:rStyle w:val="InternetLink"/>
            <w:rFonts w:ascii="Arial Narrow" w:hAnsi="Arial Narrow"/>
            <w:b w:val="false"/>
            <w:i w:val="false"/>
            <w:caps w:val="false"/>
            <w:smallCaps w:val="false"/>
            <w:sz w:val="20"/>
          </w:rPr>
          <w:t>Note 1—Business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Disposal of assets</w:t>
      </w:r>
      <w:r>
        <w:rPr>
          <w:rFonts w:ascii="Arial Narrow" w:hAnsi="Arial Narrow"/>
          <w:sz w:val="20"/>
        </w:rPr>
        <w:t xml:space="preserve">—In the six months ended June 30, 2026, we completed the sale of the ultra-deepwater drillships </w:t>
      </w:r>
      <w:r>
        <w:rPr>
          <w:rFonts w:ascii="Arial Narrow" w:hAnsi="Arial Narrow"/>
          <w:i/>
          <w:sz w:val="20"/>
        </w:rPr>
        <w:t xml:space="preserve">Deepwater Champion </w:t>
      </w:r>
      <w:r>
        <w:rPr>
          <w:rFonts w:ascii="Arial Narrow" w:hAnsi="Arial Narrow"/>
          <w:sz w:val="20"/>
        </w:rPr>
        <w:t xml:space="preserve">and </w:t>
      </w:r>
      <w:r>
        <w:rPr>
          <w:rFonts w:ascii="Arial Narrow" w:hAnsi="Arial Narrow"/>
          <w:i/>
          <w:sz w:val="20"/>
          <w:shd w:fill="FFFFFF" w:val="clear"/>
        </w:rPr>
        <w:t>Discoverer India</w:t>
      </w:r>
      <w:r>
        <w:rPr>
          <w:rFonts w:ascii="Arial Narrow" w:hAnsi="Arial Narrow"/>
          <w:sz w:val="20"/>
        </w:rPr>
        <w:t xml:space="preserve">, together with related assets, for aggregate net cash proceeds of $27 million, including $3 million received as a deposit in the year ended December 31, 2025.  In July 2026, we completed the sale of the harsh environment semisubmersible </w:t>
      </w:r>
      <w:r>
        <w:rPr>
          <w:rFonts w:ascii="Arial Narrow" w:hAnsi="Arial Narrow"/>
          <w:i/>
          <w:sz w:val="20"/>
          <w:shd w:fill="FFFFFF" w:val="clear"/>
        </w:rPr>
        <w:t>Henry Goodrich</w:t>
      </w:r>
      <w:r>
        <w:rPr>
          <w:rFonts w:ascii="Arial Narrow" w:hAnsi="Arial Narrow"/>
          <w:sz w:val="20"/>
        </w:rPr>
        <w:t xml:space="preserve">, together with related assets, </w:t>
      </w:r>
      <w:r>
        <w:rPr>
          <w:rFonts w:ascii="Arial Narrow" w:hAnsi="Arial Narrow"/>
          <w:sz w:val="20"/>
          <w:shd w:fill="FFFFFF" w:val="clear"/>
        </w:rPr>
        <w:t>for net cash proceeds of $3 million</w:t>
      </w:r>
      <w:r>
        <w:rPr>
          <w:rFonts w:ascii="Arial Narrow" w:hAnsi="Arial Narrow"/>
          <w:sz w:val="20"/>
        </w:rPr>
        <w:t>.  See “</w:t>
      </w:r>
      <w:hyperlink w:anchor="LiquidityAndCapitalResources">
        <w:r>
          <w:rPr>
            <w:rStyle w:val="InternetLink"/>
            <w:rFonts w:ascii="Arial Narrow" w:hAnsi="Arial Narrow"/>
            <w:caps w:val="false"/>
            <w:smallCaps w:val="false"/>
            <w:sz w:val="20"/>
          </w:rPr>
          <w:t>—</w:t>
        </w:r>
      </w:hyperlink>
      <w:hyperlink w:anchor="LiquidityAndCapitalResources">
        <w:r>
          <w:rPr>
            <w:rStyle w:val="InternetLink"/>
            <w:rFonts w:ascii="Arial Narrow" w:hAnsi="Arial Narrow"/>
            <w:b w:val="false"/>
            <w:i w:val="false"/>
            <w:caps w:val="false"/>
            <w:smallCaps w:val="false"/>
            <w:sz w:val="20"/>
          </w:rPr>
          <w:t>Liquidity and Capital Resources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Debt redemption</w:t>
      </w:r>
      <w:r>
        <w:rPr>
          <w:rFonts w:ascii="Arial Narrow" w:hAnsi="Arial Narrow"/>
          <w:sz w:val="20"/>
        </w:rPr>
        <w:t>—In March 2026, we made a cash payment of $365 million, including an early redemption premium, to retire the outstanding $358 million aggregate principal amount of the 8.375% senior secured notes due February 2028 (the “8.375% Senior Secured Notes”).  See “</w:t>
      </w:r>
      <w:hyperlink w:anchor="LiquidityAndCapitalResources">
        <w:r>
          <w:rPr>
            <w:rStyle w:val="InternetLink"/>
            <w:rFonts w:ascii="Arial Narrow" w:hAnsi="Arial Narrow"/>
            <w:caps w:val="false"/>
            <w:smallCaps w:val="false"/>
            <w:sz w:val="20"/>
          </w:rPr>
          <w:t>—</w:t>
        </w:r>
      </w:hyperlink>
      <w:hyperlink w:anchor="LiquidityAndCapitalResources">
        <w:r>
          <w:rPr>
            <w:rStyle w:val="InternetLink"/>
            <w:rFonts w:ascii="Arial Narrow" w:hAnsi="Arial Narrow"/>
            <w:b w:val="false"/>
            <w:i w:val="false"/>
            <w:caps w:val="false"/>
            <w:smallCaps w:val="false"/>
            <w:sz w:val="20"/>
          </w:rPr>
          <w:t>Liquidity and Capital Resources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Exercised warrants</w:t>
      </w:r>
      <w:r>
        <w:rPr>
          <w:rFonts w:ascii="Arial Narrow" w:hAnsi="Arial Narrow"/>
          <w:sz w:val="20"/>
        </w:rPr>
        <w:t>—In April 2026, we issued 9.7 million Transocean Ltd. shares as net settlement of 22.2 million warrants exercised by holders to purchase our shares.  See “</w:t>
      </w:r>
      <w:hyperlink w:anchor="LiquidityAndCapitalResources">
        <w:r>
          <w:rPr>
            <w:rStyle w:val="InternetLink"/>
            <w:rFonts w:ascii="Arial Narrow" w:hAnsi="Arial Narrow"/>
            <w:caps w:val="false"/>
            <w:smallCaps w:val="false"/>
            <w:sz w:val="20"/>
          </w:rPr>
          <w:t>—</w:t>
        </w:r>
      </w:hyperlink>
      <w:hyperlink w:anchor="LiquidityAndCapitalResources">
        <w:r>
          <w:rPr>
            <w:rStyle w:val="InternetLink"/>
            <w:rFonts w:ascii="Arial Narrow" w:hAnsi="Arial Narrow"/>
            <w:b w:val="false"/>
            <w:i w:val="false"/>
            <w:caps w:val="false"/>
            <w:smallCaps w:val="false"/>
            <w:sz w:val="20"/>
          </w:rPr>
          <w:t>Liquidity and Capital Resources</w:t>
        </w:r>
      </w:hyperlink>
      <w:r>
        <w:rPr>
          <w:rFonts w:ascii="Arial Narrow" w:hAnsi="Arial Narrow"/>
          <w:sz w:val="20"/>
        </w:rPr>
        <w: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923" w:name="_f2c9f7c0_86db_4819_b3b4_f2b3ba9b7bec"/>
      <w:bookmarkEnd w:id="923"/>
      <w:r>
        <w:rPr>
          <w:rFonts w:ascii="Arial Narrow" w:hAnsi="Arial Narrow"/>
          <w:b/>
          <w:caps/>
          <w:color w:val="00556F"/>
          <w:sz w:val="22"/>
        </w:rPr>
        <w:t>Outlook</w:t>
      </w:r>
    </w:p>
    <w:p>
      <w:pPr>
        <w:pStyle w:val="TextBody"/>
        <w:bidi w:val="0"/>
        <w:spacing w:before="60" w:after="120"/>
        <w:ind w:left="0" w:right="0" w:firstLine="720"/>
        <w:jc w:val="both"/>
        <w:rPr>
          <w:rFonts w:ascii="Arial Narrow" w:hAnsi="Arial Narrow"/>
          <w:sz w:val="20"/>
        </w:rPr>
      </w:pPr>
      <w:r>
        <w:rPr>
          <w:rFonts w:ascii="Arial Narrow" w:hAnsi="Arial Narrow"/>
          <w:b/>
          <w:sz w:val="20"/>
        </w:rPr>
        <w:t>Drilling market</w:t>
      </w:r>
      <w:r>
        <w:rPr>
          <w:rFonts w:ascii="Arial Narrow" w:hAnsi="Arial Narrow"/>
          <w:sz w:val="20"/>
        </w:rPr>
        <w:t>—Our industry outlook remains positive, supported by numerous long-term forecasts indicating that hydrocarbons will continue to be the dominant source of energy for the foreseeable future.  Indeed, many operators are increasingly redirecting capital investment to the exploration and production of oil and gas, and away from non-core activities.  While we expect our customers to continue to be disciplined in their deployment of capital, and we believe that they will continue to invest an increasing portion of their budgets in offshore drilling, and particularly in deepwater, where resource potential, production longevity, and project economics are favorable, to achieve their production and reserve replacement targets.</w:t>
      </w:r>
    </w:p>
    <w:p>
      <w:pPr>
        <w:pStyle w:val="TextBody"/>
        <w:bidi w:val="0"/>
        <w:spacing w:before="60" w:after="120"/>
        <w:ind w:left="0" w:right="0" w:firstLine="720"/>
        <w:jc w:val="both"/>
        <w:rPr>
          <w:rFonts w:ascii="Arial Narrow" w:hAnsi="Arial Narrow"/>
          <w:sz w:val="20"/>
        </w:rPr>
      </w:pPr>
      <w:r>
        <w:rPr>
          <w:rFonts w:ascii="Arial Narrow" w:hAnsi="Arial Narrow"/>
          <w:sz w:val="20"/>
        </w:rPr>
        <w:t>More recently, persistent geopolitical instability, including the conflict in the Middle East, has highlighted significant hydrocarbon constraints in the supply chain.  As a result, governmental policy makers are reassessing their energy strategies and are prioritizing energy security, taking steps to improve the diversity and resiliency of their supply portfolios, including the exploitation of hydrocarbons from domestic sources.  These shifts underscore the continued need for accessible, reliable, cost-effective, and transportable energy sources, with offshore oil and gas increasingly viewed as a key strategic asset.</w:t>
      </w:r>
    </w:p>
    <w:p>
      <w:pPr>
        <w:pStyle w:val="TextBody"/>
        <w:bidi w:val="0"/>
        <w:spacing w:before="60" w:after="120"/>
        <w:ind w:left="0" w:right="0" w:firstLine="720"/>
        <w:jc w:val="both"/>
        <w:rPr>
          <w:rFonts w:ascii="Arial Narrow" w:hAnsi="Arial Narrow"/>
          <w:sz w:val="20"/>
        </w:rPr>
      </w:pPr>
      <w:r>
        <w:rPr>
          <w:rFonts w:ascii="Arial Narrow" w:hAnsi="Arial Narrow"/>
          <w:sz w:val="20"/>
        </w:rPr>
        <w:t>Although hydrocarbon prices remain sensitive to geopolitical events, macroeconomic conditions and policy decisions, and short-term supply fluctuations, we expect the overall economics of deepwater and harsh-environment projects to remain attractive.  These fields continue to generate competitive economic returns and are generally of lower carbon intensity compared to many other hydrocarbon sources.</w:t>
      </w:r>
    </w:p>
    <w:p>
      <w:pPr>
        <w:pStyle w:val="TextBody"/>
        <w:bidi w:val="0"/>
        <w:spacing w:before="0" w:after="0"/>
        <w:ind w:left="0" w:right="0" w:hanging="0"/>
        <w:jc w:val="center"/>
        <w:rPr>
          <w:rFonts w:ascii="Arial Narrow" w:hAnsi="Arial Narrow"/>
          <w:sz w:val="20"/>
        </w:rPr>
      </w:pPr>
      <w:r>
        <w:rPr>
          <w:rFonts w:ascii="Arial Narrow" w:hAnsi="Arial Narrow"/>
          <w:sz w:val="20"/>
        </w:rPr>
        <w:t>- 14 -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sz w:val="20"/>
        </w:rPr>
        <w:t>Consistent with our prior expectations, overall tendering activity and contract awards increased during the first half of 2026 and additional contract awards are anticipated for projects commencing in 2027 and 2028.  Demand for ultra-deepwater rigs remains robust and is expanding geographically, with incremental opportunities emerging, for example, in West Africa, the Mediterranean Sea, Southeast Asia and India.  High-specification drillships that have historically operated in the U.S. Gulf or Brazil are expected to mobilize to these regions as contract durations and commercial conditions become increasingly attractive.</w:t>
      </w:r>
    </w:p>
    <w:p>
      <w:pPr>
        <w:pStyle w:val="TextBody"/>
        <w:bidi w:val="0"/>
        <w:spacing w:before="60" w:after="120"/>
        <w:ind w:left="0" w:right="0" w:firstLine="720"/>
        <w:jc w:val="both"/>
        <w:rPr>
          <w:rFonts w:ascii="Arial Narrow" w:hAnsi="Arial Narrow"/>
          <w:sz w:val="20"/>
        </w:rPr>
      </w:pPr>
      <w:r>
        <w:rPr>
          <w:rFonts w:ascii="Arial Narrow" w:hAnsi="Arial Narrow"/>
          <w:sz w:val="20"/>
        </w:rPr>
        <w:t>Similarly, we expect demand for harsh environment rigs to remain strong through the end of the decade, driven primarily by activity in Norway – the largest market for these units – and by opportunities emerging in new geographies suited for harsh-environment capable rigs.  Several high-specification semisubmersible rigs that previously mobilized to other harsh environment regions, such as Namibia, the Black Sea, and Australia, have or are expected to return to the Norwegian North Sea as project requirements and market conditions continue to improve.</w:t>
      </w:r>
    </w:p>
    <w:p>
      <w:pPr>
        <w:pStyle w:val="TextBody"/>
        <w:bidi w:val="0"/>
        <w:spacing w:before="60" w:after="120"/>
        <w:ind w:left="0" w:right="0" w:firstLine="720"/>
        <w:jc w:val="both"/>
        <w:rPr>
          <w:rFonts w:ascii="Arial Narrow" w:hAnsi="Arial Narrow"/>
          <w:sz w:val="20"/>
        </w:rPr>
      </w:pPr>
      <w:r>
        <w:rPr>
          <w:rFonts w:ascii="Arial Narrow" w:hAnsi="Arial Narrow"/>
          <w:b/>
          <w:sz w:val="20"/>
        </w:rPr>
        <w:t>Fleet status</w:t>
      </w:r>
      <w:r>
        <w:rPr>
          <w:rFonts w:ascii="Arial Narrow" w:hAnsi="Arial Narrow"/>
          <w:sz w:val="20"/>
        </w:rPr>
        <w:t>—We refer to the availability of our rigs in terms of the uncommitted fleet rate.  The uncommitted fleet rate is defined as the number of uncommitted days divided by the total number of rig calendar days in the measurement period, expressed as a percentage.  An uncommitted day is defined as a calendar day during which a rig is idle or stacked, is not contracted to a customer and is not committed to a shipyard.  The uncommitted fleet rates exclude the effect of priced options.  As of August 5, 2026, the uncommitted fleet rates for the remainder of 2026 and each of the four years in the period ending December 31, 2030 were as follows:</w:t>
      </w:r>
    </w:p>
    <w:tbl>
      <w:tblPr>
        <w:tblW w:w="5000" w:type="dxa"/>
        <w:jc w:val="left"/>
        <w:tblInd w:w="0" w:type="dxa"/>
        <w:tblLayout w:type="fixed"/>
        <w:tblCellMar>
          <w:top w:w="0" w:type="dxa"/>
          <w:left w:w="0" w:type="dxa"/>
          <w:bottom w:w="0" w:type="dxa"/>
          <w:right w:w="0" w:type="dxa"/>
        </w:tblCellMar>
      </w:tblPr>
      <w:tblGrid>
        <w:gridCol w:w="1816"/>
        <w:gridCol w:w="109"/>
        <w:gridCol w:w="256"/>
        <w:gridCol w:w="241"/>
        <w:gridCol w:w="109"/>
        <w:gridCol w:w="256"/>
        <w:gridCol w:w="241"/>
        <w:gridCol w:w="109"/>
        <w:gridCol w:w="256"/>
        <w:gridCol w:w="241"/>
        <w:gridCol w:w="109"/>
        <w:gridCol w:w="256"/>
        <w:gridCol w:w="241"/>
        <w:gridCol w:w="109"/>
        <w:gridCol w:w="256"/>
        <w:gridCol w:w="241"/>
        <w:gridCol w:w="154"/>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153160" cy="175895"/>
                      <wp:effectExtent l="0" t="0" r="0" b="0"/>
                      <wp:wrapNone/>
                      <wp:docPr id="190" name="Frame189"/>
                      <a:graphic xmlns:a="http://schemas.openxmlformats.org/drawingml/2006/main">
                        <a:graphicData uri="http://schemas.microsoft.com/office/word/2010/wordprocessingShape">
                          <wps:wsp>
                            <wps:cNvSpPr txBox="1"/>
                            <wps:spPr>
                              <a:xfrm>
                                <a:off x="0" y="0"/>
                                <a:ext cx="1153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895"/>
                      <wp:effectExtent l="0" t="0" r="0" b="0"/>
                      <wp:wrapNone/>
                      <wp:docPr id="191" name="Frame19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2560" cy="175895"/>
                      <wp:effectExtent l="0" t="0" r="0" b="0"/>
                      <wp:wrapNone/>
                      <wp:docPr id="192" name="Frame191"/>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3035" cy="175895"/>
                      <wp:effectExtent l="0" t="0" r="0" b="0"/>
                      <wp:wrapNone/>
                      <wp:docPr id="193" name="Frame192"/>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895"/>
                      <wp:effectExtent l="0" t="0" r="0" b="0"/>
                      <wp:wrapNone/>
                      <wp:docPr id="194" name="Frame19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2560" cy="175895"/>
                      <wp:effectExtent l="0" t="0" r="0" b="0"/>
                      <wp:wrapNone/>
                      <wp:docPr id="195" name="Frame194"/>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53035" cy="175895"/>
                      <wp:effectExtent l="0" t="0" r="0" b="0"/>
                      <wp:wrapNone/>
                      <wp:docPr id="196" name="Frame195"/>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895"/>
                      <wp:effectExtent l="0" t="0" r="0" b="0"/>
                      <wp:wrapNone/>
                      <wp:docPr id="197" name="Frame19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2560" cy="175895"/>
                      <wp:effectExtent l="0" t="0" r="0" b="0"/>
                      <wp:wrapNone/>
                      <wp:docPr id="198" name="Frame197"/>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3035" cy="175895"/>
                      <wp:effectExtent l="0" t="0" r="0" b="0"/>
                      <wp:wrapNone/>
                      <wp:docPr id="199" name="Frame198"/>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895"/>
                      <wp:effectExtent l="0" t="0" r="0" b="0"/>
                      <wp:wrapNone/>
                      <wp:docPr id="200" name="Frame19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2560" cy="175895"/>
                      <wp:effectExtent l="0" t="0" r="0" b="0"/>
                      <wp:wrapNone/>
                      <wp:docPr id="201" name="Frame200"/>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3035" cy="175895"/>
                      <wp:effectExtent l="0" t="0" r="0" b="0"/>
                      <wp:wrapNone/>
                      <wp:docPr id="202" name="Frame201"/>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895"/>
                      <wp:effectExtent l="0" t="0" r="0" b="0"/>
                      <wp:wrapNone/>
                      <wp:docPr id="203" name="Frame20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2560" cy="175895"/>
                      <wp:effectExtent l="0" t="0" r="0" b="0"/>
                      <wp:wrapNone/>
                      <wp:docPr id="204" name="Frame203"/>
                      <a:graphic xmlns:a="http://schemas.openxmlformats.org/drawingml/2006/main">
                        <a:graphicData uri="http://schemas.microsoft.com/office/word/2010/wordprocessingShape">
                          <wps:wsp>
                            <wps:cNvSpPr txBox="1"/>
                            <wps:spPr>
                              <a:xfrm>
                                <a:off x="0" y="0"/>
                                <a:ext cx="162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3035" cy="175895"/>
                      <wp:effectExtent l="0" t="0" r="0" b="0"/>
                      <wp:wrapNone/>
                      <wp:docPr id="205" name="Frame204"/>
                      <a:graphic xmlns:a="http://schemas.openxmlformats.org/drawingml/2006/main">
                        <a:graphicData uri="http://schemas.microsoft.com/office/word/2010/wordprocessingShape">
                          <wps:wsp>
                            <wps:cNvSpPr txBox="1"/>
                            <wps:spPr>
                              <a:xfrm>
                                <a:off x="0" y="0"/>
                                <a:ext cx="153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7790" cy="175895"/>
                      <wp:effectExtent l="0" t="0" r="0" b="0"/>
                      <wp:wrapNone/>
                      <wp:docPr id="206" name="Frame205"/>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2027</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2028</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2029</w:t>
            </w:r>
          </w:p>
        </w:tc>
        <w:tc>
          <w:tcPr>
            <w:tcW w:w="109" w:type="dxa"/>
            <w:tcBorders/>
            <w:vAlign w:val="center"/>
          </w:tcPr>
          <w:p>
            <w:pPr>
              <w:pStyle w:val="TableContents"/>
              <w:bidi w:val="0"/>
              <w:spacing w:before="1" w:after="1"/>
              <w:ind w:left="0" w:right="0" w:hanging="0"/>
              <w:jc w:val="center"/>
              <w:rPr/>
            </w:pPr>
            <w:r>
              <w:rPr/>
              <w:t>​</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2030</w:t>
            </w:r>
          </w:p>
        </w:tc>
        <w:tc>
          <w:tcPr>
            <w:tcW w:w="154" w:type="dxa"/>
            <w:tcBorders/>
            <w:vAlign w:val="center"/>
          </w:tcPr>
          <w:p>
            <w:pPr>
              <w:pStyle w:val="TableContents"/>
              <w:bidi w:val="0"/>
              <w:spacing w:before="1" w:after="1"/>
              <w:ind w:left="0" w:right="0" w:hanging="0"/>
              <w:jc w:val="center"/>
              <w:rPr/>
            </w:pPr>
            <w:r>
              <w:rPr/>
              <w:t>​</w:t>
            </w:r>
          </w:p>
        </w:tc>
      </w:tr>
      <w:tr>
        <w:trPr/>
        <w:tc>
          <w:tcPr>
            <w:tcW w:w="181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Uncommitted fleet rate</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6" w:type="dxa"/>
            <w:tcBorders/>
            <w:vAlign w:val="center"/>
          </w:tcPr>
          <w:p>
            <w:pPr>
              <w:pStyle w:val="TableContents"/>
              <w:bidi w:val="0"/>
              <w:spacing w:before="1" w:after="1"/>
              <w:ind w:left="0" w:right="0" w:hanging="0"/>
              <w:jc w:val="center"/>
              <w:rPr/>
            </w:pPr>
            <w:r>
              <w:rPr/>
              <w:t>​</w:t>
            </w:r>
          </w:p>
        </w:tc>
        <w:tc>
          <w:tcPr>
            <w:tcW w:w="241" w:type="dxa"/>
            <w:tcBorders/>
            <w:vAlign w:val="center"/>
          </w:tcPr>
          <w:p>
            <w:pPr>
              <w:pStyle w:val="TableContents"/>
              <w:bidi w:val="0"/>
              <w:spacing w:before="1" w:after="1"/>
              <w:ind w:left="0" w:right="0" w:hanging="0"/>
              <w:jc w:val="center"/>
              <w:rPr/>
            </w:pPr>
            <w:r>
              <w:rPr/>
              <w:t>​</w:t>
            </w:r>
          </w:p>
        </w:tc>
        <w:tc>
          <w:tcPr>
            <w:tcW w:w="154" w:type="dxa"/>
            <w:tcBorders/>
            <w:vAlign w:val="center"/>
          </w:tcPr>
          <w:p>
            <w:pPr>
              <w:pStyle w:val="TableContents"/>
              <w:bidi w:val="0"/>
              <w:spacing w:before="1" w:after="1"/>
              <w:ind w:left="0" w:right="0" w:hanging="0"/>
              <w:jc w:val="center"/>
              <w:rPr/>
            </w:pPr>
            <w:r>
              <w:rPr/>
              <w:t>​</w:t>
            </w:r>
          </w:p>
        </w:tc>
      </w:tr>
      <w:tr>
        <w:trPr/>
        <w:tc>
          <w:tcPr>
            <w:tcW w:w="181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26</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36</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81</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2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w:t>
            </w:r>
          </w:p>
        </w:tc>
        <w:tc>
          <w:tcPr>
            <w:tcW w:w="2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1" w:after="1"/>
              <w:ind w:left="0" w:right="0" w:hanging="0"/>
              <w:jc w:val="left"/>
              <w:rPr/>
            </w:pPr>
            <w:r>
              <w:rPr/>
              <w:t>​</w:t>
            </w:r>
          </w:p>
        </w:tc>
      </w:tr>
      <w:tr>
        <w:trPr/>
        <w:tc>
          <w:tcPr>
            <w:tcW w:w="181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18</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66</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86</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2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93</w:t>
            </w:r>
          </w:p>
        </w:tc>
        <w:tc>
          <w:tcPr>
            <w:tcW w:w="2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1" w:after="1"/>
              <w:ind w:left="0" w:right="0" w:hanging="0"/>
              <w:jc w:val="left"/>
              <w:rPr/>
            </w:pPr>
            <w:r>
              <w:rPr/>
              <w:t>​</w:t>
            </w:r>
          </w:p>
        </w:tc>
      </w:tr>
    </w:tbl>
    <w:p>
      <w:pPr>
        <w:pStyle w:val="TextBody"/>
        <w:bidi w:val="0"/>
        <w:spacing w:before="0" w:after="120"/>
        <w:ind w:left="0" w:right="0" w:firstLine="720"/>
        <w:jc w:val="both"/>
        <w:rPr/>
      </w:pPr>
      <w:r>
        <w:rPr/>
        <w:t>​</w:t>
      </w:r>
    </w:p>
    <w:p>
      <w:pPr>
        <w:pStyle w:val="TextBody"/>
        <w:bidi w:val="0"/>
        <w:spacing w:before="60" w:after="120"/>
        <w:ind w:left="0" w:right="0" w:firstLine="720"/>
        <w:jc w:val="both"/>
        <w:rPr/>
      </w:pPr>
      <w:r>
        <w:rPr/>
        <w: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924" w:name="PerformanceAndOtherKeyIndicators"/>
      <w:bookmarkStart w:id="925" w:name="_fc5283c7_24f2_4d74_acb4_a7f298d33565"/>
      <w:bookmarkEnd w:id="924"/>
      <w:bookmarkEnd w:id="925"/>
      <w:r>
        <w:rPr>
          <w:rFonts w:ascii="Arial Narrow" w:hAnsi="Arial Narrow"/>
          <w:b/>
          <w:caps/>
          <w:color w:val="00556F"/>
          <w:sz w:val="22"/>
        </w:rPr>
        <w:t>Performance and Other Key Indicators</w:t>
      </w:r>
    </w:p>
    <w:p>
      <w:pPr>
        <w:pStyle w:val="TextBody"/>
        <w:bidi w:val="0"/>
        <w:spacing w:before="60" w:after="120"/>
        <w:ind w:left="0" w:right="0" w:firstLine="720"/>
        <w:jc w:val="both"/>
        <w:rPr>
          <w:rFonts w:ascii="Arial Narrow" w:hAnsi="Arial Narrow"/>
          <w:sz w:val="20"/>
        </w:rPr>
      </w:pPr>
      <w:r>
        <w:rPr>
          <w:rFonts w:ascii="Arial Narrow" w:hAnsi="Arial Narrow"/>
          <w:b/>
          <w:sz w:val="20"/>
        </w:rPr>
        <w:t>Contract backlog</w:t>
      </w:r>
      <w:r>
        <w:rPr>
          <w:rFonts w:ascii="Arial Narrow" w:hAnsi="Arial Narrow"/>
          <w:sz w:val="20"/>
        </w:rPr>
        <w:t>—We believe our contract backlog provides an indicator of our future revenue-earning opportunities.  Contract backlog is defined as the maximum contractual operating dayrate multiplied by the number of days remaining in the firm contract period, including certain performance-based provisions for which achievement is probable, and excluding provisions for mobilization, demobilization, contract preparation, other incentive provisions or reimbursement revenues, which are not expected to be material to our contract drilling revenues.  The contract backlog represents the maximum contract drilling revenues that can be earned considering the reported operating dayrate in effect during the firm contract period.  The contract backlog for our fleet was as follows:</w:t>
      </w:r>
    </w:p>
    <w:tbl>
      <w:tblPr>
        <w:tblW w:w="4489" w:type="dxa"/>
        <w:jc w:val="left"/>
        <w:tblInd w:w="0" w:type="dxa"/>
        <w:tblLayout w:type="fixed"/>
        <w:tblCellMar>
          <w:top w:w="0" w:type="dxa"/>
          <w:left w:w="0" w:type="dxa"/>
          <w:bottom w:w="0" w:type="dxa"/>
          <w:right w:w="0" w:type="dxa"/>
        </w:tblCellMar>
      </w:tblPr>
      <w:tblGrid>
        <w:gridCol w:w="1816"/>
        <w:gridCol w:w="146"/>
        <w:gridCol w:w="181"/>
        <w:gridCol w:w="451"/>
        <w:gridCol w:w="146"/>
        <w:gridCol w:w="181"/>
        <w:gridCol w:w="451"/>
        <w:gridCol w:w="146"/>
        <w:gridCol w:w="223"/>
        <w:gridCol w:w="557"/>
        <w:gridCol w:w="1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153160" cy="175895"/>
                      <wp:effectExtent l="0" t="0" r="0" b="0"/>
                      <wp:wrapNone/>
                      <wp:docPr id="207" name="Frame206"/>
                      <a:graphic xmlns:a="http://schemas.openxmlformats.org/drawingml/2006/main">
                        <a:graphicData uri="http://schemas.microsoft.com/office/word/2010/wordprocessingShape">
                          <wps:wsp>
                            <wps:cNvSpPr txBox="1"/>
                            <wps:spPr>
                              <a:xfrm>
                                <a:off x="0" y="0"/>
                                <a:ext cx="1153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2710" cy="175895"/>
                      <wp:effectExtent l="0" t="0" r="0" b="0"/>
                      <wp:wrapNone/>
                      <wp:docPr id="208" name="Frame207"/>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1285" cy="175895"/>
                      <wp:effectExtent l="0" t="0" r="0" b="0"/>
                      <wp:wrapNone/>
                      <wp:docPr id="209" name="Frame20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August 5,</w:t>
            </w:r>
          </w:p>
        </w:tc>
        <w:tc>
          <w:tcPr>
            <w:tcW w:w="146" w:type="dxa"/>
            <w:tcBorders/>
            <w:vAlign w:val="center"/>
          </w:tcPr>
          <w:p>
            <w:pPr>
              <w:pStyle w:val="TableContents"/>
              <w:bidi w:val="0"/>
              <w:spacing w:before="1" w:after="1"/>
              <w:ind w:left="0" w:right="0" w:hanging="0"/>
              <w:jc w:val="center"/>
              <w:rPr/>
            </w:pPr>
            <w:r>
              <w:rPr/>
              <w:t>​</w:t>
            </w:r>
          </w:p>
        </w:tc>
        <w:tc>
          <w:tcPr>
            <w:tcW w:w="632"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May 4,</w:t>
            </w:r>
          </w:p>
        </w:tc>
        <w:tc>
          <w:tcPr>
            <w:tcW w:w="146" w:type="dxa"/>
            <w:tcBorders/>
            <w:vAlign w:val="center"/>
          </w:tcPr>
          <w:p>
            <w:pPr>
              <w:pStyle w:val="TableContents"/>
              <w:bidi w:val="0"/>
              <w:spacing w:before="1" w:after="1"/>
              <w:ind w:left="0" w:right="0" w:hanging="0"/>
              <w:jc w:val="center"/>
              <w:rPr/>
            </w:pPr>
            <w:r>
              <w:rPr/>
              <w:t>​</w:t>
            </w:r>
          </w:p>
        </w:tc>
        <w:tc>
          <w:tcPr>
            <w:tcW w:w="780" w:type="dxa"/>
            <w:gridSpan w:val="2"/>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February 19,</w:t>
            </w:r>
          </w:p>
        </w:tc>
        <w:tc>
          <w:tcPr>
            <w:tcW w:w="191" w:type="dxa"/>
            <w:tcBorders/>
            <w:vAlign w:val="center"/>
          </w:tcPr>
          <w:p>
            <w:pPr>
              <w:pStyle w:val="TableContents"/>
              <w:bidi w:val="0"/>
              <w:spacing w:before="1" w:after="1"/>
              <w:ind w:left="0" w:right="0" w:hanging="0"/>
              <w:jc w:val="center"/>
              <w:rPr/>
            </w:pPr>
            <w:r>
              <w:rPr/>
              <w:t>​</w:t>
            </w:r>
          </w:p>
        </w:tc>
      </w:tr>
      <w:tr>
        <w:trPr/>
        <w:tc>
          <w:tcPr>
            <w:tcW w:w="1816" w:type="dxa"/>
            <w:tcBorders/>
            <w:vAlign w:val="center"/>
          </w:tcPr>
          <w:p>
            <w:pPr>
              <w:pStyle w:val="TableContents"/>
              <w:bidi w:val="0"/>
              <w:spacing w:before="1" w:after="1"/>
              <w:ind w:left="0" w:right="0" w:hanging="0"/>
              <w:jc w:val="left"/>
              <w:rPr/>
            </w:pPr>
            <w:r>
              <w:rPr/>
              <w:t>​</w:t>
            </w:r>
          </w:p>
        </w:tc>
        <w:tc>
          <w:tcPr>
            <w:tcW w:w="146"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46"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46" w:type="dxa"/>
            <w:tcBorders/>
            <w:vAlign w:val="center"/>
          </w:tcPr>
          <w:p>
            <w:pPr>
              <w:pStyle w:val="TableContents"/>
              <w:bidi w:val="0"/>
              <w:spacing w:before="1" w:after="1"/>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2026</w:t>
            </w:r>
          </w:p>
        </w:tc>
        <w:tc>
          <w:tcPr>
            <w:tcW w:w="191" w:type="dxa"/>
            <w:tcBorders/>
            <w:vAlign w:val="center"/>
          </w:tcPr>
          <w:p>
            <w:pPr>
              <w:pStyle w:val="TableContents"/>
              <w:bidi w:val="0"/>
              <w:spacing w:before="1" w:after="1"/>
              <w:ind w:left="0" w:right="0" w:hanging="0"/>
              <w:jc w:val="center"/>
              <w:rPr/>
            </w:pPr>
            <w:r>
              <w:rPr/>
              <w:t>​</w:t>
            </w:r>
          </w:p>
        </w:tc>
      </w:tr>
      <w:tr>
        <w:trPr/>
        <w:tc>
          <w:tcPr>
            <w:tcW w:w="448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2336"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 </w:t>
            </w:r>
          </w:p>
        </w:tc>
      </w:tr>
      <w:tr>
        <w:trPr/>
        <w:tc>
          <w:tcPr>
            <w:tcW w:w="181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Contract backlog</w:t>
            </w:r>
          </w:p>
        </w:tc>
        <w:tc>
          <w:tcPr>
            <w:tcW w:w="146"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451"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451"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center"/>
              <w:rPr/>
            </w:pPr>
            <w:r>
              <w:rPr/>
              <w:t>​</w:t>
            </w:r>
          </w:p>
        </w:tc>
        <w:tc>
          <w:tcPr>
            <w:tcW w:w="223" w:type="dxa"/>
            <w:tcBorders/>
            <w:vAlign w:val="center"/>
          </w:tcPr>
          <w:p>
            <w:pPr>
              <w:pStyle w:val="TableContents"/>
              <w:bidi w:val="0"/>
              <w:spacing w:before="1" w:after="1"/>
              <w:ind w:left="0" w:right="0" w:hanging="0"/>
              <w:jc w:val="center"/>
              <w:rPr/>
            </w:pPr>
            <w:r>
              <w:rPr/>
              <w:t>​</w:t>
            </w:r>
          </w:p>
        </w:tc>
        <w:tc>
          <w:tcPr>
            <w:tcW w:w="557"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181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4,816</w:t>
            </w:r>
          </w:p>
        </w:tc>
        <w:tc>
          <w:tcPr>
            <w:tcW w:w="14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5,221</w:t>
            </w:r>
          </w:p>
        </w:tc>
        <w:tc>
          <w:tcPr>
            <w:tcW w:w="146" w:type="dxa"/>
            <w:tcBorders/>
            <w:shd w:fill="CEDBE0" w:val="clear"/>
            <w:vAlign w:val="center"/>
          </w:tcPr>
          <w:p>
            <w:pPr>
              <w:pStyle w:val="TableContents"/>
              <w:bidi w:val="0"/>
              <w:spacing w:before="1" w:after="1"/>
              <w:ind w:left="0" w:right="0" w:hanging="0"/>
              <w:jc w:val="left"/>
              <w:rPr/>
            </w:pPr>
            <w:r>
              <w:rPr/>
              <w:t> </w:t>
            </w:r>
          </w:p>
        </w:tc>
        <w:tc>
          <w:tcPr>
            <w:tcW w:w="22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4,477</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181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1,916</w:t>
            </w:r>
          </w:p>
        </w:tc>
        <w:tc>
          <w:tcPr>
            <w:tcW w:w="1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1,907</w:t>
            </w:r>
          </w:p>
        </w:tc>
        <w:tc>
          <w:tcPr>
            <w:tcW w:w="146" w:type="dxa"/>
            <w:tcBorders/>
            <w:vAlign w:val="center"/>
          </w:tcPr>
          <w:p>
            <w:pPr>
              <w:pStyle w:val="TableContents"/>
              <w:bidi w:val="0"/>
              <w:spacing w:before="1"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557"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1,587</w:t>
            </w:r>
          </w:p>
        </w:tc>
        <w:tc>
          <w:tcPr>
            <w:tcW w:w="191" w:type="dxa"/>
            <w:tcBorders/>
            <w:vAlign w:val="center"/>
          </w:tcPr>
          <w:p>
            <w:pPr>
              <w:pStyle w:val="TableContents"/>
              <w:bidi w:val="0"/>
              <w:spacing w:before="1" w:after="1"/>
              <w:ind w:left="0" w:right="0" w:hanging="0"/>
              <w:jc w:val="left"/>
              <w:rPr/>
            </w:pPr>
            <w:r>
              <w:rPr/>
              <w:t>​</w:t>
            </w:r>
          </w:p>
        </w:tc>
      </w:tr>
      <w:tr>
        <w:trPr/>
        <w:tc>
          <w:tcPr>
            <w:tcW w:w="181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contract backlog</w:t>
            </w:r>
          </w:p>
        </w:tc>
        <w:tc>
          <w:tcPr>
            <w:tcW w:w="146" w:type="dxa"/>
            <w:tcBorders/>
            <w:shd w:fill="CEDBE0" w:val="clear"/>
            <w:vAlign w:val="center"/>
          </w:tcPr>
          <w:p>
            <w:pPr>
              <w:pStyle w:val="TableContents"/>
              <w:bidi w:val="0"/>
              <w:spacing w:before="1" w:after="1"/>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6,732</w:t>
            </w:r>
          </w:p>
        </w:tc>
        <w:tc>
          <w:tcPr>
            <w:tcW w:w="146" w:type="dxa"/>
            <w:tcBorders/>
            <w:shd w:fill="CEDBE0" w:val="clear"/>
            <w:vAlign w:val="center"/>
          </w:tcPr>
          <w:p>
            <w:pPr>
              <w:pStyle w:val="TableContents"/>
              <w:bidi w:val="0"/>
              <w:spacing w:before="1" w:after="1"/>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7,128</w:t>
            </w:r>
          </w:p>
        </w:tc>
        <w:tc>
          <w:tcPr>
            <w:tcW w:w="146" w:type="dxa"/>
            <w:tcBorders/>
            <w:shd w:fill="CEDBE0" w:val="clear"/>
            <w:vAlign w:val="center"/>
          </w:tcPr>
          <w:p>
            <w:pPr>
              <w:pStyle w:val="TableContents"/>
              <w:bidi w:val="0"/>
              <w:spacing w:before="1" w:after="1"/>
              <w:ind w:left="0" w:right="0" w:hanging="0"/>
              <w:jc w:val="left"/>
              <w:rPr/>
            </w:pPr>
            <w:r>
              <w:rPr/>
              <w:t> </w:t>
            </w:r>
          </w:p>
        </w:tc>
        <w:tc>
          <w:tcPr>
            <w:tcW w:w="223"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7"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6,064</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contract backlog includes only firm commitments, which are represented by signed drilling contracts or, in some cases, by other definitive agreements awaiting contract execution.  It does not include conditional agreements and options to extend firm commitments.</w:t>
      </w:r>
    </w:p>
    <w:p>
      <w:pPr>
        <w:pStyle w:val="TextBody"/>
        <w:bidi w:val="0"/>
        <w:spacing w:before="60" w:after="120"/>
        <w:ind w:left="0" w:right="0" w:firstLine="720"/>
        <w:jc w:val="both"/>
        <w:rPr>
          <w:rFonts w:ascii="Arial Narrow" w:hAnsi="Arial Narrow"/>
          <w:sz w:val="20"/>
        </w:rPr>
      </w:pPr>
      <w:r>
        <w:rPr>
          <w:rFonts w:ascii="Arial Narrow" w:hAnsi="Arial Narrow"/>
          <w:sz w:val="20"/>
        </w:rPr>
        <w:t>In June 2026, we entered into an agreement with Equinor ASA, conditional upon receipt of license approvals, for three harsh environment semisubmersible rigs.  The contract, once approved, represents $1.0 billion of incremental contract backlog, excluding additional services, which is not included in the contract backlog presented above.</w:t>
      </w:r>
    </w:p>
    <w:p>
      <w:pPr>
        <w:pStyle w:val="TextBody"/>
        <w:bidi w:val="0"/>
        <w:spacing w:before="60" w:after="120"/>
        <w:ind w:left="0" w:right="0" w:firstLine="720"/>
        <w:jc w:val="both"/>
        <w:rPr>
          <w:rFonts w:ascii="Arial Narrow" w:hAnsi="Arial Narrow"/>
          <w:sz w:val="20"/>
        </w:rPr>
      </w:pPr>
      <w:r>
        <w:rPr>
          <w:rFonts w:ascii="Arial Narrow" w:hAnsi="Arial Narrow"/>
          <w:sz w:val="20"/>
        </w:rPr>
        <w:t>The contractual operating dayrate may be higher than the actual dayrate we ultimately receive because an alternative contractual dayrate, such as a waiting-on-weather rate, repair rate, standby rate or force majeure rate, may apply under certain circumstances, or because of a number of factors, including rig downtime or suspension of operations.  In certain contracts, the actual dayrate may be reduced to zero if, for example, repairs extend beyond a stated period of time.</w:t>
      </w:r>
    </w:p>
    <w:p>
      <w:pPr>
        <w:pStyle w:val="TextBody"/>
        <w:bidi w:val="0"/>
        <w:spacing w:before="60" w:after="120"/>
        <w:ind w:left="0" w:right="0" w:firstLine="720"/>
        <w:jc w:val="both"/>
        <w:rPr>
          <w:rFonts w:ascii="Arial Narrow" w:hAnsi="Arial Narrow"/>
          <w:sz w:val="20"/>
        </w:rPr>
      </w:pPr>
      <w:r>
        <w:rPr>
          <w:rFonts w:ascii="Arial Narrow" w:hAnsi="Arial Narrow"/>
          <w:b/>
          <w:sz w:val="20"/>
        </w:rPr>
        <w:t>Average daily revenue</w:t>
      </w:r>
      <w:r>
        <w:rPr>
          <w:rFonts w:ascii="Arial Narrow" w:hAnsi="Arial Narrow"/>
          <w:sz w:val="20"/>
        </w:rPr>
        <w:t>—We believe average daily revenue provides a comparative measurement unit for our revenue-earning performance.  Average daily revenue is defined as operating revenues, excluding revenues for contract terminations, reimbursements and contract intangible amortization, earned per operating day.  An operating day is defined as a day for which a rig is contracted to earn a dayrate during the firm contract period after operations commence.  The average daily revenue for our fleet was as follows:</w:t>
      </w:r>
    </w:p>
    <w:tbl>
      <w:tblPr>
        <w:tblW w:w="5142" w:type="dxa"/>
        <w:jc w:val="left"/>
        <w:tblInd w:w="0" w:type="dxa"/>
        <w:tblLayout w:type="fixed"/>
        <w:tblCellMar>
          <w:top w:w="0" w:type="dxa"/>
          <w:left w:w="0" w:type="dxa"/>
          <w:bottom w:w="0" w:type="dxa"/>
          <w:right w:w="0" w:type="dxa"/>
        </w:tblCellMar>
      </w:tblPr>
      <w:tblGrid>
        <w:gridCol w:w="2161"/>
        <w:gridCol w:w="109"/>
        <w:gridCol w:w="181"/>
        <w:gridCol w:w="601"/>
        <w:gridCol w:w="146"/>
        <w:gridCol w:w="181"/>
        <w:gridCol w:w="601"/>
        <w:gridCol w:w="109"/>
        <w:gridCol w:w="181"/>
        <w:gridCol w:w="601"/>
        <w:gridCol w:w="27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72235" cy="175895"/>
                      <wp:effectExtent l="0" t="0" r="0" b="0"/>
                      <wp:wrapNone/>
                      <wp:docPr id="210" name="Frame209"/>
                      <a:graphic xmlns:a="http://schemas.openxmlformats.org/drawingml/2006/main">
                        <a:graphicData uri="http://schemas.microsoft.com/office/word/2010/wordprocessingShape">
                          <wps:wsp>
                            <wps:cNvSpPr txBox="1"/>
                            <wps:spPr>
                              <a:xfrm>
                                <a:off x="0" y="0"/>
                                <a:ext cx="1372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895"/>
                      <wp:effectExtent l="0" t="0" r="0" b="0"/>
                      <wp:wrapNone/>
                      <wp:docPr id="211" name="Frame21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4935" cy="175895"/>
                      <wp:effectExtent l="0" t="0" r="0" b="0"/>
                      <wp:wrapNone/>
                      <wp:docPr id="212" name="Frame211"/>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81635" cy="175895"/>
                      <wp:effectExtent l="0" t="0" r="0" b="0"/>
                      <wp:wrapNone/>
                      <wp:docPr id="213" name="Frame212"/>
                      <a:graphic xmlns:a="http://schemas.openxmlformats.org/drawingml/2006/main">
                        <a:graphicData uri="http://schemas.microsoft.com/office/word/2010/wordprocessingShape">
                          <wps:wsp>
                            <wps:cNvSpPr txBox="1"/>
                            <wps:spPr>
                              <a:xfrm>
                                <a:off x="0" y="0"/>
                                <a:ext cx="381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2710" cy="175895"/>
                      <wp:effectExtent l="0" t="0" r="0" b="0"/>
                      <wp:wrapNone/>
                      <wp:docPr id="214" name="Frame213"/>
                      <a:graphic xmlns:a="http://schemas.openxmlformats.org/drawingml/2006/main">
                        <a:graphicData uri="http://schemas.microsoft.com/office/word/2010/wordprocessingShape">
                          <wps:wsp>
                            <wps:cNvSpPr txBox="1"/>
                            <wps:spPr>
                              <a:xfrm>
                                <a:off x="0" y="0"/>
                                <a:ext cx="92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14935" cy="175895"/>
                      <wp:effectExtent l="0" t="0" r="0" b="0"/>
                      <wp:wrapNone/>
                      <wp:docPr id="215" name="Frame214"/>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81635" cy="175895"/>
                      <wp:effectExtent l="0" t="0" r="0" b="0"/>
                      <wp:wrapNone/>
                      <wp:docPr id="216" name="Frame215"/>
                      <a:graphic xmlns:a="http://schemas.openxmlformats.org/drawingml/2006/main">
                        <a:graphicData uri="http://schemas.microsoft.com/office/word/2010/wordprocessingShape">
                          <wps:wsp>
                            <wps:cNvSpPr txBox="1"/>
                            <wps:spPr>
                              <a:xfrm>
                                <a:off x="0" y="0"/>
                                <a:ext cx="381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895"/>
                      <wp:effectExtent l="0" t="0" r="0" b="0"/>
                      <wp:wrapNone/>
                      <wp:docPr id="217" name="Frame21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4935" cy="175895"/>
                      <wp:effectExtent l="0" t="0" r="0" b="0"/>
                      <wp:wrapNone/>
                      <wp:docPr id="218" name="Frame217"/>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1635" cy="175895"/>
                      <wp:effectExtent l="0" t="0" r="0" b="0"/>
                      <wp:wrapNone/>
                      <wp:docPr id="219" name="Frame218"/>
                      <a:graphic xmlns:a="http://schemas.openxmlformats.org/drawingml/2006/main">
                        <a:graphicData uri="http://schemas.microsoft.com/office/word/2010/wordprocessingShape">
                          <wps:wsp>
                            <wps:cNvSpPr txBox="1"/>
                            <wps:spPr>
                              <a:xfrm>
                                <a:off x="0" y="0"/>
                                <a:ext cx="381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2085" cy="175895"/>
                      <wp:effectExtent l="0" t="0" r="0" b="0"/>
                      <wp:wrapNone/>
                      <wp:docPr id="220" name="Frame219"/>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2601"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271" w:type="dxa"/>
            <w:tcBorders/>
            <w:vAlign w:val="center"/>
          </w:tcPr>
          <w:p>
            <w:pPr>
              <w:pStyle w:val="TableContents"/>
              <w:bidi w:val="0"/>
              <w:spacing w:before="1" w:after="1"/>
              <w:ind w:left="0" w:right="0" w:hanging="0"/>
              <w:jc w:val="center"/>
              <w:rPr/>
            </w:pPr>
            <w:r>
              <w:rPr/>
              <w:t>​</w:t>
            </w:r>
          </w:p>
        </w:tc>
      </w:tr>
      <w:tr>
        <w:trPr/>
        <w:tc>
          <w:tcPr>
            <w:tcW w:w="21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82"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46" w:type="dxa"/>
            <w:tcBorders/>
            <w:vAlign w:val="center"/>
          </w:tcPr>
          <w:p>
            <w:pPr>
              <w:pStyle w:val="TableContents"/>
              <w:bidi w:val="0"/>
              <w:spacing w:before="1" w:after="1"/>
              <w:ind w:left="0" w:right="0" w:hanging="0"/>
              <w:jc w:val="center"/>
              <w:rPr/>
            </w:pPr>
            <w:r>
              <w:rPr/>
              <w:t>​</w:t>
            </w:r>
          </w:p>
        </w:tc>
        <w:tc>
          <w:tcPr>
            <w:tcW w:w="782"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w:t>
            </w:r>
          </w:p>
        </w:tc>
        <w:tc>
          <w:tcPr>
            <w:tcW w:w="109" w:type="dxa"/>
            <w:tcBorders/>
            <w:vAlign w:val="center"/>
          </w:tcPr>
          <w:p>
            <w:pPr>
              <w:pStyle w:val="TableContents"/>
              <w:bidi w:val="0"/>
              <w:spacing w:before="1" w:after="1"/>
              <w:ind w:left="0" w:right="0" w:hanging="0"/>
              <w:jc w:val="center"/>
              <w:rPr/>
            </w:pPr>
            <w:r>
              <w:rPr/>
              <w:t>​</w:t>
            </w:r>
          </w:p>
        </w:tc>
        <w:tc>
          <w:tcPr>
            <w:tcW w:w="782"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271" w:type="dxa"/>
            <w:tcBorders/>
            <w:vAlign w:val="center"/>
          </w:tcPr>
          <w:p>
            <w:pPr>
              <w:pStyle w:val="TableContents"/>
              <w:bidi w:val="0"/>
              <w:spacing w:before="1" w:after="1"/>
              <w:ind w:left="0" w:right="0" w:hanging="0"/>
              <w:jc w:val="center"/>
              <w:rPr/>
            </w:pPr>
            <w:r>
              <w:rPr/>
              <w:t>​</w:t>
            </w:r>
          </w:p>
        </w:tc>
      </w:tr>
      <w:tr>
        <w:trPr/>
        <w:tc>
          <w:tcPr>
            <w:tcW w:w="216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46" w:type="dxa"/>
            <w:tcBorders/>
            <w:vAlign w:val="center"/>
          </w:tcPr>
          <w:p>
            <w:pPr>
              <w:pStyle w:val="TableContents"/>
              <w:bidi w:val="0"/>
              <w:spacing w:before="1"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71" w:type="dxa"/>
            <w:tcBorders/>
            <w:vAlign w:val="center"/>
          </w:tcPr>
          <w:p>
            <w:pPr>
              <w:pStyle w:val="TableContents"/>
              <w:bidi w:val="0"/>
              <w:spacing w:before="1" w:after="1"/>
              <w:ind w:left="0" w:right="0" w:hanging="0"/>
              <w:jc w:val="center"/>
              <w:rPr/>
            </w:pPr>
            <w:r>
              <w:rPr/>
              <w:t>  ​</w:t>
            </w:r>
          </w:p>
        </w:tc>
      </w:tr>
      <w:tr>
        <w:trPr/>
        <w:tc>
          <w:tcPr>
            <w:tcW w:w="2161"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Average daily revenue</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center"/>
              <w:rPr/>
            </w:pPr>
            <w:r>
              <w:rPr/>
              <w:t>​</w:t>
            </w:r>
          </w:p>
        </w:tc>
        <w:tc>
          <w:tcPr>
            <w:tcW w:w="601" w:type="dxa"/>
            <w:tcBorders/>
            <w:vAlign w:val="center"/>
          </w:tcPr>
          <w:p>
            <w:pPr>
              <w:pStyle w:val="TableContents"/>
              <w:bidi w:val="0"/>
              <w:spacing w:before="1" w:after="1"/>
              <w:ind w:left="0" w:right="0" w:hanging="0"/>
              <w:jc w:val="center"/>
              <w:rPr/>
            </w:pPr>
            <w:r>
              <w:rPr/>
              <w:t>​</w:t>
            </w:r>
          </w:p>
        </w:tc>
        <w:tc>
          <w:tcPr>
            <w:tcW w:w="1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center"/>
              <w:rPr/>
            </w:pPr>
            <w:r>
              <w:rPr/>
              <w:t>​</w:t>
            </w:r>
          </w:p>
        </w:tc>
        <w:tc>
          <w:tcPr>
            <w:tcW w:w="60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center"/>
              <w:rPr/>
            </w:pPr>
            <w:r>
              <w:rPr/>
              <w:t>​</w:t>
            </w:r>
          </w:p>
        </w:tc>
        <w:tc>
          <w:tcPr>
            <w:tcW w:w="601" w:type="dxa"/>
            <w:tcBorders/>
            <w:vAlign w:val="center"/>
          </w:tcPr>
          <w:p>
            <w:pPr>
              <w:pStyle w:val="TableContents"/>
              <w:bidi w:val="0"/>
              <w:spacing w:before="1" w:after="1"/>
              <w:ind w:left="0" w:right="0" w:hanging="0"/>
              <w:jc w:val="center"/>
              <w:rPr/>
            </w:pPr>
            <w:r>
              <w:rPr/>
              <w:t>​</w:t>
            </w:r>
          </w:p>
        </w:tc>
        <w:tc>
          <w:tcPr>
            <w:tcW w:w="271" w:type="dxa"/>
            <w:tcBorders/>
            <w:vAlign w:val="center"/>
          </w:tcPr>
          <w:p>
            <w:pPr>
              <w:pStyle w:val="TableContents"/>
              <w:bidi w:val="0"/>
              <w:spacing w:before="1" w:after="1"/>
              <w:ind w:left="0" w:right="0" w:hanging="0"/>
              <w:jc w:val="left"/>
              <w:rPr/>
            </w:pPr>
            <w:r>
              <w:rPr/>
              <w:t>​</w:t>
            </w:r>
          </w:p>
        </w:tc>
      </w:tr>
      <w:tr>
        <w:trPr/>
        <w:tc>
          <w:tcPr>
            <w:tcW w:w="2161"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455,500</w:t>
            </w:r>
          </w:p>
        </w:tc>
        <w:tc>
          <w:tcPr>
            <w:tcW w:w="1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480,700</w:t>
            </w:r>
          </w:p>
        </w:tc>
        <w:tc>
          <w:tcPr>
            <w:tcW w:w="109"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457,200</w:t>
            </w:r>
          </w:p>
        </w:tc>
        <w:tc>
          <w:tcPr>
            <w:tcW w:w="271" w:type="dxa"/>
            <w:tcBorders/>
            <w:shd w:fill="CEDBE0" w:val="clear"/>
            <w:vAlign w:val="center"/>
          </w:tcPr>
          <w:p>
            <w:pPr>
              <w:pStyle w:val="TableContents"/>
              <w:bidi w:val="0"/>
              <w:spacing w:before="1" w:after="1"/>
              <w:ind w:left="0" w:right="0" w:hanging="0"/>
              <w:jc w:val="left"/>
              <w:rPr/>
            </w:pPr>
            <w:r>
              <w:rPr/>
              <w:t>​</w:t>
            </w:r>
          </w:p>
        </w:tc>
      </w:tr>
      <w:tr>
        <w:trPr/>
        <w:tc>
          <w:tcPr>
            <w:tcW w:w="2161"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510,000</w:t>
            </w:r>
          </w:p>
        </w:tc>
        <w:tc>
          <w:tcPr>
            <w:tcW w:w="1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463,800</w:t>
            </w:r>
          </w:p>
        </w:tc>
        <w:tc>
          <w:tcPr>
            <w:tcW w:w="109"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462,400</w:t>
            </w:r>
          </w:p>
        </w:tc>
        <w:tc>
          <w:tcPr>
            <w:tcW w:w="271" w:type="dxa"/>
            <w:tcBorders/>
            <w:vAlign w:val="center"/>
          </w:tcPr>
          <w:p>
            <w:pPr>
              <w:pStyle w:val="TableContents"/>
              <w:bidi w:val="0"/>
              <w:spacing w:before="1" w:after="1"/>
              <w:ind w:left="0" w:right="0" w:hanging="0"/>
              <w:jc w:val="left"/>
              <w:rPr/>
            </w:pPr>
            <w:r>
              <w:rPr/>
              <w:t>​</w:t>
            </w:r>
          </w:p>
        </w:tc>
      </w:tr>
      <w:tr>
        <w:trPr/>
        <w:tc>
          <w:tcPr>
            <w:tcW w:w="21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fleet average daily revenue</w:t>
            </w:r>
          </w:p>
        </w:tc>
        <w:tc>
          <w:tcPr>
            <w:tcW w:w="109"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472,500</w:t>
            </w:r>
          </w:p>
        </w:tc>
        <w:tc>
          <w:tcPr>
            <w:tcW w:w="14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475,600</w:t>
            </w:r>
          </w:p>
        </w:tc>
        <w:tc>
          <w:tcPr>
            <w:tcW w:w="109"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458,600</w:t>
            </w:r>
          </w:p>
        </w:tc>
        <w:tc>
          <w:tcPr>
            <w:tcW w:w="27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center"/>
        <w:rPr>
          <w:rFonts w:ascii="Arial Narrow" w:hAnsi="Arial Narrow"/>
          <w:sz w:val="20"/>
        </w:rPr>
      </w:pPr>
      <w:r>
        <w:rPr>
          <w:rFonts w:ascii="Arial Narrow" w:hAnsi="Arial Narrow"/>
          <w:sz w:val="20"/>
        </w:rPr>
        <w:t>- 15 -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sz w:val="20"/>
        </w:rPr>
        <w:t>Our average daily revenue fluctuates relative to market conditions and our revenue efficiency.  The average daily revenue may be affected by incentive performance bonuses or penalties or demobilization fee revenues.  Revenues for a newbuild unit are included in the calculation when the rig commences operations upon acceptance by the customer.  We remove a rig from the calculation upon disposal or classification as held for sale, unless we continue to operate the rig, in which case we remove the rig upon completion or novation of the contract.</w:t>
      </w:r>
    </w:p>
    <w:p>
      <w:pPr>
        <w:pStyle w:val="TextBody"/>
        <w:bidi w:val="0"/>
        <w:spacing w:before="60" w:after="60"/>
        <w:ind w:left="0" w:right="0" w:firstLine="720"/>
        <w:jc w:val="both"/>
        <w:rPr>
          <w:rFonts w:ascii="Arial Narrow" w:hAnsi="Arial Narrow"/>
          <w:sz w:val="20"/>
        </w:rPr>
      </w:pPr>
      <w:r>
        <w:rPr>
          <w:rFonts w:ascii="Arial Narrow" w:hAnsi="Arial Narrow"/>
          <w:b/>
          <w:sz w:val="20"/>
        </w:rPr>
        <w:t>Revenue efficiency</w:t>
      </w:r>
      <w:r>
        <w:rPr>
          <w:rFonts w:ascii="Arial Narrow" w:hAnsi="Arial Narrow"/>
          <w:sz w:val="20"/>
        </w:rPr>
        <w:t>—We believe revenue efficiency measures our ability to ultimately convert our contract backlog into revenues.  Revenue efficiency is defined as actual operating revenues, excluding revenues for contract terminations and reimbursements, for the measurement period divided by the maximum revenue calculated for the measurement period, expressed as a percentage.  Maximum revenue is defined as the greatest amount of contract drilling revenues the drilling unit could earn for the measurement period, excluding revenues for incentive provisions, reimbursements and contract terminations.  The revenue efficiency rates for our fleet were as follows:</w:t>
      </w:r>
    </w:p>
    <w:tbl>
      <w:tblPr>
        <w:tblW w:w="5199" w:type="dxa"/>
        <w:jc w:val="left"/>
        <w:tblInd w:w="0" w:type="dxa"/>
        <w:tblLayout w:type="fixed"/>
        <w:tblCellMar>
          <w:top w:w="0" w:type="dxa"/>
          <w:left w:w="0" w:type="dxa"/>
          <w:bottom w:w="0" w:type="dxa"/>
          <w:right w:w="0" w:type="dxa"/>
        </w:tblCellMar>
      </w:tblPr>
      <w:tblGrid>
        <w:gridCol w:w="2476"/>
        <w:gridCol w:w="109"/>
        <w:gridCol w:w="438"/>
        <w:gridCol w:w="282"/>
        <w:gridCol w:w="109"/>
        <w:gridCol w:w="466"/>
        <w:gridCol w:w="299"/>
        <w:gridCol w:w="109"/>
        <w:gridCol w:w="438"/>
        <w:gridCol w:w="282"/>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72260" cy="175895"/>
                      <wp:effectExtent l="0" t="0" r="0" b="0"/>
                      <wp:wrapNone/>
                      <wp:docPr id="221" name="Frame220"/>
                      <a:graphic xmlns:a="http://schemas.openxmlformats.org/drawingml/2006/main">
                        <a:graphicData uri="http://schemas.microsoft.com/office/word/2010/wordprocessingShape">
                          <wps:wsp>
                            <wps:cNvSpPr txBox="1"/>
                            <wps:spPr>
                              <a:xfrm>
                                <a:off x="0" y="0"/>
                                <a:ext cx="1572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895"/>
                      <wp:effectExtent l="0" t="0" r="0" b="0"/>
                      <wp:wrapNone/>
                      <wp:docPr id="222" name="Frame22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78130" cy="175895"/>
                      <wp:effectExtent l="0" t="0" r="0" b="0"/>
                      <wp:wrapNone/>
                      <wp:docPr id="223" name="Frame222"/>
                      <a:graphic xmlns:a="http://schemas.openxmlformats.org/drawingml/2006/main">
                        <a:graphicData uri="http://schemas.microsoft.com/office/word/2010/wordprocessingShape">
                          <wps:wsp>
                            <wps:cNvSpPr txBox="1"/>
                            <wps:spPr>
                              <a:xfrm>
                                <a:off x="0" y="0"/>
                                <a:ext cx="2781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9070" cy="175895"/>
                      <wp:effectExtent l="0" t="0" r="0" b="0"/>
                      <wp:wrapNone/>
                      <wp:docPr id="224" name="Frame223"/>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895"/>
                      <wp:effectExtent l="0" t="0" r="0" b="0"/>
                      <wp:wrapNone/>
                      <wp:docPr id="225" name="Frame22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95910" cy="175895"/>
                      <wp:effectExtent l="0" t="0" r="0" b="0"/>
                      <wp:wrapNone/>
                      <wp:docPr id="226" name="Frame225"/>
                      <a:graphic xmlns:a="http://schemas.openxmlformats.org/drawingml/2006/main">
                        <a:graphicData uri="http://schemas.microsoft.com/office/word/2010/wordprocessingShape">
                          <wps:wsp>
                            <wps:cNvSpPr txBox="1"/>
                            <wps:spPr>
                              <a:xfrm>
                                <a:off x="0" y="0"/>
                                <a:ext cx="295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89865" cy="175895"/>
                      <wp:effectExtent l="0" t="0" r="0" b="0"/>
                      <wp:wrapNone/>
                      <wp:docPr id="227" name="Frame226"/>
                      <a:graphic xmlns:a="http://schemas.openxmlformats.org/drawingml/2006/main">
                        <a:graphicData uri="http://schemas.microsoft.com/office/word/2010/wordprocessingShape">
                          <wps:wsp>
                            <wps:cNvSpPr txBox="1"/>
                            <wps:spPr>
                              <a:xfrm>
                                <a:off x="0" y="0"/>
                                <a:ext cx="1898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895"/>
                      <wp:effectExtent l="0" t="0" r="0" b="0"/>
                      <wp:wrapNone/>
                      <wp:docPr id="228" name="Frame22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78130" cy="175895"/>
                      <wp:effectExtent l="0" t="0" r="0" b="0"/>
                      <wp:wrapNone/>
                      <wp:docPr id="229" name="Frame228"/>
                      <a:graphic xmlns:a="http://schemas.openxmlformats.org/drawingml/2006/main">
                        <a:graphicData uri="http://schemas.microsoft.com/office/word/2010/wordprocessingShape">
                          <wps:wsp>
                            <wps:cNvSpPr txBox="1"/>
                            <wps:spPr>
                              <a:xfrm>
                                <a:off x="0" y="0"/>
                                <a:ext cx="2781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9070" cy="175895"/>
                      <wp:effectExtent l="0" t="0" r="0" b="0"/>
                      <wp:wrapNone/>
                      <wp:docPr id="230" name="Frame229"/>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1285" cy="175895"/>
                      <wp:effectExtent l="0" t="0" r="0" b="0"/>
                      <wp:wrapNone/>
                      <wp:docPr id="231" name="Frame230"/>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2423"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191" w:type="dxa"/>
            <w:tcBorders/>
            <w:vAlign w:val="center"/>
          </w:tcPr>
          <w:p>
            <w:pPr>
              <w:pStyle w:val="TableContents"/>
              <w:bidi w:val="0"/>
              <w:spacing w:before="1" w:after="1"/>
              <w:ind w:left="0" w:right="0" w:hanging="0"/>
              <w:jc w:val="center"/>
              <w:rPr/>
            </w:pPr>
            <w:r>
              <w:rPr/>
              <w:t>​</w:t>
            </w:r>
          </w:p>
        </w:tc>
      </w:tr>
      <w:tr>
        <w:trPr/>
        <w:tc>
          <w:tcPr>
            <w:tcW w:w="24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09" w:type="dxa"/>
            <w:tcBorders/>
            <w:vAlign w:val="center"/>
          </w:tcPr>
          <w:p>
            <w:pPr>
              <w:pStyle w:val="TableContents"/>
              <w:bidi w:val="0"/>
              <w:spacing w:before="1" w:after="1"/>
              <w:ind w:left="0" w:right="0" w:hanging="0"/>
              <w:jc w:val="center"/>
              <w:rPr/>
            </w:pPr>
            <w:r>
              <w:rPr/>
              <w:t>​</w:t>
            </w:r>
          </w:p>
        </w:tc>
        <w:tc>
          <w:tcPr>
            <w:tcW w:w="765"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91" w:type="dxa"/>
            <w:tcBorders/>
            <w:vAlign w:val="center"/>
          </w:tcPr>
          <w:p>
            <w:pPr>
              <w:pStyle w:val="TableContents"/>
              <w:bidi w:val="0"/>
              <w:spacing w:before="1" w:after="1"/>
              <w:ind w:left="0" w:right="0" w:hanging="0"/>
              <w:jc w:val="center"/>
              <w:rPr/>
            </w:pPr>
            <w:r>
              <w:rPr/>
              <w:t>​</w:t>
            </w:r>
          </w:p>
        </w:tc>
      </w:tr>
      <w:tr>
        <w:trPr/>
        <w:tc>
          <w:tcPr>
            <w:tcW w:w="24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76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1" w:after="1"/>
              <w:ind w:left="0" w:right="0" w:hanging="0"/>
              <w:jc w:val="center"/>
              <w:rPr/>
            </w:pPr>
            <w:r>
              <w:rPr/>
              <w:t> </w:t>
            </w:r>
          </w:p>
        </w:tc>
      </w:tr>
      <w:tr>
        <w:trPr/>
        <w:tc>
          <w:tcPr>
            <w:tcW w:w="247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Revenue efficiency</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center"/>
              <w:rPr/>
            </w:pPr>
            <w:r>
              <w:rPr/>
              <w:t>​</w:t>
            </w:r>
          </w:p>
        </w:tc>
        <w:tc>
          <w:tcPr>
            <w:tcW w:w="28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center"/>
              <w:rPr/>
            </w:pPr>
            <w:r>
              <w:rPr/>
              <w:t>​</w:t>
            </w:r>
          </w:p>
        </w:tc>
        <w:tc>
          <w:tcPr>
            <w:tcW w:w="29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center"/>
              <w:rPr/>
            </w:pPr>
            <w:r>
              <w:rPr/>
              <w:t>​</w:t>
            </w:r>
          </w:p>
        </w:tc>
        <w:tc>
          <w:tcPr>
            <w:tcW w:w="282"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left"/>
              <w:rPr/>
            </w:pPr>
            <w:r>
              <w:rPr/>
              <w:t> </w:t>
            </w:r>
          </w:p>
        </w:tc>
      </w:tr>
      <w:tr>
        <w:trPr/>
        <w:tc>
          <w:tcPr>
            <w:tcW w:w="247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95.7</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97.6</w:t>
            </w:r>
          </w:p>
        </w:tc>
        <w:tc>
          <w:tcPr>
            <w:tcW w:w="29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96.7</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247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99.5</w:t>
            </w:r>
          </w:p>
        </w:tc>
        <w:tc>
          <w:tcPr>
            <w:tcW w:w="282"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46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96.7</w:t>
            </w:r>
          </w:p>
        </w:tc>
        <w:tc>
          <w:tcPr>
            <w:tcW w:w="299"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96.3</w:t>
            </w:r>
          </w:p>
        </w:tc>
        <w:tc>
          <w:tcPr>
            <w:tcW w:w="282"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1" w:after="1"/>
              <w:ind w:left="0" w:right="0" w:hanging="0"/>
              <w:jc w:val="left"/>
              <w:rPr/>
            </w:pPr>
            <w:r>
              <w:rPr/>
              <w:t>​</w:t>
            </w:r>
          </w:p>
        </w:tc>
      </w:tr>
      <w:tr>
        <w:trPr/>
        <w:tc>
          <w:tcPr>
            <w:tcW w:w="247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fleet average revenue efficiency</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97.0</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6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97.3</w:t>
            </w:r>
          </w:p>
        </w:tc>
        <w:tc>
          <w:tcPr>
            <w:tcW w:w="299"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96.6</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revenue efficiency rate varies due to revenues earned under alternative contractual dayrates, such as a waiting-on-weather rate, repair rate, standby rate, force majeure rate or zero rate, that may apply under certain circumstances.  Our revenue efficiency rate is also affected by incentive performance bonuses or penalties.  We include newbuilds in the calculation when the rigs commence operations upon acceptance by the customer.  We exclude rigs that are not operating under contract, such as those that are stacked.</w:t>
      </w:r>
    </w:p>
    <w:p>
      <w:pPr>
        <w:pStyle w:val="TextBody"/>
        <w:bidi w:val="0"/>
        <w:spacing w:before="60" w:after="60"/>
        <w:ind w:left="0" w:right="0" w:firstLine="720"/>
        <w:jc w:val="both"/>
        <w:rPr>
          <w:rFonts w:ascii="Arial Narrow" w:hAnsi="Arial Narrow"/>
          <w:sz w:val="20"/>
        </w:rPr>
      </w:pPr>
      <w:r>
        <w:rPr>
          <w:rFonts w:ascii="Arial Narrow" w:hAnsi="Arial Narrow"/>
          <w:b/>
          <w:sz w:val="20"/>
        </w:rPr>
        <w:t>Rig utilization</w:t>
      </w:r>
      <w:r>
        <w:rPr>
          <w:rFonts w:ascii="Arial Narrow" w:hAnsi="Arial Narrow"/>
          <w:sz w:val="20"/>
        </w:rPr>
        <w:t>—We present our rig utilization as an indicator of our ability to secure work for our fleet.  Rig utilization is defined as the total number of operating days divided by the total number of rig calendar days in the measurement period, expressed as a percentage.  The rig utilization rates for our fleet were as follows:</w:t>
      </w:r>
    </w:p>
    <w:tbl>
      <w:tblPr>
        <w:tblW w:w="4839" w:type="dxa"/>
        <w:jc w:val="left"/>
        <w:tblInd w:w="0" w:type="dxa"/>
        <w:tblLayout w:type="fixed"/>
        <w:tblCellMar>
          <w:top w:w="0" w:type="dxa"/>
          <w:left w:w="0" w:type="dxa"/>
          <w:bottom w:w="0" w:type="dxa"/>
          <w:right w:w="0" w:type="dxa"/>
        </w:tblCellMar>
      </w:tblPr>
      <w:tblGrid>
        <w:gridCol w:w="2116"/>
        <w:gridCol w:w="109"/>
        <w:gridCol w:w="438"/>
        <w:gridCol w:w="282"/>
        <w:gridCol w:w="109"/>
        <w:gridCol w:w="499"/>
        <w:gridCol w:w="266"/>
        <w:gridCol w:w="109"/>
        <w:gridCol w:w="438"/>
        <w:gridCol w:w="282"/>
        <w:gridCol w:w="19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43660" cy="175895"/>
                      <wp:effectExtent l="0" t="0" r="0" b="0"/>
                      <wp:wrapNone/>
                      <wp:docPr id="232" name="Frame231"/>
                      <a:graphic xmlns:a="http://schemas.openxmlformats.org/drawingml/2006/main">
                        <a:graphicData uri="http://schemas.microsoft.com/office/word/2010/wordprocessingShape">
                          <wps:wsp>
                            <wps:cNvSpPr txBox="1"/>
                            <wps:spPr>
                              <a:xfrm>
                                <a:off x="0" y="0"/>
                                <a:ext cx="1343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895"/>
                      <wp:effectExtent l="0" t="0" r="0" b="0"/>
                      <wp:wrapNone/>
                      <wp:docPr id="233" name="Frame23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78130" cy="175895"/>
                      <wp:effectExtent l="0" t="0" r="0" b="0"/>
                      <wp:wrapNone/>
                      <wp:docPr id="234" name="Frame233"/>
                      <a:graphic xmlns:a="http://schemas.openxmlformats.org/drawingml/2006/main">
                        <a:graphicData uri="http://schemas.microsoft.com/office/word/2010/wordprocessingShape">
                          <wps:wsp>
                            <wps:cNvSpPr txBox="1"/>
                            <wps:spPr>
                              <a:xfrm>
                                <a:off x="0" y="0"/>
                                <a:ext cx="2781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9070" cy="175895"/>
                      <wp:effectExtent l="0" t="0" r="0" b="0"/>
                      <wp:wrapNone/>
                      <wp:docPr id="235" name="Frame234"/>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895"/>
                      <wp:effectExtent l="0" t="0" r="0" b="0"/>
                      <wp:wrapNone/>
                      <wp:docPr id="236" name="Frame23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16865" cy="175895"/>
                      <wp:effectExtent l="0" t="0" r="0" b="0"/>
                      <wp:wrapNone/>
                      <wp:docPr id="237" name="Frame236"/>
                      <a:graphic xmlns:a="http://schemas.openxmlformats.org/drawingml/2006/main">
                        <a:graphicData uri="http://schemas.microsoft.com/office/word/2010/wordprocessingShape">
                          <wps:wsp>
                            <wps:cNvSpPr txBox="1"/>
                            <wps:spPr>
                              <a:xfrm>
                                <a:off x="0" y="0"/>
                                <a:ext cx="3168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8910" cy="175895"/>
                      <wp:effectExtent l="0" t="0" r="0" b="0"/>
                      <wp:wrapNone/>
                      <wp:docPr id="238" name="Frame237"/>
                      <a:graphic xmlns:a="http://schemas.openxmlformats.org/drawingml/2006/main">
                        <a:graphicData uri="http://schemas.microsoft.com/office/word/2010/wordprocessingShape">
                          <wps:wsp>
                            <wps:cNvSpPr txBox="1"/>
                            <wps:spPr>
                              <a:xfrm>
                                <a:off x="0" y="0"/>
                                <a:ext cx="168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895"/>
                      <wp:effectExtent l="0" t="0" r="0" b="0"/>
                      <wp:wrapNone/>
                      <wp:docPr id="239" name="Frame23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78130" cy="175895"/>
                      <wp:effectExtent l="0" t="0" r="0" b="0"/>
                      <wp:wrapNone/>
                      <wp:docPr id="240" name="Frame239"/>
                      <a:graphic xmlns:a="http://schemas.openxmlformats.org/drawingml/2006/main">
                        <a:graphicData uri="http://schemas.microsoft.com/office/word/2010/wordprocessingShape">
                          <wps:wsp>
                            <wps:cNvSpPr txBox="1"/>
                            <wps:spPr>
                              <a:xfrm>
                                <a:off x="0" y="0"/>
                                <a:ext cx="2781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79070" cy="175895"/>
                      <wp:effectExtent l="0" t="0" r="0" b="0"/>
                      <wp:wrapNone/>
                      <wp:docPr id="241" name="Frame240"/>
                      <a:graphic xmlns:a="http://schemas.openxmlformats.org/drawingml/2006/main">
                        <a:graphicData uri="http://schemas.microsoft.com/office/word/2010/wordprocessingShape">
                          <wps:wsp>
                            <wps:cNvSpPr txBox="1"/>
                            <wps:spPr>
                              <a:xfrm>
                                <a:off x="0" y="0"/>
                                <a:ext cx="1790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1285" cy="175895"/>
                      <wp:effectExtent l="0" t="0" r="0" b="0"/>
                      <wp:wrapNone/>
                      <wp:docPr id="242" name="Frame241"/>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2423"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Three months ended </w:t>
            </w:r>
          </w:p>
        </w:tc>
        <w:tc>
          <w:tcPr>
            <w:tcW w:w="191" w:type="dxa"/>
            <w:tcBorders/>
            <w:vAlign w:val="center"/>
          </w:tcPr>
          <w:p>
            <w:pPr>
              <w:pStyle w:val="TableContents"/>
              <w:bidi w:val="0"/>
              <w:spacing w:before="1" w:after="1"/>
              <w:ind w:left="0" w:right="0" w:hanging="0"/>
              <w:jc w:val="center"/>
              <w:rPr/>
            </w:pPr>
            <w:r>
              <w:rPr/>
              <w:t>​</w: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09" w:type="dxa"/>
            <w:tcBorders/>
            <w:vAlign w:val="center"/>
          </w:tcPr>
          <w:p>
            <w:pPr>
              <w:pStyle w:val="TableContents"/>
              <w:bidi w:val="0"/>
              <w:spacing w:before="1" w:after="1"/>
              <w:ind w:left="0" w:right="0" w:hanging="0"/>
              <w:jc w:val="center"/>
              <w:rPr/>
            </w:pPr>
            <w:r>
              <w:rPr/>
              <w:t>​</w:t>
            </w:r>
          </w:p>
        </w:tc>
        <w:tc>
          <w:tcPr>
            <w:tcW w:w="765"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March 31,</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191" w:type="dxa"/>
            <w:tcBorders/>
            <w:vAlign w:val="center"/>
          </w:tcPr>
          <w:p>
            <w:pPr>
              <w:pStyle w:val="TableContents"/>
              <w:bidi w:val="0"/>
              <w:spacing w:before="1" w:after="1"/>
              <w:ind w:left="0" w:right="0" w:hanging="0"/>
              <w:jc w:val="center"/>
              <w:rPr/>
            </w:pPr>
            <w:r>
              <w:rPr/>
              <w:t>​</w:t>
            </w:r>
          </w:p>
        </w:tc>
      </w:tr>
      <w:tr>
        <w:trPr/>
        <w:tc>
          <w:tcPr>
            <w:tcW w:w="21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76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before="1" w:after="1"/>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before="1" w:after="1"/>
              <w:ind w:left="0" w:right="0" w:hanging="0"/>
              <w:jc w:val="center"/>
              <w:rPr/>
            </w:pPr>
            <w:r>
              <w:rPr/>
              <w:t> </w:t>
            </w:r>
          </w:p>
        </w:tc>
      </w:tr>
      <w:tr>
        <w:trPr/>
        <w:tc>
          <w:tcPr>
            <w:tcW w:w="2116" w:type="dxa"/>
            <w:tcBorders/>
            <w:vAlign w:val="center"/>
          </w:tcPr>
          <w:p>
            <w:pPr>
              <w:pStyle w:val="TableContents"/>
              <w:bidi w:val="0"/>
              <w:spacing w:before="1" w:after="1"/>
              <w:ind w:left="0" w:right="0" w:hanging="0"/>
              <w:jc w:val="both"/>
              <w:rPr>
                <w:rFonts w:ascii="Arial Narrow" w:hAnsi="Arial Narrow"/>
                <w:b/>
                <w:sz w:val="18"/>
              </w:rPr>
            </w:pPr>
            <w:r>
              <w:rPr>
                <w:rFonts w:ascii="Arial Narrow" w:hAnsi="Arial Narrow"/>
                <w:b/>
                <w:sz w:val="18"/>
              </w:rPr>
              <w:t>Rig utilization</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center"/>
              <w:rPr/>
            </w:pPr>
            <w:r>
              <w:rPr/>
              <w:t>​</w:t>
            </w:r>
          </w:p>
        </w:tc>
        <w:tc>
          <w:tcPr>
            <w:tcW w:w="28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99" w:type="dxa"/>
            <w:tcBorders/>
            <w:vAlign w:val="center"/>
          </w:tcPr>
          <w:p>
            <w:pPr>
              <w:pStyle w:val="TableContents"/>
              <w:bidi w:val="0"/>
              <w:spacing w:before="1" w:after="1"/>
              <w:ind w:left="0" w:right="0" w:hanging="0"/>
              <w:jc w:val="center"/>
              <w:rPr/>
            </w:pPr>
            <w:r>
              <w:rPr/>
              <w:t>​</w:t>
            </w:r>
          </w:p>
        </w:tc>
        <w:tc>
          <w:tcPr>
            <w:tcW w:w="26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center"/>
              <w:rPr/>
            </w:pPr>
            <w:r>
              <w:rPr/>
              <w:t>​</w:t>
            </w:r>
          </w:p>
        </w:tc>
        <w:tc>
          <w:tcPr>
            <w:tcW w:w="282"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left"/>
              <w:rPr/>
            </w:pPr>
            <w:r>
              <w:rPr/>
              <w:t> </w:t>
            </w:r>
          </w:p>
        </w:tc>
      </w:tr>
      <w:tr>
        <w:trPr/>
        <w:tc>
          <w:tcPr>
            <w:tcW w:w="2116" w:type="dxa"/>
            <w:tcBorders/>
            <w:shd w:fill="CEDBE0" w:val="clear"/>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Ultra-deepwater floaters</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72.6</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99"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82.1</w:t>
            </w:r>
          </w:p>
        </w:tc>
        <w:tc>
          <w:tcPr>
            <w:tcW w:w="2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64.7</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2116" w:type="dxa"/>
            <w:tcBorders/>
            <w:vAlign w:val="center"/>
          </w:tcPr>
          <w:p>
            <w:pPr>
              <w:pStyle w:val="TableContents"/>
              <w:bidi w:val="0"/>
              <w:spacing w:before="1" w:after="1"/>
              <w:ind w:left="0" w:right="0" w:hanging="0"/>
              <w:jc w:val="both"/>
              <w:rPr>
                <w:rFonts w:ascii="Arial Narrow" w:hAnsi="Arial Narrow"/>
                <w:sz w:val="18"/>
              </w:rPr>
            </w:pPr>
            <w:r>
              <w:rPr>
                <w:rFonts w:ascii="Arial Narrow" w:hAnsi="Arial Narrow"/>
                <w:sz w:val="18"/>
              </w:rPr>
              <w:t>Harsh environment floaters</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94.2</w:t>
            </w:r>
          </w:p>
        </w:tc>
        <w:tc>
          <w:tcPr>
            <w:tcW w:w="282"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499"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100.0</w:t>
            </w:r>
          </w:p>
        </w:tc>
        <w:tc>
          <w:tcPr>
            <w:tcW w:w="2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vAlign w:val="center"/>
          </w:tcPr>
          <w:p>
            <w:pPr>
              <w:pStyle w:val="TableContents"/>
              <w:bidi w:val="0"/>
              <w:spacing w:before="1" w:after="1"/>
              <w:ind w:left="0" w:right="0" w:hanging="0"/>
              <w:jc w:val="left"/>
              <w:rPr/>
            </w:pPr>
            <w:r>
              <w:rPr/>
              <w:t>​</w:t>
            </w:r>
          </w:p>
        </w:tc>
        <w:tc>
          <w:tcPr>
            <w:tcW w:w="438"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75.3</w:t>
            </w:r>
          </w:p>
        </w:tc>
        <w:tc>
          <w:tcPr>
            <w:tcW w:w="282"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1" w:after="1"/>
              <w:ind w:left="0" w:right="0" w:hanging="0"/>
              <w:jc w:val="left"/>
              <w:rPr/>
            </w:pPr>
            <w:r>
              <w:rPr/>
              <w:t>​</w:t>
            </w:r>
          </w:p>
        </w:tc>
      </w:tr>
      <w:tr>
        <w:trPr/>
        <w:tc>
          <w:tcPr>
            <w:tcW w:w="211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Total fleet average rig utilization</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78.2</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99"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86.7</w:t>
            </w:r>
          </w:p>
        </w:tc>
        <w:tc>
          <w:tcPr>
            <w:tcW w:w="2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09" w:type="dxa"/>
            <w:tcBorders/>
            <w:shd w:fill="CEDBE0" w:val="clear"/>
            <w:vAlign w:val="center"/>
          </w:tcPr>
          <w:p>
            <w:pPr>
              <w:pStyle w:val="TableContents"/>
              <w:bidi w:val="0"/>
              <w:spacing w:before="1" w:after="1"/>
              <w:ind w:left="0" w:right="0" w:hanging="0"/>
              <w:jc w:val="left"/>
              <w:rPr/>
            </w:pPr>
            <w:r>
              <w:rPr/>
              <w:t>​</w:t>
            </w:r>
          </w:p>
        </w:tc>
        <w:tc>
          <w:tcPr>
            <w:tcW w:w="438"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67.3</w:t>
            </w:r>
          </w:p>
        </w:tc>
        <w:tc>
          <w:tcPr>
            <w:tcW w:w="282"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80" w:after="120"/>
        <w:ind w:left="0" w:right="0" w:firstLine="720"/>
        <w:jc w:val="both"/>
        <w:rPr>
          <w:rFonts w:ascii="Arial Narrow" w:hAnsi="Arial Narrow"/>
          <w:sz w:val="20"/>
        </w:rPr>
      </w:pPr>
      <w:r>
        <w:rPr>
          <w:rFonts w:ascii="Arial Narrow" w:hAnsi="Arial Narrow"/>
          <w:sz w:val="20"/>
        </w:rPr>
        <w:t>Our rig utilization rate declines as a result of idle and stacked rigs and during shipyard, contract preparation and mobilization periods.  We include newbuilds in the calculation when the rigs commence operations upon acceptance by the customer.  We remove a rig from the calculation upon disposal or classification as held for sale, unless we continue to operate the rig, in which case we remove the rig upon completion or novation of the contract.  Accordingly, our rig utilization can increase when we remove idle or stacked units from our fleet.</w:t>
      </w:r>
    </w:p>
    <w:p>
      <w:pPr>
        <w:pStyle w:val="TextBody"/>
        <w:bidi w:val="0"/>
        <w:spacing w:before="0" w:after="0"/>
        <w:ind w:left="0" w:right="0" w:hanging="0"/>
        <w:jc w:val="center"/>
        <w:rPr>
          <w:rFonts w:ascii="Arial Narrow" w:hAnsi="Arial Narrow"/>
          <w:sz w:val="20"/>
        </w:rPr>
      </w:pPr>
      <w:r>
        <w:rPr>
          <w:rFonts w:ascii="Arial Narrow" w:hAnsi="Arial Narrow"/>
          <w:sz w:val="20"/>
        </w:rPr>
        <w:t>- 16 -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bottom w:val="single" w:sz="18" w:space="1" w:color="ECA44A"/>
        </w:pBdr>
        <w:bidi w:val="0"/>
        <w:spacing w:before="0" w:after="60"/>
        <w:ind w:left="0" w:right="0" w:hanging="0"/>
        <w:jc w:val="left"/>
        <w:rPr>
          <w:rFonts w:ascii="Arial Narrow" w:hAnsi="Arial Narrow"/>
          <w:b/>
          <w:caps/>
          <w:color w:val="00556F"/>
          <w:sz w:val="22"/>
        </w:rPr>
      </w:pPr>
      <w:bookmarkStart w:id="926" w:name="OperatingResults"/>
      <w:bookmarkStart w:id="927" w:name="_8dce8b24_c8d1_482f_820d_5db753ba3524"/>
      <w:bookmarkEnd w:id="926"/>
      <w:bookmarkEnd w:id="927"/>
      <w:r>
        <w:rPr>
          <w:rFonts w:ascii="Arial Narrow" w:hAnsi="Arial Narrow"/>
          <w:b/>
          <w:caps/>
          <w:color w:val="00556F"/>
          <w:sz w:val="22"/>
        </w:rPr>
        <w:t>Operating Results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Three months ended June 30, 2026 compared to the three months ended June 30, 2025</w:t>
      </w:r>
    </w:p>
    <w:p>
      <w:pPr>
        <w:pStyle w:val="TextBody"/>
        <w:bidi w:val="0"/>
        <w:spacing w:before="60" w:after="0"/>
        <w:ind w:left="0" w:right="0" w:firstLine="720"/>
        <w:jc w:val="both"/>
        <w:rPr/>
      </w:pPr>
      <w:r>
        <w:rPr>
          <w:rFonts w:ascii="Arial Narrow" w:hAnsi="Arial Narrow"/>
          <w:sz w:val="20"/>
        </w:rPr>
        <w:t>The following is an analysis of our operating results.  See “—</w:t>
      </w:r>
      <w:hyperlink w:anchor="PerformanceAndOtherKeyIndicators">
        <w:r>
          <w:rPr>
            <w:rStyle w:val="InternetLink"/>
            <w:rFonts w:ascii="Arial Narrow" w:hAnsi="Arial Narrow"/>
            <w:b w:val="false"/>
            <w:i w:val="false"/>
            <w:caps w:val="false"/>
            <w:smallCaps w:val="false"/>
            <w:sz w:val="20"/>
          </w:rPr>
          <w:t>Performance and Other Key Indicators</w:t>
        </w:r>
      </w:hyperlink>
      <w:r>
        <w:rPr>
          <w:rFonts w:ascii="Arial Narrow" w:hAnsi="Arial Narrow"/>
          <w:sz w:val="20"/>
        </w:rPr>
        <w:t>” for definitions of operating days, average daily revenue, revenue efficiency and rig utilization.</w:t>
      </w:r>
    </w:p>
    <w:tbl>
      <w:tblPr>
        <w:tblW w:w="7818" w:type="dxa"/>
        <w:jc w:val="left"/>
        <w:tblInd w:w="0" w:type="dxa"/>
        <w:tblLayout w:type="fixed"/>
        <w:tblCellMar>
          <w:top w:w="0" w:type="dxa"/>
          <w:left w:w="0" w:type="dxa"/>
          <w:bottom w:w="0" w:type="dxa"/>
          <w:right w:w="0" w:type="dxa"/>
        </w:tblCellMar>
      </w:tblPr>
      <w:tblGrid>
        <w:gridCol w:w="2551"/>
        <w:gridCol w:w="346"/>
        <w:gridCol w:w="181"/>
        <w:gridCol w:w="601"/>
        <w:gridCol w:w="331"/>
        <w:gridCol w:w="346"/>
        <w:gridCol w:w="181"/>
        <w:gridCol w:w="601"/>
        <w:gridCol w:w="331"/>
        <w:gridCol w:w="346"/>
        <w:gridCol w:w="181"/>
        <w:gridCol w:w="526"/>
        <w:gridCol w:w="346"/>
        <w:gridCol w:w="442"/>
        <w:gridCol w:w="354"/>
        <w:gridCol w:w="154"/>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19885" cy="175260"/>
                      <wp:effectExtent l="0" t="0" r="0" b="0"/>
                      <wp:wrapNone/>
                      <wp:docPr id="243" name="Frame242"/>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4935" cy="175260"/>
                      <wp:effectExtent l="0" t="0" r="0" b="0"/>
                      <wp:wrapNone/>
                      <wp:docPr id="245" name="Frame2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81635" cy="175260"/>
                      <wp:effectExtent l="0" t="0" r="0" b="0"/>
                      <wp:wrapNone/>
                      <wp:docPr id="246" name="Frame24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0185" cy="175260"/>
                      <wp:effectExtent l="0" t="0" r="0" b="0"/>
                      <wp:wrapNone/>
                      <wp:docPr id="247" name="Frame24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4935" cy="175260"/>
                      <wp:effectExtent l="0" t="0" r="0" b="0"/>
                      <wp:wrapNone/>
                      <wp:docPr id="249" name="Frame2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81635" cy="175260"/>
                      <wp:effectExtent l="0" t="0" r="0" b="0"/>
                      <wp:wrapNone/>
                      <wp:docPr id="250" name="Frame2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0185" cy="175260"/>
                      <wp:effectExtent l="0" t="0" r="0" b="0"/>
                      <wp:wrapNone/>
                      <wp:docPr id="251" name="Frame25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14935" cy="175260"/>
                      <wp:effectExtent l="0" t="0" r="0" b="0"/>
                      <wp:wrapNone/>
                      <wp:docPr id="253" name="Frame2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34010" cy="175260"/>
                      <wp:effectExtent l="0" t="0" r="0" b="0"/>
                      <wp:wrapNone/>
                      <wp:docPr id="254" name="Frame25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80670" cy="175260"/>
                      <wp:effectExtent l="0" t="0" r="0" b="0"/>
                      <wp:wrapNone/>
                      <wp:docPr id="256" name="Frame25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4790" cy="175260"/>
                      <wp:effectExtent l="0" t="0" r="0" b="0"/>
                      <wp:wrapNone/>
                      <wp:docPr id="257" name="Frame25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7790" cy="175260"/>
                      <wp:effectExtent l="0" t="0" r="0" b="0"/>
                      <wp:wrapNone/>
                      <wp:docPr id="258" name="Frame2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5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before="0" w:after="1"/>
              <w:ind w:left="0" w:right="0" w:hanging="0"/>
              <w:jc w:val="center"/>
              <w:rPr/>
            </w:pPr>
            <w:r>
              <w:rPr/>
              <w:t>  ​ ​ ​</w:t>
            </w:r>
          </w:p>
        </w:tc>
        <w:tc>
          <w:tcPr>
            <w:tcW w:w="11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2025</w:t>
            </w:r>
          </w:p>
        </w:tc>
        <w:tc>
          <w:tcPr>
            <w:tcW w:w="346" w:type="dxa"/>
            <w:tcBorders/>
            <w:vAlign w:val="center"/>
          </w:tcPr>
          <w:p>
            <w:pPr>
              <w:pStyle w:val="TableContents"/>
              <w:bidi w:val="0"/>
              <w:spacing w:before="0" w:after="1"/>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Change</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 Narrow" w:hAnsi="Arial Narrow"/>
                <w:b/>
                <w:sz w:val="16"/>
              </w:rPr>
            </w:pPr>
            <w:r>
              <w:rPr>
                <w:rFonts w:ascii="Arial Narrow" w:hAnsi="Arial Narrow"/>
                <w:b/>
                <w:sz w:val="16"/>
              </w:rPr>
              <w:t>% Change</w:t>
            </w:r>
          </w:p>
        </w:tc>
        <w:tc>
          <w:tcPr>
            <w:tcW w:w="154" w:type="dxa"/>
            <w:tcBorders/>
            <w:vAlign w:val="center"/>
          </w:tcPr>
          <w:p>
            <w:pPr>
              <w:pStyle w:val="TableContents"/>
              <w:bidi w:val="0"/>
              <w:spacing w:before="0" w:after="1"/>
              <w:ind w:left="0" w:right="0" w:hanging="0"/>
              <w:jc w:val="center"/>
              <w:rPr/>
            </w:pPr>
            <w:r>
              <w:rPr/>
              <w:t>​</w:t>
            </w:r>
          </w:p>
        </w:tc>
      </w:tr>
      <w:tr>
        <w:trPr/>
        <w:tc>
          <w:tcPr>
            <w:tcW w:w="7818"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13" w:type="dxa"/>
            <w:gridSpan w:val="12"/>
            <w:tcBorders/>
            <w:vAlign w:val="center"/>
          </w:tcPr>
          <w:p>
            <w:pPr>
              <w:pStyle w:val="TableContents"/>
              <w:bidi w:val="0"/>
              <w:spacing w:before="0" w:after="1"/>
              <w:ind w:left="0" w:right="0" w:hanging="0"/>
              <w:jc w:val="center"/>
              <w:rPr>
                <w:rFonts w:ascii="Arial Narrow" w:hAnsi="Arial Narrow"/>
                <w:b/>
                <w:sz w:val="14"/>
              </w:rPr>
            </w:pPr>
            <w:r>
              <w:rPr>
                <w:rFonts w:ascii="Arial Narrow" w:hAnsi="Arial Narrow"/>
                <w:b/>
                <w:sz w:val="14"/>
              </w:rPr>
              <w:t>(in millions, except day amounts and percentages)</w:t>
            </w:r>
          </w:p>
        </w:tc>
        <w:tc>
          <w:tcPr>
            <w:tcW w:w="35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Operating days</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1,922</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 </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2,040</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(118)</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Average daily revenue</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472,500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458,600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13,900</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3</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xml:space="preserve">Revenue efficiency </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97.0</w:t>
            </w:r>
          </w:p>
        </w:tc>
        <w:tc>
          <w:tcPr>
            <w:tcW w:w="33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96.6</w:t>
            </w:r>
          </w:p>
        </w:tc>
        <w:tc>
          <w:tcPr>
            <w:tcW w:w="33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pPr>
            <w:r>
              <w:rPr/>
              <w:t>​</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Rig utilization</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78.2</w:t>
            </w:r>
          </w:p>
        </w:tc>
        <w:tc>
          <w:tcPr>
            <w:tcW w:w="33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67.3</w:t>
            </w:r>
          </w:p>
        </w:tc>
        <w:tc>
          <w:tcPr>
            <w:tcW w:w="33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Contract drilling revenues</w:t>
            </w:r>
          </w:p>
        </w:tc>
        <w:tc>
          <w:tcPr>
            <w:tcW w:w="346" w:type="dxa"/>
            <w:tcBorders/>
            <w:shd w:fill="CEDBE0" w:val="clear"/>
            <w:vAlign w:val="center"/>
          </w:tcPr>
          <w:p>
            <w:pPr>
              <w:pStyle w:val="TableContents"/>
              <w:bidi w:val="0"/>
              <w:spacing w:before="0" w:after="1"/>
              <w:ind w:left="0" w:right="0" w:hanging="0"/>
              <w:jc w:val="left"/>
              <w:rPr/>
            </w:pPr>
            <w:r>
              <w:rPr/>
              <w:t> </w:t>
            </w:r>
          </w:p>
        </w:tc>
        <w:tc>
          <w:tcPr>
            <w:tcW w:w="18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966</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988</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(22)</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Operating and maintenance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(608)</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(599)</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Depreciation and amortization expense</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(148)</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(175)</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27</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15</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General and administrative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(56)</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(49)</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(14)</w:t>
            </w:r>
          </w:p>
        </w:tc>
        <w:tc>
          <w:tcPr>
            <w:tcW w:w="354"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Loss on impairment of assets</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pPr>
            <w:r>
              <w:rPr/>
              <w:t>—</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(1,136)</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1,136</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Gain (loss) on disposal of assets, net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7</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w:t>
            </w:r>
          </w:p>
        </w:tc>
        <w:tc>
          <w:tcPr>
            <w:tcW w:w="346"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Operating income (loss)</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152</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(964)</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1,116</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Other income (expense),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Interest income</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12</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601"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10</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shd w:fill="CEDBE0" w:val="clear"/>
            <w:vAlign w:val="center"/>
          </w:tcPr>
          <w:p>
            <w:pPr>
              <w:pStyle w:val="TableContents"/>
              <w:bidi w:val="0"/>
              <w:spacing w:before="0" w:after="1"/>
              <w:ind w:left="0" w:right="0" w:hanging="0"/>
              <w:jc w:val="left"/>
              <w:rPr/>
            </w:pPr>
            <w:r>
              <w:rPr/>
              <w:t>​</w:t>
            </w:r>
          </w:p>
        </w:tc>
        <w:tc>
          <w:tcPr>
            <w:tcW w:w="526"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shd w:fill="CEDBE0" w:val="cle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20</w:t>
            </w:r>
          </w:p>
        </w:tc>
        <w:tc>
          <w:tcPr>
            <w:tcW w:w="354"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Interest expense</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(112)</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132</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Other, net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pPr>
            <w:r>
              <w:rPr/>
              <w:t>—</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(27)</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27</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184</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(1,093)</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1,277</w:t>
            </w:r>
          </w:p>
        </w:tc>
        <w:tc>
          <w:tcPr>
            <w:tcW w:w="34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551" w:type="dxa"/>
            <w:tcBorders/>
            <w:shd w:fill="CEDBE0" w:val="cle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Income tax (expense) benefit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(14)</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155</w:t>
            </w:r>
          </w:p>
        </w:tc>
        <w:tc>
          <w:tcPr>
            <w:tcW w:w="331" w:type="dxa"/>
            <w:tcBorders/>
            <w:shd w:fill="CEDBE0" w:val="clear"/>
            <w:vAlign w:val="center"/>
          </w:tcPr>
          <w:p>
            <w:pPr>
              <w:pStyle w:val="TableContents"/>
              <w:bidi w:val="0"/>
              <w:spacing w:before="0" w:after="1"/>
              <w:ind w:left="0" w:right="0" w:hanging="0"/>
              <w:jc w:val="left"/>
              <w:rPr/>
            </w:pPr>
            <w:r>
              <w:rPr/>
              <w:t>​</w:t>
            </w:r>
          </w:p>
        </w:tc>
        <w:tc>
          <w:tcPr>
            <w:tcW w:w="346" w:type="dxa"/>
            <w:tcBorders/>
            <w:shd w:fill="CEDBE0"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(169)</w:t>
            </w:r>
          </w:p>
        </w:tc>
        <w:tc>
          <w:tcPr>
            <w:tcW w:w="346" w:type="dxa"/>
            <w:tcBorders/>
            <w:shd w:fill="CEDBE0" w:val="cle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EDBE0" w:val="clear"/>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shd w:fill="CEDBE0" w:val="clear"/>
            <w:vAlign w:val="center"/>
          </w:tcPr>
          <w:p>
            <w:pPr>
              <w:pStyle w:val="TableContents"/>
              <w:bidi w:val="0"/>
              <w:spacing w:before="0" w:after="1"/>
              <w:ind w:left="0" w:right="0" w:hanging="0"/>
              <w:jc w:val="left"/>
              <w:rPr/>
            </w:pPr>
            <w:r>
              <w:rPr/>
              <w:t>​</w:t>
            </w:r>
          </w:p>
        </w:tc>
        <w:tc>
          <w:tcPr>
            <w:tcW w:w="154" w:type="dxa"/>
            <w:tcBorders/>
            <w:shd w:fill="CEDBE0"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Net income (loss)</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170</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(938)</w:t>
            </w:r>
          </w:p>
        </w:tc>
        <w:tc>
          <w:tcPr>
            <w:tcW w:w="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Arial Narrow" w:hAnsi="Arial Narrow"/>
                <w:sz w:val="18"/>
              </w:rPr>
            </w:pPr>
            <w:r>
              <w:rPr>
                <w:rFonts w:ascii="Arial Narrow" w:hAnsi="Arial Narrow"/>
                <w:sz w:val="18"/>
              </w:rPr>
              <w:t>$</w:t>
            </w:r>
          </w:p>
        </w:tc>
        <w:tc>
          <w:tcPr>
            <w:tcW w:w="526" w:type="dxa"/>
            <w:tcBorders>
              <w:bottom w:val="single" w:sz="1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1,108</w:t>
            </w:r>
          </w:p>
        </w:tc>
        <w:tc>
          <w:tcPr>
            <w:tcW w:w="346" w:type="dxa"/>
            <w:tcBorders/>
            <w:vAlign w:val="center"/>
          </w:tcPr>
          <w:p>
            <w:pPr>
              <w:pStyle w:val="TableContents"/>
              <w:bidi w:val="0"/>
              <w:spacing w:before="0" w:after="1"/>
              <w:ind w:left="0" w:right="0" w:hanging="0"/>
              <w:jc w:val="left"/>
              <w:rPr/>
            </w:pPr>
            <w:r>
              <w:rPr/>
              <w:t>​</w:t>
            </w:r>
          </w:p>
        </w:tc>
        <w:tc>
          <w:tcPr>
            <w:tcW w:w="442" w:type="dxa"/>
            <w:tcBorders>
              <w:bottom w:val="single" w:sz="12" w:space="0" w:color="000000"/>
            </w:tcBorders>
            <w:tcMar>
              <w:bottom w:w="28" w:type="dxa"/>
            </w:tcMar>
            <w:vAlign w:val="center"/>
          </w:tcPr>
          <w:p>
            <w:pPr>
              <w:pStyle w:val="TableContents"/>
              <w:bidi w:val="0"/>
              <w:spacing w:before="0" w:after="1"/>
              <w:ind w:left="0" w:right="0" w:hanging="0"/>
              <w:jc w:val="right"/>
              <w:rPr>
                <w:rFonts w:ascii="Arial Narrow" w:hAnsi="Arial Narrow"/>
                <w:sz w:val="18"/>
              </w:rPr>
            </w:pPr>
            <w:r>
              <w:rPr>
                <w:rFonts w:ascii="Arial Narrow" w:hAnsi="Arial Narrow"/>
                <w:sz w:val="18"/>
              </w:rPr>
              <w:t>nm</w:t>
            </w:r>
          </w:p>
        </w:tc>
        <w:tc>
          <w:tcPr>
            <w:tcW w:w="354"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pBdr/>
        <w:bidi w:val="0"/>
        <w:spacing w:before="0" w:after="60"/>
        <w:ind w:left="0" w:right="0" w:hanging="360"/>
        <w:jc w:val="both"/>
        <w:rPr/>
      </w:pPr>
      <w:r>
        <w:rPr/>
        <w:t>“</w:t>
      </w:r>
      <w:r>
        <w:rPr>
          <w:rFonts w:ascii="Arial Narrow" w:hAnsi="Arial Narrow"/>
          <w:sz w:val="18"/>
        </w:rPr>
        <w:t>nm” means not meaningful.</w:t>
      </w:r>
    </w:p>
    <w:p>
      <w:pPr>
        <w:pStyle w:val="TextBody"/>
        <w:bidi w:val="0"/>
        <w:spacing w:before="180" w:after="120"/>
        <w:ind w:left="0" w:right="0" w:firstLine="720"/>
        <w:jc w:val="both"/>
        <w:rPr>
          <w:rFonts w:ascii="Arial Narrow" w:hAnsi="Arial Narrow"/>
          <w:sz w:val="20"/>
        </w:rPr>
      </w:pPr>
      <w:r>
        <w:rPr>
          <w:rFonts w:ascii="Arial Narrow" w:hAnsi="Arial Narrow"/>
          <w:b/>
          <w:sz w:val="20"/>
        </w:rPr>
        <w:t>Contract drilling revenues</w:t>
      </w:r>
      <w:r>
        <w:rPr>
          <w:rFonts w:ascii="Arial Narrow" w:hAnsi="Arial Narrow"/>
          <w:sz w:val="20"/>
        </w:rPr>
        <w:t>—Contract drilling revenues decreased for the three months ended June 30, 2026, compared to the three months ended June 30, 2025, primarily due to approximately $50 million resulting from decreased rig utilization for the comparable fleet, considering six idle rigs in the earlier-year utilization rate that were classified as held for sale and sold subsequent to June 30, 2025.  This decrease was partially offset by the following increases: (a) approximately $15 million resulting from higher average daily revenues, (b) approximately $10 million resulting from increased reimbursement revenues, and (c) approximately $5 million resulting from improved revenue efficiency for the active fleet.</w:t>
      </w:r>
    </w:p>
    <w:p>
      <w:pPr>
        <w:pStyle w:val="TextBody"/>
        <w:bidi w:val="0"/>
        <w:spacing w:before="60" w:after="120"/>
        <w:ind w:left="0" w:right="0" w:firstLine="720"/>
        <w:jc w:val="both"/>
        <w:rPr>
          <w:rFonts w:ascii="Arial Narrow" w:hAnsi="Arial Narrow"/>
          <w:sz w:val="20"/>
        </w:rPr>
      </w:pPr>
      <w:r>
        <w:rPr>
          <w:rFonts w:ascii="Arial Narrow" w:hAnsi="Arial Narrow"/>
          <w:b/>
          <w:sz w:val="20"/>
        </w:rPr>
        <w:t>Costs and expenses</w:t>
      </w:r>
      <w:r>
        <w:rPr>
          <w:rFonts w:ascii="Arial Narrow" w:hAnsi="Arial Narrow"/>
          <w:sz w:val="20"/>
        </w:rPr>
        <w:t>—Operating and maintenance costs and expenses increased for the three months ended June 30, 2026, compared to the three months ended June 30, 2025, primarily due to the following increases: (a) approximately $15 million resulting from personnel costs and (b) approximately $10 million resulting from reimbursable costs.  These increases were partially offset by the following decreases: (a) approximately $5 million resulting from rigs sold, (b) approximately $5 million resulting from lower in-service costs related to additional services and contract preparation cost recognition, and (c) approximately $5 million resulting from lower asset maintenance costs.</w:t>
      </w:r>
    </w:p>
    <w:p>
      <w:pPr>
        <w:pStyle w:val="TextBody"/>
        <w:bidi w:val="0"/>
        <w:spacing w:before="60" w:after="120"/>
        <w:ind w:left="0" w:right="0" w:firstLine="720"/>
        <w:jc w:val="both"/>
        <w:rPr>
          <w:rFonts w:ascii="Arial Narrow" w:hAnsi="Arial Narrow"/>
          <w:sz w:val="20"/>
        </w:rPr>
      </w:pPr>
      <w:r>
        <w:rPr>
          <w:rFonts w:ascii="Arial Narrow" w:hAnsi="Arial Narrow"/>
          <w:sz w:val="20"/>
        </w:rPr>
        <w:t>Depreciation and amortization expense decreased for the three months ended June 30, 2026, compared to the three months ended June 30, 2025, primarily due to a $30 million reduction resulting from rigs sold or classified as held for sale.</w:t>
      </w:r>
    </w:p>
    <w:p>
      <w:pPr>
        <w:pStyle w:val="TextBody"/>
        <w:bidi w:val="0"/>
        <w:spacing w:before="60" w:after="120"/>
        <w:ind w:left="0" w:right="0" w:firstLine="720"/>
        <w:jc w:val="both"/>
        <w:rPr>
          <w:rFonts w:ascii="Arial Narrow" w:hAnsi="Arial Narrow"/>
          <w:sz w:val="20"/>
        </w:rPr>
      </w:pPr>
      <w:r>
        <w:rPr>
          <w:rFonts w:ascii="Arial Narrow" w:hAnsi="Arial Narrow"/>
          <w:sz w:val="20"/>
        </w:rPr>
        <w:t>General and administrative costs and expenses increased for the three months ended June 30, 2026, compared to the three months ended June 30, 2025, primarily due to the following: (a) $11 million of acquisition costs and (b) $3 million of integration costs, both of which recognized in the current-year period with no comparable activity in the earlier year, partially offset by (c) $7 million resulting from decreased personnel costs.</w:t>
      </w:r>
    </w:p>
    <w:p>
      <w:pPr>
        <w:pStyle w:val="TextBody"/>
        <w:bidi w:val="0"/>
        <w:spacing w:before="60" w:after="120"/>
        <w:ind w:left="0" w:right="0" w:firstLine="720"/>
        <w:jc w:val="both"/>
        <w:rPr>
          <w:rFonts w:ascii="Arial Narrow" w:hAnsi="Arial Narrow"/>
          <w:sz w:val="20"/>
        </w:rPr>
      </w:pPr>
      <w:r>
        <w:rPr>
          <w:rFonts w:ascii="Arial Narrow" w:hAnsi="Arial Narrow"/>
          <w:b/>
          <w:sz w:val="20"/>
        </w:rPr>
        <w:t>Impairment of assets</w:t>
      </w:r>
      <w:r>
        <w:rPr>
          <w:rFonts w:ascii="Arial Narrow" w:hAnsi="Arial Narrow"/>
          <w:sz w:val="20"/>
        </w:rPr>
        <w:t xml:space="preserve">—In the three months ended June 30, 2025, we recognized a loss on impairment of the ultra-deepwater floaters </w:t>
      </w:r>
      <w:r>
        <w:rPr>
          <w:rFonts w:ascii="Arial Narrow" w:hAnsi="Arial Narrow"/>
          <w:i/>
          <w:sz w:val="20"/>
        </w:rPr>
        <w:t>Discoverer Luanda</w:t>
      </w:r>
      <w:r>
        <w:rPr>
          <w:rFonts w:ascii="Arial Narrow" w:hAnsi="Arial Narrow"/>
          <w:sz w:val="20"/>
        </w:rPr>
        <w:t xml:space="preserve"> and </w:t>
      </w:r>
      <w:r>
        <w:rPr>
          <w:rFonts w:ascii="Arial Narrow" w:hAnsi="Arial Narrow"/>
          <w:i/>
          <w:sz w:val="20"/>
        </w:rPr>
        <w:t>GSF Development Driller I</w:t>
      </w:r>
      <w:r>
        <w:rPr>
          <w:rFonts w:ascii="Arial Narrow" w:hAnsi="Arial Narrow"/>
          <w:sz w:val="20"/>
        </w:rPr>
        <w:t xml:space="preserve">, together with related assets, which we determined were impaired at the time we classified them as held for sale, and the ultra-deepwater floaters </w:t>
      </w:r>
      <w:r>
        <w:rPr>
          <w:rFonts w:ascii="Arial Narrow" w:hAnsi="Arial Narrow"/>
          <w:i/>
          <w:sz w:val="20"/>
        </w:rPr>
        <w:t>Development Driller III</w:t>
      </w:r>
      <w:r>
        <w:rPr>
          <w:rFonts w:ascii="Arial Narrow" w:hAnsi="Arial Narrow"/>
          <w:sz w:val="20"/>
        </w:rPr>
        <w:t xml:space="preserve"> and </w:t>
      </w:r>
      <w:r>
        <w:rPr>
          <w:rFonts w:ascii="Arial Narrow" w:hAnsi="Arial Narrow"/>
          <w:i/>
          <w:sz w:val="20"/>
        </w:rPr>
        <w:t>Discoverer Inspiration</w:t>
      </w:r>
      <w:r>
        <w:rPr>
          <w:rFonts w:ascii="Arial Narrow" w:hAnsi="Arial Narrow"/>
          <w:sz w:val="20"/>
        </w:rPr>
        <w:t>, together with related assets, which were previously classified as held for sale and determined to be further impaired.</w:t>
      </w:r>
    </w:p>
    <w:p>
      <w:pPr>
        <w:pStyle w:val="TextBody"/>
        <w:bidi w:val="0"/>
        <w:spacing w:before="60" w:after="120"/>
        <w:ind w:left="0" w:right="0" w:firstLine="720"/>
        <w:jc w:val="both"/>
        <w:rPr>
          <w:rFonts w:ascii="Arial Narrow" w:hAnsi="Arial Narrow"/>
          <w:sz w:val="20"/>
        </w:rPr>
      </w:pPr>
      <w:r>
        <w:rPr>
          <w:rFonts w:ascii="Arial Narrow" w:hAnsi="Arial Narrow"/>
          <w:b/>
          <w:sz w:val="20"/>
        </w:rPr>
        <w:t>Disposal of assets</w:t>
      </w:r>
      <w:r>
        <w:rPr>
          <w:rFonts w:ascii="Arial Narrow" w:hAnsi="Arial Narrow"/>
          <w:sz w:val="20"/>
        </w:rPr>
        <w:t>—In the three months ended June 30, 2026 and 2025, we recognized a net loss and a net gain, respectively, on disposal of assets unrelated to rig sales.</w:t>
      </w:r>
    </w:p>
    <w:p>
      <w:pPr>
        <w:pStyle w:val="TextBody"/>
        <w:bidi w:val="0"/>
        <w:spacing w:before="60" w:after="120"/>
        <w:ind w:left="0" w:right="0" w:firstLine="720"/>
        <w:jc w:val="both"/>
        <w:rPr>
          <w:rFonts w:ascii="Arial Narrow" w:hAnsi="Arial Narrow"/>
          <w:sz w:val="20"/>
        </w:rPr>
      </w:pPr>
      <w:r>
        <w:rPr>
          <w:rFonts w:ascii="Arial Narrow" w:hAnsi="Arial Narrow"/>
          <w:b/>
          <w:sz w:val="20"/>
        </w:rPr>
        <w:t>Other income and expense</w:t>
      </w:r>
      <w:r>
        <w:rPr>
          <w:rFonts w:ascii="Arial Narrow" w:hAnsi="Arial Narrow"/>
          <w:sz w:val="20"/>
        </w:rPr>
        <w:t>—Interest expense decreased in the three months ended June 30, 2026, compared to the three months ended June 30, 2025, primarily due to the following: (a) $105 million decreased interest resulting from changes to the fair value of the bifurcated compound exchange feature embedded in the indenture governing the 4.625% senior guaranteed exchangeable bonds due September 2029 (the “4.625% Exchangeable Bonds”) and (b) $36 million decreased interest resulting from debt repaid as scheduled or early retired, partially offset by (c) $10 million increased interest resulting from debt issued in the earlier year.</w:t>
      </w:r>
    </w:p>
    <w:p>
      <w:pPr>
        <w:pStyle w:val="TextBody"/>
        <w:bidi w:val="0"/>
        <w:spacing w:before="0" w:after="0"/>
        <w:ind w:left="0" w:right="0" w:hanging="0"/>
        <w:jc w:val="center"/>
        <w:rPr>
          <w:rFonts w:ascii="Arial Narrow" w:hAnsi="Arial Narrow"/>
          <w:sz w:val="20"/>
        </w:rPr>
      </w:pPr>
      <w:r>
        <w:rPr>
          <w:rFonts w:ascii="Arial Narrow" w:hAnsi="Arial Narrow"/>
          <w:sz w:val="20"/>
        </w:rPr>
        <w:t>- 17 -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sz w:val="20"/>
        </w:rPr>
        <w:t>Other expense, net, decreased in the three months ended June 30, 2026, compared to the three months ended June 30, 2025, primarily due to a loss of $24 million associated with the issuance of additional Transocean Ltd. shares to certain holders of 4.00% senior guaranteed exchangeable bonds due December 2025 (the “4.00% Exchangeable Bonds”) in the earlier year with no comparable activity in the current-year period.</w:t>
      </w:r>
    </w:p>
    <w:p>
      <w:pPr>
        <w:pStyle w:val="TextBody"/>
        <w:bidi w:val="0"/>
        <w:spacing w:before="60" w:after="120"/>
        <w:ind w:left="0" w:right="0" w:firstLine="720"/>
        <w:jc w:val="both"/>
        <w:rPr>
          <w:rFonts w:ascii="Arial Narrow" w:hAnsi="Arial Narrow"/>
          <w:sz w:val="20"/>
        </w:rPr>
      </w:pPr>
      <w:r>
        <w:rPr>
          <w:rFonts w:ascii="Arial Narrow" w:hAnsi="Arial Narrow"/>
          <w:b/>
          <w:sz w:val="20"/>
        </w:rPr>
        <w:t>Income tax expense or benefit</w:t>
      </w:r>
      <w:r>
        <w:rPr>
          <w:rFonts w:ascii="Arial Narrow" w:hAnsi="Arial Narrow"/>
          <w:sz w:val="20"/>
        </w:rPr>
        <w:t>—In the three months ended June 30, 2026 and 2025, our effective tax rate was 7.8% percent and 14.2 percent, respectively, based on income or loss before income taxes.  In the three months ended June 30, 2026 and 2025, the effect of various discrete period tax items was a net tax benefit of $24 million and $203 million, respectively.  In the three months ended June 30, 2026, such discrete items were primarily related to valuation allowance adjustments.  In the three months ended June 30, 2025, such discrete items included changes to various uncertain tax positions, valuation allowances and rig basis changes related to impairment.  In the three months ended June 30, 2026 and 2025, our effective tax rate, excluding discrete items, was 19.4 percent and 70.0 percent, respectively, based on income before income taxes.</w:t>
      </w:r>
    </w:p>
    <w:p>
      <w:pPr>
        <w:pStyle w:val="TextBody"/>
        <w:bidi w:val="0"/>
        <w:spacing w:before="60" w:after="120"/>
        <w:ind w:left="0" w:right="0" w:firstLine="720"/>
        <w:jc w:val="both"/>
        <w:rPr>
          <w:rFonts w:ascii="Arial Narrow" w:hAnsi="Arial Narrow"/>
          <w:sz w:val="20"/>
        </w:rPr>
      </w:pPr>
      <w:r>
        <w:rPr>
          <w:rFonts w:ascii="Arial Narrow" w:hAnsi="Arial Narrow"/>
          <w:sz w:val="20"/>
        </w:rPr>
        <w:t>Due to our operating activities and organizational structure, our income tax expense or benefit does not change proportionally with our income or loss before income taxes.  We may have subsidiaries with tax expense on taxable earnings that exceeds the tax benefits in other jurisdictions, or vice versa, which sometimes results in a negative effective tax rate or unusually large effective tax rates relative to consolidated income or loss before income tax expense or benefit.  Our earnings are unevenly distributed across jurisdictions and may experience variability in timing among interim periods throughout the year, and such variability may influence the allocation of income tax expense or benefit to the respective interim period.  The annual effective tax rate used to allocate income tax expense or benefit to interim periods may also be influenced by the removal of loss jurisdictions from the calculations.  Our rig operating structures further complicate our tax calculations, especially in instances where we have more than one operating structure for the taxing jurisdiction and, thus, more than one method of calculating taxes depending on the operating structure utilized by the rig under the contract.</w:t>
      </w:r>
    </w:p>
    <w:p>
      <w:pPr>
        <w:pStyle w:val="TextBody"/>
        <w:bidi w:val="0"/>
        <w:spacing w:before="180" w:after="60"/>
        <w:ind w:left="0" w:right="0" w:hanging="0"/>
        <w:jc w:val="left"/>
        <w:rPr>
          <w:rFonts w:ascii="Arial Narrow" w:hAnsi="Arial Narrow"/>
          <w:b/>
          <w:i/>
          <w:color w:val="00556F"/>
          <w:sz w:val="20"/>
        </w:rPr>
      </w:pPr>
      <w:r>
        <w:rPr>
          <w:rFonts w:ascii="Arial Narrow" w:hAnsi="Arial Narrow"/>
          <w:b/>
          <w:i/>
          <w:color w:val="00556F"/>
          <w:sz w:val="20"/>
        </w:rPr>
        <w:t>Six months ended June 30, 2026 compared to the six months ended June 30, 2025</w:t>
      </w:r>
    </w:p>
    <w:p>
      <w:pPr>
        <w:pStyle w:val="TextBody"/>
        <w:bidi w:val="0"/>
        <w:spacing w:before="60" w:after="120"/>
        <w:ind w:left="0" w:right="0" w:hanging="0"/>
        <w:jc w:val="both"/>
        <w:rPr/>
      </w:pPr>
      <w:r>
        <w:rPr>
          <w:rFonts w:ascii="Arial Narrow" w:hAnsi="Arial Narrow"/>
          <w:sz w:val="20"/>
        </w:rPr>
        <w:t>The following is an analysis of our operating results.  See “—</w:t>
      </w:r>
      <w:hyperlink w:anchor="PerformanceAndOtherKeyIndicators">
        <w:r>
          <w:rPr>
            <w:rStyle w:val="InternetLink"/>
            <w:rFonts w:ascii="Arial Narrow" w:hAnsi="Arial Narrow"/>
            <w:b w:val="false"/>
            <w:i w:val="false"/>
            <w:caps w:val="false"/>
            <w:smallCaps w:val="false"/>
            <w:sz w:val="20"/>
          </w:rPr>
          <w:t xml:space="preserve">Performance and Other Key Indicators” </w:t>
        </w:r>
      </w:hyperlink>
      <w:r>
        <w:rPr>
          <w:rFonts w:ascii="Arial Narrow" w:hAnsi="Arial Narrow"/>
          <w:sz w:val="20"/>
        </w:rPr>
        <w:t>for definitions of operating days, average daily revenue, revenue efficiency and rig utilization.</w:t>
      </w:r>
    </w:p>
    <w:tbl>
      <w:tblPr>
        <w:tblW w:w="7855" w:type="dxa"/>
        <w:jc w:val="left"/>
        <w:tblInd w:w="0" w:type="dxa"/>
        <w:tblLayout w:type="fixed"/>
        <w:tblCellMar>
          <w:top w:w="0" w:type="dxa"/>
          <w:left w:w="0" w:type="dxa"/>
          <w:bottom w:w="0" w:type="dxa"/>
          <w:right w:w="0" w:type="dxa"/>
        </w:tblCellMar>
      </w:tblPr>
      <w:tblGrid>
        <w:gridCol w:w="2551"/>
        <w:gridCol w:w="346"/>
        <w:gridCol w:w="181"/>
        <w:gridCol w:w="601"/>
        <w:gridCol w:w="331"/>
        <w:gridCol w:w="346"/>
        <w:gridCol w:w="181"/>
        <w:gridCol w:w="601"/>
        <w:gridCol w:w="331"/>
        <w:gridCol w:w="346"/>
        <w:gridCol w:w="181"/>
        <w:gridCol w:w="526"/>
        <w:gridCol w:w="346"/>
        <w:gridCol w:w="469"/>
        <w:gridCol w:w="327"/>
        <w:gridCol w:w="19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619885" cy="175260"/>
                      <wp:effectExtent l="0" t="0" r="0" b="0"/>
                      <wp:wrapNone/>
                      <wp:docPr id="259" name="Frame25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14935" cy="175260"/>
                      <wp:effectExtent l="0" t="0" r="0" b="0"/>
                      <wp:wrapNone/>
                      <wp:docPr id="261" name="Frame2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81635" cy="175260"/>
                      <wp:effectExtent l="0" t="0" r="0" b="0"/>
                      <wp:wrapNone/>
                      <wp:docPr id="262" name="Frame26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0185" cy="175260"/>
                      <wp:effectExtent l="0" t="0" r="0" b="0"/>
                      <wp:wrapNone/>
                      <wp:docPr id="263" name="Frame26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14935" cy="175260"/>
                      <wp:effectExtent l="0" t="0" r="0" b="0"/>
                      <wp:wrapNone/>
                      <wp:docPr id="265" name="Frame2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81635" cy="175260"/>
                      <wp:effectExtent l="0" t="0" r="0" b="0"/>
                      <wp:wrapNone/>
                      <wp:docPr id="266" name="Frame2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0185" cy="175260"/>
                      <wp:effectExtent l="0" t="0" r="0" b="0"/>
                      <wp:wrapNone/>
                      <wp:docPr id="267" name="Frame26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14935" cy="175260"/>
                      <wp:effectExtent l="0" t="0" r="0" b="0"/>
                      <wp:wrapNone/>
                      <wp:docPr id="269" name="Frame2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34010" cy="175260"/>
                      <wp:effectExtent l="0" t="0" r="0" b="0"/>
                      <wp:wrapNone/>
                      <wp:docPr id="270" name="Frame26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7815" cy="175260"/>
                      <wp:effectExtent l="0" t="0" r="0" b="0"/>
                      <wp:wrapNone/>
                      <wp:docPr id="272" name="Frame271"/>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645" cy="175260"/>
                      <wp:effectExtent l="0" t="0" r="0" b="0"/>
                      <wp:wrapNone/>
                      <wp:docPr id="273" name="Frame27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1285" cy="175260"/>
                      <wp:effectExtent l="0" t="0" r="0" b="0"/>
                      <wp:wrapNone/>
                      <wp:docPr id="274" name="Frame27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center"/>
              <w:rPr/>
            </w:pPr>
            <w:r>
              <w:rPr/>
              <w:t>​</w:t>
            </w:r>
          </w:p>
        </w:tc>
        <w:tc>
          <w:tcPr>
            <w:tcW w:w="327"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before="0" w:after="0"/>
              <w:ind w:left="0" w:right="0" w:hanging="0"/>
              <w:jc w:val="center"/>
              <w:rPr/>
            </w:pPr>
            <w:r>
              <w:rPr/>
              <w:t>  ​ ​ ​</w:t>
            </w:r>
          </w:p>
        </w:tc>
        <w:tc>
          <w:tcPr>
            <w:tcW w:w="11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2025</w:t>
            </w:r>
          </w:p>
        </w:tc>
        <w:tc>
          <w:tcPr>
            <w:tcW w:w="346" w:type="dxa"/>
            <w:tcBorders/>
            <w:vAlign w:val="center"/>
          </w:tcPr>
          <w:p>
            <w:pPr>
              <w:pStyle w:val="TableContents"/>
              <w:bidi w:val="0"/>
              <w:spacing w:before="0" w:after="0"/>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Change</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 Change</w:t>
            </w:r>
          </w:p>
        </w:tc>
        <w:tc>
          <w:tcPr>
            <w:tcW w:w="191" w:type="dxa"/>
            <w:tcBorders/>
            <w:vAlign w:val="center"/>
          </w:tcPr>
          <w:p>
            <w:pPr>
              <w:pStyle w:val="TableContents"/>
              <w:bidi w:val="0"/>
              <w:spacing w:before="0" w:after="0"/>
              <w:ind w:left="0" w:right="0" w:hanging="0"/>
              <w:jc w:val="center"/>
              <w:rPr/>
            </w:pPr>
            <w:r>
              <w:rPr/>
              <w:t>​</w:t>
            </w:r>
          </w:p>
        </w:tc>
      </w:tr>
      <w:tr>
        <w:trPr/>
        <w:tc>
          <w:tcPr>
            <w:tcW w:w="785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440" w:type="dxa"/>
            <w:gridSpan w:val="1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(in millions, except day amounts and percentages)</w:t>
            </w:r>
          </w:p>
        </w:tc>
        <w:tc>
          <w:tcPr>
            <w:tcW w:w="327"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5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center"/>
              <w:rPr/>
            </w:pPr>
            <w:r>
              <w:rPr/>
              <w:t>​</w:t>
            </w:r>
          </w:p>
        </w:tc>
        <w:tc>
          <w:tcPr>
            <w:tcW w:w="327"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Operating days</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4,030</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 </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3,980</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50</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w:t>
            </w:r>
          </w:p>
        </w:tc>
        <w:tc>
          <w:tcPr>
            <w:tcW w:w="32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Average daily revenue</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474,100</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451,300</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26"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22,800</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5</w:t>
            </w:r>
          </w:p>
        </w:tc>
        <w:tc>
          <w:tcPr>
            <w:tcW w:w="327"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xml:space="preserve">Revenue efficiency </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97.2</w:t>
            </w:r>
          </w:p>
        </w:tc>
        <w:tc>
          <w:tcPr>
            <w:tcW w:w="33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96.1</w:t>
            </w:r>
          </w:p>
        </w:tc>
        <w:tc>
          <w:tcPr>
            <w:tcW w:w="33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pPr>
            <w:r>
              <w:rPr/>
              <w:t>​</w:t>
            </w:r>
          </w:p>
        </w:tc>
        <w:tc>
          <w:tcPr>
            <w:tcW w:w="327" w:type="dxa"/>
            <w:tcBorders/>
            <w:shd w:fill="CEDBE0" w:val="clear"/>
            <w:vAlign w:val="center"/>
          </w:tcPr>
          <w:p>
            <w:pPr>
              <w:pStyle w:val="TableContents"/>
              <w:bidi w:val="0"/>
              <w:spacing w:before="0" w:after="0"/>
              <w:ind w:left="0" w:right="0" w:hanging="0"/>
              <w:jc w:val="lef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Rig utilization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82.5</w:t>
            </w:r>
          </w:p>
        </w:tc>
        <w:tc>
          <w:tcPr>
            <w:tcW w:w="33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65.3</w:t>
            </w:r>
          </w:p>
        </w:tc>
        <w:tc>
          <w:tcPr>
            <w:tcW w:w="33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Contract drilling revenues</w:t>
            </w:r>
          </w:p>
        </w:tc>
        <w:tc>
          <w:tcPr>
            <w:tcW w:w="346" w:type="dxa"/>
            <w:tcBorders/>
            <w:shd w:fill="CEDBE0" w:val="clear"/>
            <w:vAlign w:val="center"/>
          </w:tcPr>
          <w:p>
            <w:pPr>
              <w:pStyle w:val="TableContents"/>
              <w:bidi w:val="0"/>
              <w:spacing w:before="0" w:after="0"/>
              <w:ind w:left="0" w:right="0" w:hanging="0"/>
              <w:jc w:val="left"/>
              <w:rPr/>
            </w:pPr>
            <w:r>
              <w:rPr/>
              <w:t> </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2,047</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1,894</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153</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8</w:t>
            </w:r>
          </w:p>
        </w:tc>
        <w:tc>
          <w:tcPr>
            <w:tcW w:w="32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Operating and maintenance expense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(1,214)</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(1,217)</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Depreciation and amortization expense</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(291)</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(351)</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60</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17</w:t>
            </w:r>
          </w:p>
        </w:tc>
        <w:tc>
          <w:tcPr>
            <w:tcW w:w="32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General and administrative expense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(105)</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(99)</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w:t>
            </w:r>
          </w:p>
        </w:tc>
        <w:tc>
          <w:tcPr>
            <w:tcW w:w="327"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Loss on impairment of assets</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pPr>
            <w:r>
              <w:rPr/>
              <w:t>—</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(1,136)</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1,136</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nm</w:t>
            </w:r>
          </w:p>
        </w:tc>
        <w:tc>
          <w:tcPr>
            <w:tcW w:w="327" w:type="dxa"/>
            <w:tcBorders/>
            <w:shd w:fill="CEDBE0" w:val="clear"/>
            <w:vAlign w:val="center"/>
          </w:tcPr>
          <w:p>
            <w:pPr>
              <w:pStyle w:val="TableContents"/>
              <w:bidi w:val="0"/>
              <w:spacing w:before="0" w:after="0"/>
              <w:ind w:left="0" w:right="0" w:hanging="0"/>
              <w:jc w:val="lef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Gain on disposal of assets,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(78)</w:t>
            </w:r>
          </w:p>
        </w:tc>
        <w:tc>
          <w:tcPr>
            <w:tcW w:w="327"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Operating income (loss)</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439</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(900)</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1,339</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nm</w:t>
            </w:r>
          </w:p>
        </w:tc>
        <w:tc>
          <w:tcPr>
            <w:tcW w:w="327" w:type="dxa"/>
            <w:tcBorders/>
            <w:shd w:fill="CEDBE0" w:val="clear"/>
            <w:vAlign w:val="center"/>
          </w:tcPr>
          <w:p>
            <w:pPr>
              <w:pStyle w:val="TableContents"/>
              <w:bidi w:val="0"/>
              <w:spacing w:before="0" w:after="0"/>
              <w:ind w:left="0" w:right="0" w:hanging="0"/>
              <w:jc w:val="lef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Other income (expense),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Interest income</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18</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w:t>
            </w:r>
          </w:p>
        </w:tc>
        <w:tc>
          <w:tcPr>
            <w:tcW w:w="327"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Interest expense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(256)</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(228)</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(28)</w:t>
            </w:r>
          </w:p>
        </w:tc>
        <w:tc>
          <w:tcPr>
            <w:tcW w:w="346"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w:t>
            </w:r>
          </w:p>
        </w:tc>
        <w:tc>
          <w:tcPr>
            <w:tcW w:w="327"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Loss on retirement of debt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pPr>
            <w:r>
              <w:rPr/>
              <w:t>—</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nm</w:t>
            </w:r>
          </w:p>
        </w:tc>
        <w:tc>
          <w:tcPr>
            <w:tcW w:w="327" w:type="dxa"/>
            <w:tcBorders/>
            <w:shd w:fill="CEDBE0" w:val="clear"/>
            <w:vAlign w:val="center"/>
          </w:tcPr>
          <w:p>
            <w:pPr>
              <w:pStyle w:val="TableContents"/>
              <w:bidi w:val="0"/>
              <w:spacing w:before="0" w:after="0"/>
              <w:ind w:left="0" w:right="0" w:hanging="0"/>
              <w:jc w:val="lef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Other,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(23)</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30</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nm</w:t>
            </w:r>
          </w:p>
        </w:tc>
        <w:tc>
          <w:tcPr>
            <w:tcW w:w="327"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Income (loss) before income taxes</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201</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601"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(1,133)</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shd w:fill="CEDBE0" w:val="clear"/>
            <w:vAlign w:val="center"/>
          </w:tcPr>
          <w:p>
            <w:pPr>
              <w:pStyle w:val="TableContents"/>
              <w:bidi w:val="0"/>
              <w:spacing w:before="0" w:after="0"/>
              <w:ind w:left="0" w:right="0" w:hanging="0"/>
              <w:jc w:val="left"/>
              <w:rPr/>
            </w:pPr>
            <w:r>
              <w:rPr/>
              <w:t>​</w:t>
            </w:r>
          </w:p>
        </w:tc>
        <w:tc>
          <w:tcPr>
            <w:tcW w:w="526"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1,334</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nm</w:t>
            </w:r>
          </w:p>
        </w:tc>
        <w:tc>
          <w:tcPr>
            <w:tcW w:w="327" w:type="dxa"/>
            <w:tcBorders/>
            <w:shd w:fill="CEDBE0" w:val="clear"/>
            <w:vAlign w:val="center"/>
          </w:tcPr>
          <w:p>
            <w:pPr>
              <w:pStyle w:val="TableContents"/>
              <w:bidi w:val="0"/>
              <w:spacing w:before="0" w:after="0"/>
              <w:ind w:left="0" w:right="0" w:hanging="0"/>
              <w:jc w:val="lef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Income tax benefit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116</w:t>
            </w:r>
          </w:p>
        </w:tc>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(76)</w:t>
            </w:r>
          </w:p>
        </w:tc>
        <w:tc>
          <w:tcPr>
            <w:tcW w:w="346"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(66)</w:t>
            </w:r>
          </w:p>
        </w:tc>
        <w:tc>
          <w:tcPr>
            <w:tcW w:w="327"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Net income (loss)</w:t>
            </w:r>
          </w:p>
        </w:tc>
        <w:tc>
          <w:tcPr>
            <w:tcW w:w="346" w:type="dxa"/>
            <w:tcBorders/>
            <w:shd w:fill="CEDBE0" w:val="clear"/>
            <w:vAlign w:val="center"/>
          </w:tcPr>
          <w:p>
            <w:pPr>
              <w:pStyle w:val="TableContents"/>
              <w:bidi w:val="0"/>
              <w:spacing w:before="0" w:after="0"/>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241</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(1,017)</w:t>
            </w:r>
          </w:p>
        </w:tc>
        <w:tc>
          <w:tcPr>
            <w:tcW w:w="331" w:type="dxa"/>
            <w:tcBorders/>
            <w:shd w:fill="CEDBE0" w:val="clear"/>
            <w:vAlign w:val="center"/>
          </w:tcPr>
          <w:p>
            <w:pPr>
              <w:pStyle w:val="TableContents"/>
              <w:bidi w:val="0"/>
              <w:spacing w:before="0" w:after="0"/>
              <w:ind w:left="0" w:right="0" w:hanging="0"/>
              <w:jc w:val="lef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81" w:type="dxa"/>
            <w:tcBorders>
              <w:bottom w:val="single" w:sz="12" w:space="0" w:color="000000"/>
            </w:tcBorders>
            <w:shd w:fill="CEDBE0" w:val="clear"/>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526"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1,258</w:t>
            </w:r>
          </w:p>
        </w:tc>
        <w:tc>
          <w:tcPr>
            <w:tcW w:w="346" w:type="dxa"/>
            <w:tcBorders/>
            <w:shd w:fill="CEDBE0" w:val="clear"/>
            <w:vAlign w:val="center"/>
          </w:tcPr>
          <w:p>
            <w:pPr>
              <w:pStyle w:val="TableContents"/>
              <w:bidi w:val="0"/>
              <w:spacing w:before="0" w:after="0"/>
              <w:ind w:left="0" w:right="0" w:hanging="0"/>
              <w:jc w:val="left"/>
              <w:rPr/>
            </w:pPr>
            <w:r>
              <w:rPr/>
              <w:t>​</w:t>
            </w:r>
          </w:p>
        </w:tc>
        <w:tc>
          <w:tcPr>
            <w:tcW w:w="469" w:type="dxa"/>
            <w:tcBorders>
              <w:bottom w:val="single" w:sz="1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nm</w:t>
            </w:r>
          </w:p>
        </w:tc>
        <w:tc>
          <w:tcPr>
            <w:tcW w:w="327" w:type="dxa"/>
            <w:tcBorders/>
            <w:shd w:fill="CEDBE0" w:val="clear"/>
            <w:vAlign w:val="center"/>
          </w:tcPr>
          <w:p>
            <w:pPr>
              <w:pStyle w:val="TableContents"/>
              <w:bidi w:val="0"/>
              <w:spacing w:before="0" w:after="0"/>
              <w:ind w:left="0" w:right="0" w:hanging="0"/>
              <w:jc w:val="left"/>
              <w:rPr/>
            </w:pPr>
            <w:r>
              <w:rPr/>
              <w:t>​</w:t>
            </w:r>
          </w:p>
        </w:tc>
        <w:tc>
          <w:tcPr>
            <w:tcW w:w="191" w:type="dxa"/>
            <w:tcBorders/>
            <w:shd w:fill="CEDBE0" w:val="clear"/>
            <w:vAlign w:val="center"/>
          </w:tcPr>
          <w:p>
            <w:pPr>
              <w:pStyle w:val="TableContents"/>
              <w:bidi w:val="0"/>
              <w:spacing w:before="0" w:after="0"/>
              <w:ind w:left="0" w:right="0" w:hanging="0"/>
              <w:jc w:val="left"/>
              <w:rPr/>
            </w:pPr>
            <w:r>
              <w:rPr/>
              <w:t>​</w:t>
            </w:r>
          </w:p>
        </w:tc>
      </w:tr>
    </w:tbl>
    <w:p>
      <w:pPr>
        <w:pStyle w:val="TextBody"/>
        <w:pBdr/>
        <w:bidi w:val="0"/>
        <w:spacing w:before="0" w:after="60"/>
        <w:ind w:left="0" w:right="0" w:hanging="360"/>
        <w:jc w:val="both"/>
        <w:rPr/>
      </w:pPr>
      <w:r>
        <w:rPr/>
        <w:t>“</w:t>
      </w:r>
      <w:r>
        <w:rPr>
          <w:rFonts w:ascii="Arial Narrow" w:hAnsi="Arial Narrow"/>
          <w:sz w:val="18"/>
        </w:rPr>
        <w:t>nm” means not meaningful.</w:t>
      </w:r>
    </w:p>
    <w:p>
      <w:pPr>
        <w:pStyle w:val="TextBody"/>
        <w:bidi w:val="0"/>
        <w:spacing w:before="180" w:after="120"/>
        <w:ind w:left="0" w:right="0" w:firstLine="720"/>
        <w:jc w:val="both"/>
        <w:rPr>
          <w:rFonts w:ascii="Arial Narrow" w:hAnsi="Arial Narrow"/>
          <w:sz w:val="20"/>
        </w:rPr>
      </w:pPr>
      <w:r>
        <w:rPr>
          <w:rFonts w:ascii="Arial Narrow" w:hAnsi="Arial Narrow"/>
          <w:b/>
          <w:sz w:val="20"/>
        </w:rPr>
        <w:t>Contract drilling revenues</w:t>
      </w:r>
      <w:r>
        <w:rPr>
          <w:rFonts w:ascii="Arial Narrow" w:hAnsi="Arial Narrow"/>
          <w:sz w:val="20"/>
        </w:rPr>
        <w:t>—Contract drilling revenues increased for the six months ended June 30, 2026, compared to the six months ended June 30, 2025, primarily due to the following: (a) approximately $80 million resulting from higher average daily revenues, (b) approximately $30 million resulting from increased utilization, (c) approximately $25 million resulting from increased reimbursement revenues, and (d) approximately $20 million resulting from improved revenue efficiency for the active fleet.</w:t>
      </w:r>
    </w:p>
    <w:p>
      <w:pPr>
        <w:pStyle w:val="TextBody"/>
        <w:bidi w:val="0"/>
        <w:spacing w:before="60" w:after="120"/>
        <w:ind w:left="0" w:right="0" w:firstLine="720"/>
        <w:jc w:val="both"/>
        <w:rPr>
          <w:rFonts w:ascii="Arial Narrow" w:hAnsi="Arial Narrow"/>
          <w:sz w:val="20"/>
        </w:rPr>
      </w:pPr>
      <w:r>
        <w:rPr>
          <w:rFonts w:ascii="Arial Narrow" w:hAnsi="Arial Narrow"/>
          <w:b/>
          <w:sz w:val="20"/>
        </w:rPr>
        <w:t>Costs and expenses</w:t>
      </w:r>
      <w:r>
        <w:rPr>
          <w:rFonts w:ascii="Arial Narrow" w:hAnsi="Arial Narrow"/>
          <w:sz w:val="20"/>
        </w:rPr>
        <w:t>—Operating and maintenance costs and expenses decreased for the six months ended June 30, 2026, compared to the six months ended June 30, 2025, primarily due to the following: (a) a non-cash loss of $34 million in the earlier year resulting from an unfavorable legal outcome, (b) approximately $10 million resulting from rigs sold, and (c) approximately $10 million resulting from lower asset maintenance costs.  These decreases were partially offset by the following increases: (a) approximately $25 million resulting from reimbursable costs and (b) approximately $25 million resulting from personnel costs.</w:t>
      </w:r>
    </w:p>
    <w:p>
      <w:pPr>
        <w:pStyle w:val="TextBody"/>
        <w:bidi w:val="0"/>
        <w:spacing w:before="0" w:after="0"/>
        <w:ind w:left="0" w:right="0" w:hanging="0"/>
        <w:jc w:val="center"/>
        <w:rPr>
          <w:rFonts w:ascii="Arial Narrow" w:hAnsi="Arial Narrow"/>
          <w:sz w:val="20"/>
        </w:rPr>
      </w:pPr>
      <w:r>
        <w:rPr>
          <w:rFonts w:ascii="Arial Narrow" w:hAnsi="Arial Narrow"/>
          <w:sz w:val="20"/>
        </w:rPr>
        <w:t>- 18 -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firstLine="720"/>
        <w:jc w:val="both"/>
        <w:rPr>
          <w:rFonts w:ascii="Arial Narrow" w:hAnsi="Arial Narrow"/>
          <w:sz w:val="20"/>
        </w:rPr>
      </w:pPr>
      <w:r>
        <w:rPr>
          <w:rFonts w:ascii="Arial Narrow" w:hAnsi="Arial Narrow"/>
          <w:sz w:val="20"/>
        </w:rPr>
        <w:t>Depreciation and amortization expense decreased for the six months ended June 30, 2026, compared to the six months ended June 30, 2025, primarily due to a $64 million reduction resulting from rigs sold or classified as held for sale.</w:t>
      </w:r>
    </w:p>
    <w:p>
      <w:pPr>
        <w:pStyle w:val="TextBody"/>
        <w:bidi w:val="0"/>
        <w:spacing w:before="60" w:after="120"/>
        <w:ind w:left="0" w:right="0" w:firstLine="720"/>
        <w:jc w:val="both"/>
        <w:rPr>
          <w:rFonts w:ascii="Arial Narrow" w:hAnsi="Arial Narrow"/>
          <w:sz w:val="20"/>
        </w:rPr>
      </w:pPr>
      <w:r>
        <w:rPr>
          <w:rFonts w:ascii="Arial Narrow" w:hAnsi="Arial Narrow"/>
          <w:sz w:val="20"/>
        </w:rPr>
        <w:t>General and administrative costs and expenses increased for the six months ended June 30, 2026, compared to the six months ended June 30, 2025, primarily due to the following (a) $17 million of acquisition costs and (b) $3 million of integration costs, both of which recognized in the current-year period with no comparable activity in the earlier year, partially offset by (c) $9 million resulting from decreased personnel costs and (d) $3 million of decreased legal and professional fees.</w:t>
      </w:r>
    </w:p>
    <w:p>
      <w:pPr>
        <w:pStyle w:val="TextBody"/>
        <w:bidi w:val="0"/>
        <w:spacing w:before="60" w:after="120"/>
        <w:ind w:left="0" w:right="0" w:firstLine="720"/>
        <w:jc w:val="both"/>
        <w:rPr>
          <w:rFonts w:ascii="Arial Narrow" w:hAnsi="Arial Narrow"/>
          <w:sz w:val="20"/>
        </w:rPr>
      </w:pPr>
      <w:r>
        <w:rPr>
          <w:rFonts w:ascii="Arial Narrow" w:hAnsi="Arial Narrow"/>
          <w:b/>
          <w:sz w:val="20"/>
        </w:rPr>
        <w:t>Impairment of assets</w:t>
      </w:r>
      <w:r>
        <w:rPr>
          <w:rFonts w:ascii="Arial Narrow" w:hAnsi="Arial Narrow"/>
          <w:sz w:val="20"/>
        </w:rPr>
        <w:t xml:space="preserve">—In the six months ended June 30, 2025, we recognized a loss on impairment of </w:t>
      </w:r>
      <w:r>
        <w:rPr>
          <w:rFonts w:ascii="Arial Narrow" w:hAnsi="Arial Narrow"/>
          <w:i/>
          <w:sz w:val="20"/>
        </w:rPr>
        <w:t>Discoverer Luanda</w:t>
      </w:r>
      <w:r>
        <w:rPr>
          <w:rFonts w:ascii="Arial Narrow" w:hAnsi="Arial Narrow"/>
          <w:sz w:val="20"/>
        </w:rPr>
        <w:t xml:space="preserve"> and </w:t>
      </w:r>
      <w:r>
        <w:rPr>
          <w:rFonts w:ascii="Arial Narrow" w:hAnsi="Arial Narrow"/>
          <w:i/>
          <w:sz w:val="20"/>
        </w:rPr>
        <w:t>GSF Development Driller I</w:t>
      </w:r>
      <w:r>
        <w:rPr>
          <w:rFonts w:ascii="Arial Narrow" w:hAnsi="Arial Narrow"/>
          <w:sz w:val="20"/>
        </w:rPr>
        <w:t xml:space="preserve">, together with related assets, which we determined were impaired at the time we classified them as held for sale, and </w:t>
      </w:r>
      <w:r>
        <w:rPr>
          <w:rFonts w:ascii="Arial Narrow" w:hAnsi="Arial Narrow"/>
          <w:i/>
          <w:sz w:val="20"/>
        </w:rPr>
        <w:t>Development Driller III</w:t>
      </w:r>
      <w:r>
        <w:rPr>
          <w:rFonts w:ascii="Arial Narrow" w:hAnsi="Arial Narrow"/>
          <w:sz w:val="20"/>
        </w:rPr>
        <w:t xml:space="preserve"> and </w:t>
      </w:r>
      <w:r>
        <w:rPr>
          <w:rFonts w:ascii="Arial Narrow" w:hAnsi="Arial Narrow"/>
          <w:i/>
          <w:sz w:val="20"/>
        </w:rPr>
        <w:t>Discoverer Inspiration</w:t>
      </w:r>
      <w:r>
        <w:rPr>
          <w:rFonts w:ascii="Arial Narrow" w:hAnsi="Arial Narrow"/>
          <w:sz w:val="20"/>
        </w:rPr>
        <w:t>, together with related assets, which were previously classified as held for sale and determined to be further impaired.</w:t>
      </w:r>
    </w:p>
    <w:p>
      <w:pPr>
        <w:pStyle w:val="TextBody"/>
        <w:bidi w:val="0"/>
        <w:spacing w:before="60" w:after="120"/>
        <w:ind w:left="0" w:right="0" w:firstLine="720"/>
        <w:jc w:val="both"/>
        <w:rPr>
          <w:rFonts w:ascii="Arial Narrow" w:hAnsi="Arial Narrow"/>
          <w:sz w:val="20"/>
        </w:rPr>
      </w:pPr>
      <w:r>
        <w:rPr>
          <w:rFonts w:ascii="Arial Narrow" w:hAnsi="Arial Narrow"/>
          <w:b/>
          <w:sz w:val="20"/>
        </w:rPr>
        <w:t>Disposal of assets</w:t>
      </w:r>
      <w:r>
        <w:rPr>
          <w:rFonts w:ascii="Arial Narrow" w:hAnsi="Arial Narrow"/>
          <w:sz w:val="20"/>
        </w:rPr>
        <w:t>—In the six months ended June 30, 2026, we recognized a net gain of $4 million associated with the disposal of two ultra-deepwater drillships and related assets.  In the six months ended June 30, 2026 and 2025, we recognized a net loss of $2 million and a net gain of $9 million, respectively, on disposal of assets unrelated to rig sales.</w:t>
      </w:r>
    </w:p>
    <w:p>
      <w:pPr>
        <w:pStyle w:val="TextBody"/>
        <w:bidi w:val="0"/>
        <w:spacing w:before="60" w:after="120"/>
        <w:ind w:left="0" w:right="0" w:firstLine="720"/>
        <w:jc w:val="both"/>
        <w:rPr>
          <w:rFonts w:ascii="Arial Narrow" w:hAnsi="Arial Narrow"/>
          <w:sz w:val="20"/>
        </w:rPr>
      </w:pPr>
      <w:r>
        <w:rPr>
          <w:rFonts w:ascii="Arial Narrow" w:hAnsi="Arial Narrow"/>
          <w:b/>
          <w:sz w:val="20"/>
        </w:rPr>
        <w:t>Other income and expense</w:t>
      </w:r>
      <w:r>
        <w:rPr>
          <w:rFonts w:ascii="Arial Narrow" w:hAnsi="Arial Narrow"/>
          <w:sz w:val="20"/>
        </w:rPr>
        <w:t>—Interest expense increased in the six months ended June 30, 2026, compared to the six months ended June 30, 2025, primarily due to the following: (a) $84 million increased interest resulting from changes to the fair value of the bifurcated compound exchange feature embedded in the indenture governing the 4.625% Exchangeable Bonds, (b) $20 million increased interest resulting from debt issued in the earlier year, partially offset by (c) $80 million decreased interest resulting from debt repaid as scheduled or early retired.</w:t>
      </w:r>
    </w:p>
    <w:p>
      <w:pPr>
        <w:pStyle w:val="TextBody"/>
        <w:bidi w:val="0"/>
        <w:spacing w:before="60" w:after="120"/>
        <w:ind w:left="0" w:right="0" w:firstLine="720"/>
        <w:jc w:val="both"/>
        <w:rPr>
          <w:rFonts w:ascii="Arial Narrow" w:hAnsi="Arial Narrow"/>
          <w:sz w:val="20"/>
        </w:rPr>
      </w:pPr>
      <w:r>
        <w:rPr>
          <w:rFonts w:ascii="Arial Narrow" w:hAnsi="Arial Narrow"/>
          <w:sz w:val="20"/>
        </w:rPr>
        <w:t>In the six months ended June 30, 2026, we recognized a loss on retirement of the 8.375% Senior Secured Notes.</w:t>
      </w:r>
    </w:p>
    <w:p>
      <w:pPr>
        <w:pStyle w:val="TextBody"/>
        <w:bidi w:val="0"/>
        <w:spacing w:before="60" w:after="120"/>
        <w:ind w:left="0" w:right="0" w:firstLine="720"/>
        <w:jc w:val="both"/>
        <w:rPr>
          <w:rFonts w:ascii="Arial Narrow" w:hAnsi="Arial Narrow"/>
          <w:sz w:val="20"/>
        </w:rPr>
      </w:pPr>
      <w:r>
        <w:rPr>
          <w:rFonts w:ascii="Arial Narrow" w:hAnsi="Arial Narrow"/>
          <w:sz w:val="20"/>
        </w:rPr>
        <w:t>Other income, net, increased in the six months ended June 30, 2026, compared to the six months ended June 30, 2025, primarily due to the following: (a) a loss of $24 million associated with the issuance of additional Transocean Ltd. shares to certain holders of the 4.00% Exchangeable Bonds in the earlier year with no comparable activity in the current-year period and (b) increased income of $5 million associated with our investments in the debt and equity of unconsolidated affiliates.</w:t>
      </w:r>
    </w:p>
    <w:p>
      <w:pPr>
        <w:pStyle w:val="TextBody"/>
        <w:bidi w:val="0"/>
        <w:spacing w:before="60" w:after="120"/>
        <w:ind w:left="0" w:right="0" w:firstLine="720"/>
        <w:jc w:val="both"/>
        <w:rPr>
          <w:rFonts w:ascii="Arial Narrow" w:hAnsi="Arial Narrow"/>
          <w:sz w:val="20"/>
        </w:rPr>
      </w:pPr>
      <w:r>
        <w:rPr>
          <w:rFonts w:ascii="Arial Narrow" w:hAnsi="Arial Narrow"/>
          <w:b/>
          <w:sz w:val="20"/>
        </w:rPr>
        <w:t>Income tax expense or benefit</w:t>
      </w:r>
      <w:r>
        <w:rPr>
          <w:rFonts w:ascii="Arial Narrow" w:hAnsi="Arial Narrow"/>
          <w:sz w:val="20"/>
        </w:rPr>
        <w:t>—In the six months ended June 30, 2026 and 2025, our effective tax rate was (19.8) percent and 10.3 percent, respectively, based on income or loss before income taxes.  In the six months ended June 30, 2026 and 2025, the effect of various discrete period tax items was a net tax benefit of $137 million and $189 million, respectively.  In the six months ended June 30, 2026, such discrete items included changes to operating structures and valuation allowances.  In the six months ended June 30, 2025, such discrete items included changes to various uncertain tax positions, valuation allowances and rig basis changes related to impairment.  In the six months ended June 30, 2026 and 2025, our effective tax rate, excluding discrete items, was 42.8 percent and 268.9 percent, respectively, based on income or loss before income taxes.</w:t>
      </w:r>
    </w:p>
    <w:p>
      <w:pPr>
        <w:pStyle w:val="TextBody"/>
        <w:bidi w:val="0"/>
        <w:spacing w:before="60" w:after="120"/>
        <w:ind w:left="0" w:right="0" w:firstLine="720"/>
        <w:jc w:val="both"/>
        <w:rPr>
          <w:rFonts w:ascii="Arial Narrow" w:hAnsi="Arial Narrow"/>
          <w:sz w:val="20"/>
        </w:rPr>
      </w:pPr>
      <w:r>
        <w:rPr>
          <w:rFonts w:ascii="Arial Narrow" w:hAnsi="Arial Narrow"/>
          <w:sz w:val="20"/>
        </w:rPr>
        <w:t>Due to our operating activities and organizational structure, our income tax expense or benefit does not change proportionally with our income or loss before income taxes.  We may have subsidiaries with tax expense on taxable earnings that exceeds the tax benefits in other jurisdictions, or vice versa, which sometimes results in a negative effective tax rate or unusually large effective tax rates relative to consolidated income or loss before income tax expense or benefit.  Our earnings are unevenly distributed across jurisdictions and may experience variability in timing among interim periods throughout the year, and such variability may influence the allocation of income tax expense or benefit to the respective interim period.  The annual effective tax rate used to allocate income tax expense or benefit to interim periods may also be influenced by the removal of loss jurisdictions from the calculations.  Our rig operating structures further complicate our tax calculations, especially in instances where we have more than one operating structure for the taxing jurisdiction and, thus, more than one method of calculating taxes depending on the operating structure utilized by the rig under the contract.</w:t>
      </w:r>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928" w:name="LiquidityAndCapitalResources"/>
      <w:bookmarkStart w:id="929" w:name="_723ddd24_f47a_408b_8c20_057aac3847f1"/>
      <w:bookmarkEnd w:id="928"/>
      <w:bookmarkEnd w:id="929"/>
      <w:r>
        <w:rPr>
          <w:rFonts w:ascii="Arial Narrow" w:hAnsi="Arial Narrow"/>
          <w:b/>
          <w:caps/>
          <w:color w:val="00556F"/>
          <w:sz w:val="22"/>
        </w:rPr>
        <w:t>Liquidity and Capital Resources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Sources and uses of cash</w:t>
      </w:r>
    </w:p>
    <w:p>
      <w:pPr>
        <w:pStyle w:val="TextBody"/>
        <w:bidi w:val="0"/>
        <w:spacing w:before="60" w:after="120"/>
        <w:ind w:left="0" w:right="0" w:firstLine="720"/>
        <w:jc w:val="both"/>
        <w:rPr>
          <w:rFonts w:ascii="Arial Narrow" w:hAnsi="Arial Narrow"/>
          <w:sz w:val="20"/>
        </w:rPr>
      </w:pPr>
      <w:r>
        <w:rPr>
          <w:rFonts w:ascii="Arial Narrow" w:hAnsi="Arial Narrow"/>
          <w:sz w:val="20"/>
        </w:rPr>
        <w:t>In the six months ended June 30, 2026, our primary source of cash was net cash provided by operating activities.  Our primary uses of cash were debt repayments and capital expenditures.</w:t>
      </w:r>
    </w:p>
    <w:tbl>
      <w:tblPr>
        <w:tblW w:w="6126" w:type="dxa"/>
        <w:jc w:val="left"/>
        <w:tblInd w:w="0" w:type="dxa"/>
        <w:tblLayout w:type="fixed"/>
        <w:tblCellMar>
          <w:top w:w="0" w:type="dxa"/>
          <w:left w:w="0" w:type="dxa"/>
          <w:bottom w:w="0" w:type="dxa"/>
          <w:right w:w="0" w:type="dxa"/>
        </w:tblCellMar>
      </w:tblPr>
      <w:tblGrid>
        <w:gridCol w:w="3031"/>
        <w:gridCol w:w="286"/>
        <w:gridCol w:w="181"/>
        <w:gridCol w:w="421"/>
        <w:gridCol w:w="286"/>
        <w:gridCol w:w="181"/>
        <w:gridCol w:w="541"/>
        <w:gridCol w:w="286"/>
        <w:gridCol w:w="181"/>
        <w:gridCol w:w="541"/>
        <w:gridCol w:w="19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924685" cy="175895"/>
                      <wp:effectExtent l="0" t="0" r="0" b="0"/>
                      <wp:wrapNone/>
                      <wp:docPr id="275" name="Frame274"/>
                      <a:graphic xmlns:a="http://schemas.openxmlformats.org/drawingml/2006/main">
                        <a:graphicData uri="http://schemas.microsoft.com/office/word/2010/wordprocessingShape">
                          <wps:wsp>
                            <wps:cNvSpPr txBox="1"/>
                            <wps:spPr>
                              <a:xfrm>
                                <a:off x="0" y="0"/>
                                <a:ext cx="1924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1610" cy="175895"/>
                      <wp:effectExtent l="0" t="0" r="0" b="0"/>
                      <wp:wrapNone/>
                      <wp:docPr id="276" name="Frame275"/>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14935" cy="175895"/>
                      <wp:effectExtent l="0" t="0" r="0" b="0"/>
                      <wp:wrapNone/>
                      <wp:docPr id="277" name="Frame276"/>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67335" cy="175895"/>
                      <wp:effectExtent l="0" t="0" r="0" b="0"/>
                      <wp:wrapNone/>
                      <wp:docPr id="278" name="Frame277"/>
                      <a:graphic xmlns:a="http://schemas.openxmlformats.org/drawingml/2006/main">
                        <a:graphicData uri="http://schemas.microsoft.com/office/word/2010/wordprocessingShape">
                          <wps:wsp>
                            <wps:cNvSpPr txBox="1"/>
                            <wps:spPr>
                              <a:xfrm>
                                <a:off x="0" y="0"/>
                                <a:ext cx="267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1610" cy="175895"/>
                      <wp:effectExtent l="0" t="0" r="0" b="0"/>
                      <wp:wrapNone/>
                      <wp:docPr id="279" name="Frame278"/>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14935" cy="175895"/>
                      <wp:effectExtent l="0" t="0" r="0" b="0"/>
                      <wp:wrapNone/>
                      <wp:docPr id="280" name="Frame279"/>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43535" cy="175895"/>
                      <wp:effectExtent l="0" t="0" r="0" b="0"/>
                      <wp:wrapNone/>
                      <wp:docPr id="281" name="Frame280"/>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81610" cy="175895"/>
                      <wp:effectExtent l="0" t="0" r="0" b="0"/>
                      <wp:wrapNone/>
                      <wp:docPr id="282" name="Frame281"/>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14935" cy="175895"/>
                      <wp:effectExtent l="0" t="0" r="0" b="0"/>
                      <wp:wrapNone/>
                      <wp:docPr id="283" name="Frame282"/>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43535" cy="175895"/>
                      <wp:effectExtent l="0" t="0" r="0" b="0"/>
                      <wp:wrapNone/>
                      <wp:docPr id="284" name="Frame283"/>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21285" cy="175895"/>
                      <wp:effectExtent l="0" t="0" r="0" b="0"/>
                      <wp:wrapNone/>
                      <wp:docPr id="285" name="Frame284"/>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610"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Six months ended </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61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before="1" w:after="1"/>
              <w:ind w:left="0" w:right="0" w:hanging="0"/>
              <w:jc w:val="center"/>
              <w:rPr/>
            </w:pPr>
            <w:r>
              <w:rPr/>
              <w:t>​</w:t>
            </w:r>
          </w:p>
        </w:tc>
        <w:tc>
          <w:tcPr>
            <w:tcW w:w="181" w:type="dxa"/>
            <w:tcBorders/>
            <w:vAlign w:val="center"/>
          </w:tcPr>
          <w:p>
            <w:pPr>
              <w:pStyle w:val="TableContents"/>
              <w:bidi w:val="0"/>
              <w:spacing w:before="1" w:after="1"/>
              <w:ind w:left="0" w:right="0" w:hanging="0"/>
              <w:jc w:val="center"/>
              <w:rPr/>
            </w:pPr>
            <w:r>
              <w:rPr/>
              <w:t>​</w:t>
            </w:r>
          </w:p>
        </w:tc>
        <w:tc>
          <w:tcPr>
            <w:tcW w:w="541"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  ​ ​</w:t>
            </w:r>
          </w:p>
        </w:tc>
        <w:tc>
          <w:tcPr>
            <w:tcW w:w="6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before="1" w:after="1"/>
              <w:ind w:left="0" w:right="0" w:hanging="0"/>
              <w:jc w:val="center"/>
              <w:rPr/>
            </w:pPr>
            <w:r>
              <w:rPr/>
              <w:t>  ​ ​</w:t>
            </w:r>
          </w:p>
        </w:tc>
        <w:tc>
          <w:tcPr>
            <w:tcW w:w="7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1" w:after="1"/>
              <w:ind w:left="0" w:right="0" w:hanging="0"/>
              <w:jc w:val="center"/>
              <w:rPr/>
            </w:pPr>
            <w:r>
              <w:rPr/>
              <w:t>  ​ ​</w:t>
            </w:r>
          </w:p>
        </w:tc>
        <w:tc>
          <w:tcPr>
            <w:tcW w:w="72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Change</w:t>
            </w:r>
          </w:p>
        </w:tc>
        <w:tc>
          <w:tcPr>
            <w:tcW w:w="191" w:type="dxa"/>
            <w:tcBorders/>
            <w:vAlign w:val="center"/>
          </w:tcPr>
          <w:p>
            <w:pPr>
              <w:pStyle w:val="TableContents"/>
              <w:bidi w:val="0"/>
              <w:spacing w:before="1" w:after="1"/>
              <w:ind w:left="0" w:right="0" w:hanging="0"/>
              <w:jc w:val="center"/>
              <w:rPr/>
            </w:pPr>
            <w:r>
              <w:rPr/>
              <w:t> </w:t>
            </w:r>
          </w:p>
        </w:tc>
      </w:tr>
      <w:tr>
        <w:trPr/>
        <w:tc>
          <w:tcPr>
            <w:tcW w:w="612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2618"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w:t>
            </w:r>
          </w:p>
        </w:tc>
      </w:tr>
      <w:tr>
        <w:trPr/>
        <w:tc>
          <w:tcPr>
            <w:tcW w:w="3031"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Cash flows from operating activities</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center"/>
              <w:rPr/>
            </w:pPr>
            <w:r>
              <w:rPr/>
              <w:t>​</w:t>
            </w:r>
          </w:p>
        </w:tc>
        <w:tc>
          <w:tcPr>
            <w:tcW w:w="421" w:type="dxa"/>
            <w:tcBorders/>
            <w:vAlign w:val="center"/>
          </w:tcPr>
          <w:p>
            <w:pPr>
              <w:pStyle w:val="TableContents"/>
              <w:bidi w:val="0"/>
              <w:spacing w:before="1" w:after="1"/>
              <w:ind w:left="0" w:right="0" w:hanging="0"/>
              <w:jc w:val="center"/>
              <w:rPr/>
            </w:pPr>
            <w:r>
              <w:rPr/>
              <w:t>​</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center"/>
              <w:rPr/>
            </w:pPr>
            <w:r>
              <w:rPr/>
              <w:t>​</w:t>
            </w:r>
          </w:p>
        </w:tc>
        <w:tc>
          <w:tcPr>
            <w:tcW w:w="541" w:type="dxa"/>
            <w:tcBorders/>
            <w:vAlign w:val="center"/>
          </w:tcPr>
          <w:p>
            <w:pPr>
              <w:pStyle w:val="TableContents"/>
              <w:bidi w:val="0"/>
              <w:spacing w:before="1" w:after="1"/>
              <w:ind w:left="0" w:right="0" w:hanging="0"/>
              <w:jc w:val="center"/>
              <w:rPr/>
            </w:pPr>
            <w:r>
              <w:rPr/>
              <w:t>​</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center"/>
              <w:rPr/>
            </w:pPr>
            <w:r>
              <w:rPr/>
              <w:t>​</w:t>
            </w:r>
          </w:p>
        </w:tc>
        <w:tc>
          <w:tcPr>
            <w:tcW w:w="541"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left"/>
              <w:rPr/>
            </w:pPr>
            <w:r>
              <w:rPr/>
              <w:t>​</w:t>
            </w:r>
          </w:p>
        </w:tc>
      </w:tr>
      <w:tr>
        <w:trPr/>
        <w:tc>
          <w:tcPr>
            <w:tcW w:w="303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Net income (loss)</w:t>
            </w:r>
          </w:p>
        </w:tc>
        <w:tc>
          <w:tcPr>
            <w:tcW w:w="28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241</w:t>
            </w:r>
          </w:p>
        </w:tc>
        <w:tc>
          <w:tcPr>
            <w:tcW w:w="28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(1,017)</w:t>
            </w:r>
          </w:p>
        </w:tc>
        <w:tc>
          <w:tcPr>
            <w:tcW w:w="28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1,258</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30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Non-cash items, net</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2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280</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1,328</w:t>
            </w:r>
          </w:p>
        </w:tc>
        <w:tc>
          <w:tcPr>
            <w:tcW w:w="28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54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(1,048)</w:t>
            </w:r>
          </w:p>
        </w:tc>
        <w:tc>
          <w:tcPr>
            <w:tcW w:w="191" w:type="dxa"/>
            <w:tcBorders/>
            <w:vAlign w:val="center"/>
          </w:tcPr>
          <w:p>
            <w:pPr>
              <w:pStyle w:val="TableContents"/>
              <w:bidi w:val="0"/>
              <w:spacing w:before="1" w:after="1"/>
              <w:ind w:left="0" w:right="0" w:hanging="0"/>
              <w:jc w:val="left"/>
              <w:rPr/>
            </w:pPr>
            <w:r>
              <w:rPr/>
              <w:t>​</w:t>
            </w:r>
          </w:p>
        </w:tc>
      </w:tr>
      <w:tr>
        <w:trPr/>
        <w:tc>
          <w:tcPr>
            <w:tcW w:w="303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Changes in operating assets and liabilities, net</w:t>
            </w:r>
          </w:p>
        </w:tc>
        <w:tc>
          <w:tcPr>
            <w:tcW w:w="28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42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(121)</w:t>
            </w:r>
          </w:p>
        </w:tc>
        <w:tc>
          <w:tcPr>
            <w:tcW w:w="28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(157)</w:t>
            </w:r>
          </w:p>
        </w:tc>
        <w:tc>
          <w:tcPr>
            <w:tcW w:w="286" w:type="dxa"/>
            <w:tcBorders/>
            <w:shd w:fill="CEDBE0" w:val="clear"/>
            <w:vAlign w:val="center"/>
          </w:tcPr>
          <w:p>
            <w:pPr>
              <w:pStyle w:val="TableContents"/>
              <w:bidi w:val="0"/>
              <w:spacing w:before="1" w:after="1"/>
              <w:ind w:left="0" w:right="0" w:hanging="0"/>
              <w:jc w:val="left"/>
              <w:rPr/>
            </w:pPr>
            <w:r>
              <w:rPr/>
              <w:t>​</w:t>
            </w:r>
          </w:p>
        </w:tc>
        <w:tc>
          <w:tcPr>
            <w:tcW w:w="181" w:type="dxa"/>
            <w:tcBorders>
              <w:bottom w:val="single" w:sz="2" w:space="0" w:color="000000"/>
            </w:tcBorders>
            <w:shd w:fill="CEDBE0" w:val="clear"/>
            <w:tcMar>
              <w:bottom w:w="28" w:type="dxa"/>
            </w:tcMar>
            <w:vAlign w:val="center"/>
          </w:tcPr>
          <w:p>
            <w:pPr>
              <w:pStyle w:val="TableContents"/>
              <w:bidi w:val="0"/>
              <w:spacing w:before="1" w:after="1"/>
              <w:ind w:left="0" w:right="0" w:hanging="0"/>
              <w:jc w:val="left"/>
              <w:rPr/>
            </w:pPr>
            <w:r>
              <w:rPr/>
              <w:t>​</w:t>
            </w:r>
          </w:p>
        </w:tc>
        <w:tc>
          <w:tcPr>
            <w:tcW w:w="541" w:type="dxa"/>
            <w:tcBorders>
              <w:bottom w:val="single" w:sz="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36</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3031"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left"/>
              <w:rPr/>
            </w:pPr>
            <w:r>
              <w:rPr/>
              <w:t> </w:t>
            </w:r>
          </w:p>
        </w:tc>
        <w:tc>
          <w:tcPr>
            <w:tcW w:w="18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400</w:t>
            </w:r>
          </w:p>
        </w:tc>
        <w:tc>
          <w:tcPr>
            <w:tcW w:w="286" w:type="dxa"/>
            <w:tcBorders/>
            <w:vAlign w:val="center"/>
          </w:tcPr>
          <w:p>
            <w:pPr>
              <w:pStyle w:val="TableContents"/>
              <w:bidi w:val="0"/>
              <w:spacing w:before="1" w:after="1"/>
              <w:ind w:left="0" w:right="0" w:hanging="0"/>
              <w:jc w:val="left"/>
              <w:rPr/>
            </w:pPr>
            <w:r>
              <w:rPr/>
              <w:t> </w:t>
            </w:r>
          </w:p>
        </w:tc>
        <w:tc>
          <w:tcPr>
            <w:tcW w:w="18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154</w:t>
            </w:r>
          </w:p>
        </w:tc>
        <w:tc>
          <w:tcPr>
            <w:tcW w:w="286" w:type="dxa"/>
            <w:tcBorders/>
            <w:vAlign w:val="center"/>
          </w:tcPr>
          <w:p>
            <w:pPr>
              <w:pStyle w:val="TableContents"/>
              <w:bidi w:val="0"/>
              <w:spacing w:before="1" w:after="1"/>
              <w:ind w:left="0" w:right="0" w:hanging="0"/>
              <w:jc w:val="left"/>
              <w:rPr/>
            </w:pPr>
            <w:r>
              <w:rPr/>
              <w:t> </w:t>
            </w:r>
          </w:p>
        </w:tc>
        <w:tc>
          <w:tcPr>
            <w:tcW w:w="181" w:type="dxa"/>
            <w:tcBorders>
              <w:bottom w:val="single" w:sz="12" w:space="0" w:color="000000"/>
            </w:tcBorders>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246</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120" w:after="180"/>
        <w:ind w:left="0" w:right="0" w:firstLine="720"/>
        <w:jc w:val="both"/>
        <w:rPr>
          <w:rFonts w:ascii="Arial Narrow" w:hAnsi="Arial Narrow"/>
          <w:sz w:val="20"/>
        </w:rPr>
      </w:pPr>
      <w:r>
        <w:rPr>
          <w:rFonts w:ascii="Arial Narrow" w:hAnsi="Arial Narrow"/>
          <w:sz w:val="20"/>
        </w:rPr>
        <w:t>Net cash provided by operating activities increased primarily due to (a) increased cash received from customers and (b) reduced cash paid for interest.</w:t>
      </w:r>
    </w:p>
    <w:p>
      <w:pPr>
        <w:pStyle w:val="TextBody"/>
        <w:bidi w:val="0"/>
        <w:spacing w:before="0" w:after="0"/>
        <w:ind w:left="0" w:right="0" w:hanging="0"/>
        <w:jc w:val="center"/>
        <w:rPr>
          <w:rFonts w:ascii="Arial Narrow" w:hAnsi="Arial Narrow"/>
          <w:sz w:val="20"/>
        </w:rPr>
      </w:pPr>
      <w:r>
        <w:rPr>
          <w:rFonts w:ascii="Arial Narrow" w:hAnsi="Arial Narrow"/>
          <w:sz w:val="20"/>
        </w:rPr>
        <w:t>- 19 -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tbl>
      <w:tblPr>
        <w:tblW w:w="8038" w:type="dxa"/>
        <w:jc w:val="left"/>
        <w:tblInd w:w="0" w:type="dxa"/>
        <w:tblLayout w:type="fixed"/>
        <w:tblCellMar>
          <w:top w:w="0" w:type="dxa"/>
          <w:left w:w="0" w:type="dxa"/>
          <w:bottom w:w="0" w:type="dxa"/>
          <w:right w:w="0" w:type="dxa"/>
        </w:tblCellMar>
      </w:tblPr>
      <w:tblGrid>
        <w:gridCol w:w="5266"/>
        <w:gridCol w:w="286"/>
        <w:gridCol w:w="186"/>
        <w:gridCol w:w="356"/>
        <w:gridCol w:w="294"/>
        <w:gridCol w:w="186"/>
        <w:gridCol w:w="356"/>
        <w:gridCol w:w="286"/>
        <w:gridCol w:w="261"/>
        <w:gridCol w:w="370"/>
        <w:gridCol w:w="19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343910" cy="175895"/>
                      <wp:effectExtent l="0" t="0" r="0" b="0"/>
                      <wp:wrapNone/>
                      <wp:docPr id="286" name="Frame285"/>
                      <a:graphic xmlns:a="http://schemas.openxmlformats.org/drawingml/2006/main">
                        <a:graphicData uri="http://schemas.microsoft.com/office/word/2010/wordprocessingShape">
                          <wps:wsp>
                            <wps:cNvSpPr txBox="1"/>
                            <wps:spPr>
                              <a:xfrm>
                                <a:off x="0" y="0"/>
                                <a:ext cx="3343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81610" cy="175895"/>
                      <wp:effectExtent l="0" t="0" r="0" b="0"/>
                      <wp:wrapNone/>
                      <wp:docPr id="287" name="Frame286"/>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18110" cy="175895"/>
                      <wp:effectExtent l="0" t="0" r="0" b="0"/>
                      <wp:wrapNone/>
                      <wp:docPr id="288" name="Frame287"/>
                      <a:graphic xmlns:a="http://schemas.openxmlformats.org/drawingml/2006/main">
                        <a:graphicData uri="http://schemas.microsoft.com/office/word/2010/wordprocessingShape">
                          <wps:wsp>
                            <wps:cNvSpPr txBox="1"/>
                            <wps:spPr>
                              <a:xfrm>
                                <a:off x="0" y="0"/>
                                <a:ext cx="118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6060" cy="175895"/>
                      <wp:effectExtent l="0" t="0" r="0" b="0"/>
                      <wp:wrapNone/>
                      <wp:docPr id="289" name="Frame288"/>
                      <a:graphic xmlns:a="http://schemas.openxmlformats.org/drawingml/2006/main">
                        <a:graphicData uri="http://schemas.microsoft.com/office/word/2010/wordprocessingShape">
                          <wps:wsp>
                            <wps:cNvSpPr txBox="1"/>
                            <wps:spPr>
                              <a:xfrm>
                                <a:off x="0" y="0"/>
                                <a:ext cx="2260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86690" cy="175895"/>
                      <wp:effectExtent l="0" t="0" r="0" b="0"/>
                      <wp:wrapNone/>
                      <wp:docPr id="290" name="Frame289"/>
                      <a:graphic xmlns:a="http://schemas.openxmlformats.org/drawingml/2006/main">
                        <a:graphicData uri="http://schemas.microsoft.com/office/word/2010/wordprocessingShape">
                          <wps:wsp>
                            <wps:cNvSpPr txBox="1"/>
                            <wps:spPr>
                              <a:xfrm>
                                <a:off x="0" y="0"/>
                                <a:ext cx="1866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18110" cy="175895"/>
                      <wp:effectExtent l="0" t="0" r="0" b="0"/>
                      <wp:wrapNone/>
                      <wp:docPr id="291" name="Frame290"/>
                      <a:graphic xmlns:a="http://schemas.openxmlformats.org/drawingml/2006/main">
                        <a:graphicData uri="http://schemas.microsoft.com/office/word/2010/wordprocessingShape">
                          <wps:wsp>
                            <wps:cNvSpPr txBox="1"/>
                            <wps:spPr>
                              <a:xfrm>
                                <a:off x="0" y="0"/>
                                <a:ext cx="118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26060" cy="175895"/>
                      <wp:effectExtent l="0" t="0" r="0" b="0"/>
                      <wp:wrapNone/>
                      <wp:docPr id="292" name="Frame291"/>
                      <a:graphic xmlns:a="http://schemas.openxmlformats.org/drawingml/2006/main">
                        <a:graphicData uri="http://schemas.microsoft.com/office/word/2010/wordprocessingShape">
                          <wps:wsp>
                            <wps:cNvSpPr txBox="1"/>
                            <wps:spPr>
                              <a:xfrm>
                                <a:off x="0" y="0"/>
                                <a:ext cx="2260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81610" cy="175895"/>
                      <wp:effectExtent l="0" t="0" r="0" b="0"/>
                      <wp:wrapNone/>
                      <wp:docPr id="293" name="Frame292"/>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65735" cy="175895"/>
                      <wp:effectExtent l="0" t="0" r="0" b="0"/>
                      <wp:wrapNone/>
                      <wp:docPr id="294" name="Frame293"/>
                      <a:graphic xmlns:a="http://schemas.openxmlformats.org/drawingml/2006/main">
                        <a:graphicData uri="http://schemas.microsoft.com/office/word/2010/wordprocessingShape">
                          <wps:wsp>
                            <wps:cNvSpPr txBox="1"/>
                            <wps:spPr>
                              <a:xfrm>
                                <a:off x="0" y="0"/>
                                <a:ext cx="165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34950" cy="175895"/>
                      <wp:effectExtent l="0" t="0" r="0" b="0"/>
                      <wp:wrapNone/>
                      <wp:docPr id="295" name="Frame294"/>
                      <a:graphic xmlns:a="http://schemas.openxmlformats.org/drawingml/2006/main">
                        <a:graphicData uri="http://schemas.microsoft.com/office/word/2010/wordprocessingShape">
                          <wps:wsp>
                            <wps:cNvSpPr txBox="1"/>
                            <wps:spPr>
                              <a:xfrm>
                                <a:off x="0" y="0"/>
                                <a:ext cx="2349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1285" cy="175895"/>
                      <wp:effectExtent l="0" t="0" r="0" b="0"/>
                      <wp:wrapNone/>
                      <wp:docPr id="296" name="Frame295"/>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378"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Six months ended </w:t>
            </w:r>
          </w:p>
        </w:tc>
        <w:tc>
          <w:tcPr>
            <w:tcW w:w="286" w:type="dxa"/>
            <w:tcBorders/>
            <w:vAlign w:val="center"/>
          </w:tcPr>
          <w:p>
            <w:pPr>
              <w:pStyle w:val="TableContents"/>
              <w:bidi w:val="0"/>
              <w:spacing w:before="1" w:after="1"/>
              <w:ind w:left="0" w:right="0" w:hanging="0"/>
              <w:jc w:val="center"/>
              <w:rPr/>
            </w:pPr>
            <w:r>
              <w:rPr/>
              <w:t>​</w:t>
            </w:r>
          </w:p>
        </w:tc>
        <w:tc>
          <w:tcPr>
            <w:tcW w:w="261" w:type="dxa"/>
            <w:tcBorders/>
            <w:vAlign w:val="center"/>
          </w:tcPr>
          <w:p>
            <w:pPr>
              <w:pStyle w:val="TableContents"/>
              <w:bidi w:val="0"/>
              <w:spacing w:before="1" w:after="1"/>
              <w:ind w:left="0" w:right="0" w:hanging="0"/>
              <w:jc w:val="center"/>
              <w:rPr/>
            </w:pPr>
            <w:r>
              <w:rPr/>
              <w:t>​</w:t>
            </w:r>
          </w:p>
        </w:tc>
        <w:tc>
          <w:tcPr>
            <w:tcW w:w="370"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526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137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before="1" w:after="1"/>
              <w:ind w:left="0" w:right="0" w:hanging="0"/>
              <w:jc w:val="center"/>
              <w:rPr/>
            </w:pPr>
            <w:r>
              <w:rPr/>
              <w:t>​</w:t>
            </w:r>
          </w:p>
        </w:tc>
        <w:tc>
          <w:tcPr>
            <w:tcW w:w="261" w:type="dxa"/>
            <w:tcBorders/>
            <w:vAlign w:val="center"/>
          </w:tcPr>
          <w:p>
            <w:pPr>
              <w:pStyle w:val="TableContents"/>
              <w:bidi w:val="0"/>
              <w:spacing w:before="1" w:after="1"/>
              <w:ind w:left="0" w:right="0" w:hanging="0"/>
              <w:jc w:val="center"/>
              <w:rPr/>
            </w:pPr>
            <w:r>
              <w:rPr/>
              <w:t>​</w:t>
            </w:r>
          </w:p>
        </w:tc>
        <w:tc>
          <w:tcPr>
            <w:tcW w:w="370"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526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  ​ ​</w:t>
            </w:r>
          </w:p>
        </w:tc>
        <w:tc>
          <w:tcPr>
            <w:tcW w:w="54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294" w:type="dxa"/>
            <w:tcBorders/>
            <w:vAlign w:val="center"/>
          </w:tcPr>
          <w:p>
            <w:pPr>
              <w:pStyle w:val="TableContents"/>
              <w:bidi w:val="0"/>
              <w:spacing w:before="1" w:after="1"/>
              <w:ind w:left="0" w:right="0" w:hanging="0"/>
              <w:jc w:val="center"/>
              <w:rPr/>
            </w:pPr>
            <w:r>
              <w:rPr/>
              <w:t>  ​ ​</w:t>
            </w:r>
          </w:p>
        </w:tc>
        <w:tc>
          <w:tcPr>
            <w:tcW w:w="54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before="1" w:after="1"/>
              <w:ind w:left="0" w:right="0" w:hanging="0"/>
              <w:jc w:val="center"/>
              <w:rPr/>
            </w:pPr>
            <w:r>
              <w:rPr/>
              <w:t>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Change</w:t>
            </w:r>
          </w:p>
        </w:tc>
        <w:tc>
          <w:tcPr>
            <w:tcW w:w="191" w:type="dxa"/>
            <w:tcBorders/>
            <w:vAlign w:val="center"/>
          </w:tcPr>
          <w:p>
            <w:pPr>
              <w:pStyle w:val="TableContents"/>
              <w:bidi w:val="0"/>
              <w:spacing w:before="1" w:after="1"/>
              <w:ind w:left="0" w:right="0" w:hanging="0"/>
              <w:jc w:val="center"/>
              <w:rPr/>
            </w:pPr>
            <w:r>
              <w:rPr/>
              <w:t> </w:t>
            </w:r>
          </w:p>
        </w:tc>
      </w:tr>
      <w:tr>
        <w:trPr/>
        <w:tc>
          <w:tcPr>
            <w:tcW w:w="8038"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266" w:type="dxa"/>
            <w:tcBorders/>
            <w:vAlign w:val="center"/>
          </w:tcPr>
          <w:p>
            <w:pPr>
              <w:pStyle w:val="TableContents"/>
              <w:bidi w:val="0"/>
              <w:spacing w:before="1" w:after="1"/>
              <w:ind w:left="0" w:right="0" w:hanging="0"/>
              <w:jc w:val="left"/>
              <w:rPr/>
            </w:pPr>
            <w:r>
              <w:rPr/>
              <w:t>​</w:t>
            </w:r>
          </w:p>
        </w:tc>
        <w:tc>
          <w:tcPr>
            <w:tcW w:w="286" w:type="dxa"/>
            <w:tcBorders/>
            <w:vAlign w:val="center"/>
          </w:tcPr>
          <w:p>
            <w:pPr>
              <w:pStyle w:val="TableContents"/>
              <w:bidi w:val="0"/>
              <w:spacing w:before="1" w:after="1"/>
              <w:ind w:left="0" w:right="0" w:hanging="0"/>
              <w:jc w:val="center"/>
              <w:rPr/>
            </w:pPr>
            <w:r>
              <w:rPr/>
              <w:t>​</w:t>
            </w:r>
          </w:p>
        </w:tc>
        <w:tc>
          <w:tcPr>
            <w:tcW w:w="2295"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w:t>
            </w:r>
          </w:p>
        </w:tc>
      </w:tr>
      <w:tr>
        <w:trPr/>
        <w:tc>
          <w:tcPr>
            <w:tcW w:w="526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Cash flows from investing activities</w:t>
            </w:r>
          </w:p>
        </w:tc>
        <w:tc>
          <w:tcPr>
            <w:tcW w:w="286" w:type="dxa"/>
            <w:tcBorders/>
            <w:vAlign w:val="center"/>
          </w:tcPr>
          <w:p>
            <w:pPr>
              <w:pStyle w:val="TableContents"/>
              <w:bidi w:val="0"/>
              <w:spacing w:before="1" w:after="1"/>
              <w:ind w:left="0" w:right="0" w:hanging="0"/>
              <w:jc w:val="left"/>
              <w:rPr/>
            </w:pPr>
            <w:r>
              <w:rPr/>
              <w:t>​</w:t>
            </w:r>
          </w:p>
        </w:tc>
        <w:tc>
          <w:tcPr>
            <w:tcW w:w="186" w:type="dxa"/>
            <w:tcBorders/>
            <w:vAlign w:val="center"/>
          </w:tcPr>
          <w:p>
            <w:pPr>
              <w:pStyle w:val="TableContents"/>
              <w:bidi w:val="0"/>
              <w:spacing w:before="1" w:after="1"/>
              <w:ind w:left="0" w:right="0" w:hanging="0"/>
              <w:jc w:val="center"/>
              <w:rPr/>
            </w:pPr>
            <w:r>
              <w:rPr/>
              <w:t>​</w:t>
            </w:r>
          </w:p>
        </w:tc>
        <w:tc>
          <w:tcPr>
            <w:tcW w:w="356" w:type="dxa"/>
            <w:tcBorders/>
            <w:vAlign w:val="center"/>
          </w:tcPr>
          <w:p>
            <w:pPr>
              <w:pStyle w:val="TableContents"/>
              <w:bidi w:val="0"/>
              <w:spacing w:before="1" w:after="1"/>
              <w:ind w:left="0" w:right="0" w:hanging="0"/>
              <w:jc w:val="center"/>
              <w:rPr/>
            </w:pPr>
            <w:r>
              <w:rPr/>
              <w:t>​</w:t>
            </w:r>
          </w:p>
        </w:tc>
        <w:tc>
          <w:tcPr>
            <w:tcW w:w="294" w:type="dxa"/>
            <w:tcBorders/>
            <w:vAlign w:val="center"/>
          </w:tcPr>
          <w:p>
            <w:pPr>
              <w:pStyle w:val="TableContents"/>
              <w:bidi w:val="0"/>
              <w:spacing w:before="1" w:after="1"/>
              <w:ind w:left="0" w:right="0" w:hanging="0"/>
              <w:jc w:val="left"/>
              <w:rPr/>
            </w:pPr>
            <w:r>
              <w:rPr/>
              <w:t>​</w:t>
            </w:r>
          </w:p>
        </w:tc>
        <w:tc>
          <w:tcPr>
            <w:tcW w:w="186" w:type="dxa"/>
            <w:tcBorders/>
            <w:vAlign w:val="center"/>
          </w:tcPr>
          <w:p>
            <w:pPr>
              <w:pStyle w:val="TableContents"/>
              <w:bidi w:val="0"/>
              <w:spacing w:before="1" w:after="1"/>
              <w:ind w:left="0" w:right="0" w:hanging="0"/>
              <w:jc w:val="center"/>
              <w:rPr/>
            </w:pPr>
            <w:r>
              <w:rPr/>
              <w:t>​</w:t>
            </w:r>
          </w:p>
        </w:tc>
        <w:tc>
          <w:tcPr>
            <w:tcW w:w="356" w:type="dxa"/>
            <w:tcBorders/>
            <w:vAlign w:val="center"/>
          </w:tcPr>
          <w:p>
            <w:pPr>
              <w:pStyle w:val="TableContents"/>
              <w:bidi w:val="0"/>
              <w:spacing w:before="1" w:after="1"/>
              <w:ind w:left="0" w:right="0" w:hanging="0"/>
              <w:jc w:val="center"/>
              <w:rPr/>
            </w:pPr>
            <w:r>
              <w:rPr/>
              <w:t>​</w:t>
            </w:r>
          </w:p>
        </w:tc>
        <w:tc>
          <w:tcPr>
            <w:tcW w:w="286"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center"/>
              <w:rPr/>
            </w:pPr>
            <w:r>
              <w:rPr/>
              <w:t>​</w:t>
            </w:r>
          </w:p>
        </w:tc>
        <w:tc>
          <w:tcPr>
            <w:tcW w:w="370"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left"/>
              <w:rPr/>
            </w:pPr>
            <w:r>
              <w:rPr/>
              <w:t>​</w:t>
            </w:r>
          </w:p>
        </w:tc>
      </w:tr>
      <w:tr>
        <w:trPr/>
        <w:tc>
          <w:tcPr>
            <w:tcW w:w="52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Capital expenditures</w:t>
            </w:r>
          </w:p>
        </w:tc>
        <w:tc>
          <w:tcPr>
            <w:tcW w:w="286" w:type="dxa"/>
            <w:tcBorders/>
            <w:shd w:fill="CEDBE0" w:val="clear"/>
            <w:vAlign w:val="center"/>
          </w:tcPr>
          <w:p>
            <w:pPr>
              <w:pStyle w:val="TableContents"/>
              <w:bidi w:val="0"/>
              <w:spacing w:before="1" w:after="1"/>
              <w:ind w:left="0" w:right="0" w:hanging="0"/>
              <w:jc w:val="left"/>
              <w:rPr/>
            </w:pPr>
            <w:r>
              <w:rPr/>
              <w:t> </w:t>
            </w:r>
          </w:p>
        </w:tc>
        <w:tc>
          <w:tcPr>
            <w:tcW w:w="18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(52)</w:t>
            </w:r>
          </w:p>
        </w:tc>
        <w:tc>
          <w:tcPr>
            <w:tcW w:w="294" w:type="dxa"/>
            <w:tcBorders/>
            <w:shd w:fill="CEDBE0" w:val="clear"/>
            <w:vAlign w:val="center"/>
          </w:tcPr>
          <w:p>
            <w:pPr>
              <w:pStyle w:val="TableContents"/>
              <w:bidi w:val="0"/>
              <w:spacing w:before="1" w:after="1"/>
              <w:ind w:left="0" w:right="0" w:hanging="0"/>
              <w:jc w:val="left"/>
              <w:rPr/>
            </w:pPr>
            <w:r>
              <w:rPr/>
              <w:t> </w:t>
            </w:r>
          </w:p>
        </w:tc>
        <w:tc>
          <w:tcPr>
            <w:tcW w:w="18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(84)</w:t>
            </w:r>
          </w:p>
        </w:tc>
        <w:tc>
          <w:tcPr>
            <w:tcW w:w="286" w:type="dxa"/>
            <w:tcBorders/>
            <w:shd w:fill="CEDBE0" w:val="clear"/>
            <w:vAlign w:val="center"/>
          </w:tcPr>
          <w:p>
            <w:pPr>
              <w:pStyle w:val="TableContents"/>
              <w:bidi w:val="0"/>
              <w:spacing w:before="1" w:after="1"/>
              <w:ind w:left="0" w:right="0" w:hanging="0"/>
              <w:jc w:val="left"/>
              <w:rPr/>
            </w:pPr>
            <w:r>
              <w:rPr/>
              <w:t> </w:t>
            </w:r>
          </w:p>
        </w:tc>
        <w:tc>
          <w:tcPr>
            <w:tcW w:w="26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32</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52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Investment in equity of unconsolidated affiliate</w:t>
            </w:r>
          </w:p>
        </w:tc>
        <w:tc>
          <w:tcPr>
            <w:tcW w:w="286" w:type="dxa"/>
            <w:tcBorders/>
            <w:vAlign w:val="center"/>
          </w:tcPr>
          <w:p>
            <w:pPr>
              <w:pStyle w:val="TableContents"/>
              <w:bidi w:val="0"/>
              <w:spacing w:before="1" w:after="1"/>
              <w:ind w:left="0" w:right="0" w:hanging="0"/>
              <w:jc w:val="left"/>
              <w:rPr/>
            </w:pPr>
            <w:r>
              <w:rPr/>
              <w:t>​</w:t>
            </w:r>
          </w:p>
        </w:tc>
        <w:tc>
          <w:tcPr>
            <w:tcW w:w="186" w:type="dxa"/>
            <w:tcBorders/>
            <w:vAlign w:val="center"/>
          </w:tcPr>
          <w:p>
            <w:pPr>
              <w:pStyle w:val="TableContents"/>
              <w:bidi w:val="0"/>
              <w:spacing w:before="1" w:after="1"/>
              <w:ind w:left="0" w:right="0" w:hanging="0"/>
              <w:jc w:val="left"/>
              <w:rPr/>
            </w:pPr>
            <w:r>
              <w:rPr/>
              <w:t>​</w:t>
            </w:r>
          </w:p>
        </w:tc>
        <w:tc>
          <w:tcPr>
            <w:tcW w:w="35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w:t>
            </w:r>
          </w:p>
        </w:tc>
        <w:tc>
          <w:tcPr>
            <w:tcW w:w="294" w:type="dxa"/>
            <w:tcBorders/>
            <w:vAlign w:val="center"/>
          </w:tcPr>
          <w:p>
            <w:pPr>
              <w:pStyle w:val="TableContents"/>
              <w:bidi w:val="0"/>
              <w:spacing w:before="1" w:after="1"/>
              <w:ind w:left="0" w:right="0" w:hanging="0"/>
              <w:jc w:val="left"/>
              <w:rPr/>
            </w:pPr>
            <w:r>
              <w:rPr/>
              <w:t>​</w:t>
            </w:r>
          </w:p>
        </w:tc>
        <w:tc>
          <w:tcPr>
            <w:tcW w:w="186" w:type="dxa"/>
            <w:tcBorders/>
            <w:vAlign w:val="center"/>
          </w:tcPr>
          <w:p>
            <w:pPr>
              <w:pStyle w:val="TableContents"/>
              <w:bidi w:val="0"/>
              <w:spacing w:before="1" w:after="1"/>
              <w:ind w:left="0" w:right="0" w:hanging="0"/>
              <w:jc w:val="left"/>
              <w:rPr/>
            </w:pPr>
            <w:r>
              <w:rPr/>
              <w:t>​</w:t>
            </w:r>
          </w:p>
        </w:tc>
        <w:tc>
          <w:tcPr>
            <w:tcW w:w="356" w:type="dxa"/>
            <w:tcBorders/>
            <w:vAlign w:val="center"/>
          </w:tcPr>
          <w:p>
            <w:pPr>
              <w:pStyle w:val="TableContents"/>
              <w:bidi w:val="0"/>
              <w:spacing w:before="1" w:after="1"/>
              <w:ind w:left="0" w:right="0" w:hanging="0"/>
              <w:jc w:val="right"/>
              <w:rPr/>
            </w:pPr>
            <w:r>
              <w:rPr/>
              <w:t>—</w:t>
            </w:r>
          </w:p>
        </w:tc>
        <w:tc>
          <w:tcPr>
            <w:tcW w:w="286" w:type="dxa"/>
            <w:tcBorders/>
            <w:vAlign w:val="center"/>
          </w:tcPr>
          <w:p>
            <w:pPr>
              <w:pStyle w:val="TableContents"/>
              <w:bidi w:val="0"/>
              <w:spacing w:before="1" w:after="1"/>
              <w:ind w:left="0" w:right="0" w:hanging="0"/>
              <w:jc w:val="left"/>
              <w:rPr/>
            </w:pPr>
            <w:r>
              <w:rPr/>
              <w:t>​</w:t>
            </w:r>
          </w:p>
        </w:tc>
        <w:tc>
          <w:tcPr>
            <w:tcW w:w="261" w:type="dxa"/>
            <w:tcBorders/>
            <w:vAlign w:val="center"/>
          </w:tcPr>
          <w:p>
            <w:pPr>
              <w:pStyle w:val="TableContents"/>
              <w:bidi w:val="0"/>
              <w:spacing w:before="1" w:after="1"/>
              <w:ind w:left="0" w:right="0" w:hanging="0"/>
              <w:jc w:val="left"/>
              <w:rPr/>
            </w:pPr>
            <w:r>
              <w:rPr/>
              <w:t>​</w:t>
            </w:r>
          </w:p>
        </w:tc>
        <w:tc>
          <w:tcPr>
            <w:tcW w:w="370"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w:t>
            </w:r>
          </w:p>
        </w:tc>
        <w:tc>
          <w:tcPr>
            <w:tcW w:w="191" w:type="dxa"/>
            <w:tcBorders/>
            <w:vAlign w:val="center"/>
          </w:tcPr>
          <w:p>
            <w:pPr>
              <w:pStyle w:val="TableContents"/>
              <w:bidi w:val="0"/>
              <w:spacing w:before="1" w:after="1"/>
              <w:ind w:left="0" w:right="0" w:hanging="0"/>
              <w:jc w:val="left"/>
              <w:rPr/>
            </w:pPr>
            <w:r>
              <w:rPr/>
              <w:t>​</w:t>
            </w:r>
          </w:p>
        </w:tc>
      </w:tr>
      <w:tr>
        <w:trPr/>
        <w:tc>
          <w:tcPr>
            <w:tcW w:w="526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Proceeds from disposal of assets, net of costs to sell</w:t>
            </w:r>
          </w:p>
        </w:tc>
        <w:tc>
          <w:tcPr>
            <w:tcW w:w="286" w:type="dxa"/>
            <w:tcBorders/>
            <w:shd w:fill="CEDBE0" w:val="clear"/>
            <w:vAlign w:val="center"/>
          </w:tcPr>
          <w:p>
            <w:pPr>
              <w:pStyle w:val="TableContents"/>
              <w:bidi w:val="0"/>
              <w:spacing w:before="1" w:after="1"/>
              <w:ind w:left="0" w:right="0" w:hanging="0"/>
              <w:jc w:val="left"/>
              <w:rPr/>
            </w:pPr>
            <w:r>
              <w:rPr/>
              <w:t>​</w:t>
            </w:r>
          </w:p>
        </w:tc>
        <w:tc>
          <w:tcPr>
            <w:tcW w:w="186" w:type="dxa"/>
            <w:tcBorders/>
            <w:shd w:fill="CEDBE0" w:val="clear"/>
            <w:vAlign w:val="center"/>
          </w:tcPr>
          <w:p>
            <w:pPr>
              <w:pStyle w:val="TableContents"/>
              <w:bidi w:val="0"/>
              <w:spacing w:before="1" w:after="1"/>
              <w:ind w:left="0" w:right="0" w:hanging="0"/>
              <w:jc w:val="left"/>
              <w:rPr/>
            </w:pPr>
            <w:r>
              <w:rPr/>
              <w:t>​</w:t>
            </w:r>
          </w:p>
        </w:tc>
        <w:tc>
          <w:tcPr>
            <w:tcW w:w="3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26</w:t>
            </w:r>
          </w:p>
        </w:tc>
        <w:tc>
          <w:tcPr>
            <w:tcW w:w="294" w:type="dxa"/>
            <w:tcBorders/>
            <w:shd w:fill="CEDBE0" w:val="clear"/>
            <w:vAlign w:val="center"/>
          </w:tcPr>
          <w:p>
            <w:pPr>
              <w:pStyle w:val="TableContents"/>
              <w:bidi w:val="0"/>
              <w:spacing w:before="1" w:after="1"/>
              <w:ind w:left="0" w:right="0" w:hanging="0"/>
              <w:jc w:val="left"/>
              <w:rPr/>
            </w:pPr>
            <w:r>
              <w:rPr/>
              <w:t>​</w:t>
            </w:r>
          </w:p>
        </w:tc>
        <w:tc>
          <w:tcPr>
            <w:tcW w:w="186" w:type="dxa"/>
            <w:tcBorders/>
            <w:shd w:fill="CEDBE0" w:val="clear"/>
            <w:vAlign w:val="center"/>
          </w:tcPr>
          <w:p>
            <w:pPr>
              <w:pStyle w:val="TableContents"/>
              <w:bidi w:val="0"/>
              <w:spacing w:before="1" w:after="1"/>
              <w:ind w:left="0" w:right="0" w:hanging="0"/>
              <w:jc w:val="left"/>
              <w:rPr/>
            </w:pPr>
            <w:r>
              <w:rPr/>
              <w:t>​</w:t>
            </w:r>
          </w:p>
        </w:tc>
        <w:tc>
          <w:tcPr>
            <w:tcW w:w="35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10</w:t>
            </w:r>
          </w:p>
        </w:tc>
        <w:tc>
          <w:tcPr>
            <w:tcW w:w="286" w:type="dxa"/>
            <w:tcBorders/>
            <w:shd w:fill="CEDBE0" w:val="clear"/>
            <w:vAlign w:val="center"/>
          </w:tcPr>
          <w:p>
            <w:pPr>
              <w:pStyle w:val="TableContents"/>
              <w:bidi w:val="0"/>
              <w:spacing w:before="1" w:after="1"/>
              <w:ind w:left="0" w:right="0" w:hanging="0"/>
              <w:jc w:val="left"/>
              <w:rPr/>
            </w:pPr>
            <w:r>
              <w:rPr/>
              <w:t>​</w:t>
            </w:r>
          </w:p>
        </w:tc>
        <w:tc>
          <w:tcPr>
            <w:tcW w:w="261" w:type="dxa"/>
            <w:tcBorders/>
            <w:shd w:fill="CEDBE0" w:val="clear"/>
            <w:vAlign w:val="center"/>
          </w:tcPr>
          <w:p>
            <w:pPr>
              <w:pStyle w:val="TableContents"/>
              <w:bidi w:val="0"/>
              <w:spacing w:before="1" w:after="1"/>
              <w:ind w:left="0" w:right="0" w:hanging="0"/>
              <w:jc w:val="left"/>
              <w:rPr/>
            </w:pPr>
            <w:r>
              <w:rPr/>
              <w:t>​</w:t>
            </w:r>
          </w:p>
        </w:tc>
        <w:tc>
          <w:tcPr>
            <w:tcW w:w="370"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16</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526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Proceeds from disposal of investment in debt or equity of unconsolidated affiliates</w:t>
            </w:r>
          </w:p>
        </w:tc>
        <w:tc>
          <w:tcPr>
            <w:tcW w:w="286" w:type="dxa"/>
            <w:tcBorders/>
            <w:vAlign w:val="center"/>
          </w:tcPr>
          <w:p>
            <w:pPr>
              <w:pStyle w:val="TableContents"/>
              <w:bidi w:val="0"/>
              <w:spacing w:before="1"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w:t>
            </w:r>
          </w:p>
        </w:tc>
        <w:tc>
          <w:tcPr>
            <w:tcW w:w="294" w:type="dxa"/>
            <w:tcBorders/>
            <w:vAlign w:val="center"/>
          </w:tcPr>
          <w:p>
            <w:pPr>
              <w:pStyle w:val="TableContents"/>
              <w:bidi w:val="0"/>
              <w:spacing w:before="1"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w:t>
            </w:r>
          </w:p>
        </w:tc>
        <w:tc>
          <w:tcPr>
            <w:tcW w:w="286" w:type="dxa"/>
            <w:tcBorders/>
            <w:vAlign w:val="center"/>
          </w:tcPr>
          <w:p>
            <w:pPr>
              <w:pStyle w:val="TableContents"/>
              <w:bidi w:val="0"/>
              <w:spacing w:before="1"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9</w:t>
            </w:r>
          </w:p>
        </w:tc>
        <w:tc>
          <w:tcPr>
            <w:tcW w:w="191" w:type="dxa"/>
            <w:tcBorders/>
            <w:vAlign w:val="center"/>
          </w:tcPr>
          <w:p>
            <w:pPr>
              <w:pStyle w:val="TableContents"/>
              <w:bidi w:val="0"/>
              <w:spacing w:before="1" w:after="1"/>
              <w:ind w:left="0" w:right="0" w:hanging="0"/>
              <w:jc w:val="left"/>
              <w:rPr/>
            </w:pPr>
            <w:r>
              <w:rPr/>
              <w:t>​</w:t>
            </w:r>
          </w:p>
        </w:tc>
      </w:tr>
      <w:tr>
        <w:trPr/>
        <w:tc>
          <w:tcPr>
            <w:tcW w:w="5266" w:type="dxa"/>
            <w:tcBorders/>
            <w:shd w:fill="CEDBE0" w:val="clear"/>
            <w:vAlign w:val="center"/>
          </w:tcPr>
          <w:p>
            <w:pPr>
              <w:pStyle w:val="TableContents"/>
              <w:bidi w:val="0"/>
              <w:spacing w:before="1" w:after="1"/>
              <w:ind w:left="0" w:right="0" w:hanging="0"/>
              <w:jc w:val="left"/>
              <w:rPr/>
            </w:pPr>
            <w:r>
              <w:rPr/>
              <w:t>​</w:t>
            </w:r>
          </w:p>
        </w:tc>
        <w:tc>
          <w:tcPr>
            <w:tcW w:w="286" w:type="dxa"/>
            <w:tcBorders/>
            <w:shd w:fill="CEDBE0" w:val="clear"/>
            <w:vAlign w:val="center"/>
          </w:tcPr>
          <w:p>
            <w:pPr>
              <w:pStyle w:val="TableContents"/>
              <w:bidi w:val="0"/>
              <w:spacing w:before="1" w:after="1"/>
              <w:ind w:left="0" w:right="0" w:hanging="0"/>
              <w:jc w:val="left"/>
              <w:rPr/>
            </w:pPr>
            <w:r>
              <w:rPr/>
              <w:t> </w:t>
            </w:r>
          </w:p>
        </w:tc>
        <w:tc>
          <w:tcPr>
            <w:tcW w:w="186"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5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(15)</w:t>
            </w:r>
          </w:p>
        </w:tc>
        <w:tc>
          <w:tcPr>
            <w:tcW w:w="294" w:type="dxa"/>
            <w:tcBorders/>
            <w:shd w:fill="CEDBE0" w:val="clear"/>
            <w:vAlign w:val="center"/>
          </w:tcPr>
          <w:p>
            <w:pPr>
              <w:pStyle w:val="TableContents"/>
              <w:bidi w:val="0"/>
              <w:spacing w:before="1" w:after="1"/>
              <w:ind w:left="0" w:right="0" w:hanging="0"/>
              <w:jc w:val="left"/>
              <w:rPr/>
            </w:pPr>
            <w:r>
              <w:rPr/>
              <w:t> </w:t>
            </w:r>
          </w:p>
        </w:tc>
        <w:tc>
          <w:tcPr>
            <w:tcW w:w="186"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5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(70)</w:t>
            </w:r>
          </w:p>
        </w:tc>
        <w:tc>
          <w:tcPr>
            <w:tcW w:w="286" w:type="dxa"/>
            <w:tcBorders/>
            <w:shd w:fill="CEDBE0" w:val="clear"/>
            <w:vAlign w:val="center"/>
          </w:tcPr>
          <w:p>
            <w:pPr>
              <w:pStyle w:val="TableContents"/>
              <w:bidi w:val="0"/>
              <w:spacing w:before="1" w:after="1"/>
              <w:ind w:left="0" w:right="0" w:hanging="0"/>
              <w:jc w:val="left"/>
              <w:rPr/>
            </w:pPr>
            <w:r>
              <w:rPr/>
              <w:t> </w:t>
            </w:r>
          </w:p>
        </w:tc>
        <w:tc>
          <w:tcPr>
            <w:tcW w:w="26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0"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55</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20" w:after="180"/>
        <w:ind w:left="0" w:right="0" w:firstLine="720"/>
        <w:jc w:val="both"/>
        <w:rPr>
          <w:rFonts w:ascii="Arial Narrow" w:hAnsi="Arial Narrow"/>
          <w:sz w:val="20"/>
        </w:rPr>
      </w:pPr>
      <w:r>
        <w:rPr>
          <w:rFonts w:ascii="Arial Narrow" w:hAnsi="Arial Narrow"/>
          <w:sz w:val="20"/>
        </w:rPr>
        <w:t>Net cash used in investing activities decreased primarily due to (a) decreased capital expenditures, (b) increased proceeds from disposal of assets, primarily resulting from the completion of the sale of two ultra-deepwater floaters in the current-year period, and (c) proceeds from disposal of an investment in a note receivable from an unconsolidated affiliate in the current-year period relative to proceeds from disposal of an investment in equity of an unconsolidated affiliate in the earlier year.</w:t>
      </w:r>
    </w:p>
    <w:tbl>
      <w:tblPr>
        <w:tblW w:w="5660" w:type="dxa"/>
        <w:jc w:val="left"/>
        <w:tblInd w:w="0" w:type="dxa"/>
        <w:tblLayout w:type="fixed"/>
        <w:tblCellMar>
          <w:top w:w="0" w:type="dxa"/>
          <w:left w:w="0" w:type="dxa"/>
          <w:bottom w:w="0" w:type="dxa"/>
          <w:right w:w="0" w:type="dxa"/>
        </w:tblCellMar>
      </w:tblPr>
      <w:tblGrid>
        <w:gridCol w:w="2596"/>
        <w:gridCol w:w="346"/>
        <w:gridCol w:w="181"/>
        <w:gridCol w:w="421"/>
        <w:gridCol w:w="346"/>
        <w:gridCol w:w="181"/>
        <w:gridCol w:w="421"/>
        <w:gridCol w:w="346"/>
        <w:gridCol w:w="205"/>
        <w:gridCol w:w="426"/>
        <w:gridCol w:w="1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648460" cy="175895"/>
                      <wp:effectExtent l="0" t="0" r="0" b="0"/>
                      <wp:wrapNone/>
                      <wp:docPr id="297" name="Frame296"/>
                      <a:graphic xmlns:a="http://schemas.openxmlformats.org/drawingml/2006/main">
                        <a:graphicData uri="http://schemas.microsoft.com/office/word/2010/wordprocessingShape">
                          <wps:wsp>
                            <wps:cNvSpPr txBox="1"/>
                            <wps:spPr>
                              <a:xfrm>
                                <a:off x="0" y="0"/>
                                <a:ext cx="1648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895"/>
                      <wp:effectExtent l="0" t="0" r="0" b="0"/>
                      <wp:wrapNone/>
                      <wp:docPr id="298" name="Frame29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14935" cy="175895"/>
                      <wp:effectExtent l="0" t="0" r="0" b="0"/>
                      <wp:wrapNone/>
                      <wp:docPr id="299" name="Frame298"/>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67335" cy="175895"/>
                      <wp:effectExtent l="0" t="0" r="0" b="0"/>
                      <wp:wrapNone/>
                      <wp:docPr id="300" name="Frame299"/>
                      <a:graphic xmlns:a="http://schemas.openxmlformats.org/drawingml/2006/main">
                        <a:graphicData uri="http://schemas.microsoft.com/office/word/2010/wordprocessingShape">
                          <wps:wsp>
                            <wps:cNvSpPr txBox="1"/>
                            <wps:spPr>
                              <a:xfrm>
                                <a:off x="0" y="0"/>
                                <a:ext cx="267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895"/>
                      <wp:effectExtent l="0" t="0" r="0" b="0"/>
                      <wp:wrapNone/>
                      <wp:docPr id="301" name="Frame30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14935" cy="175895"/>
                      <wp:effectExtent l="0" t="0" r="0" b="0"/>
                      <wp:wrapNone/>
                      <wp:docPr id="302" name="Frame301"/>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67335" cy="175895"/>
                      <wp:effectExtent l="0" t="0" r="0" b="0"/>
                      <wp:wrapNone/>
                      <wp:docPr id="303" name="Frame302"/>
                      <a:graphic xmlns:a="http://schemas.openxmlformats.org/drawingml/2006/main">
                        <a:graphicData uri="http://schemas.microsoft.com/office/word/2010/wordprocessingShape">
                          <wps:wsp>
                            <wps:cNvSpPr txBox="1"/>
                            <wps:spPr>
                              <a:xfrm>
                                <a:off x="0" y="0"/>
                                <a:ext cx="2673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895"/>
                      <wp:effectExtent l="0" t="0" r="0" b="0"/>
                      <wp:wrapNone/>
                      <wp:docPr id="304" name="Frame30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0175" cy="175895"/>
                      <wp:effectExtent l="0" t="0" r="0" b="0"/>
                      <wp:wrapNone/>
                      <wp:docPr id="305" name="Frame304"/>
                      <a:graphic xmlns:a="http://schemas.openxmlformats.org/drawingml/2006/main">
                        <a:graphicData uri="http://schemas.microsoft.com/office/word/2010/wordprocessingShape">
                          <wps:wsp>
                            <wps:cNvSpPr txBox="1"/>
                            <wps:spPr>
                              <a:xfrm>
                                <a:off x="0" y="0"/>
                                <a:ext cx="1301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70510" cy="175895"/>
                      <wp:effectExtent l="0" t="0" r="0" b="0"/>
                      <wp:wrapNone/>
                      <wp:docPr id="306" name="Frame305"/>
                      <a:graphic xmlns:a="http://schemas.openxmlformats.org/drawingml/2006/main">
                        <a:graphicData uri="http://schemas.microsoft.com/office/word/2010/wordprocessingShape">
                          <wps:wsp>
                            <wps:cNvSpPr txBox="1"/>
                            <wps:spPr>
                              <a:xfrm>
                                <a:off x="0" y="0"/>
                                <a:ext cx="2705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1285" cy="175895"/>
                      <wp:effectExtent l="0" t="0" r="0" b="0"/>
                      <wp:wrapNone/>
                      <wp:docPr id="307" name="Frame306"/>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1550" w:type="dxa"/>
            <w:gridSpan w:val="5"/>
            <w:tcBorders/>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 xml:space="preserve">Six months ended </w:t>
            </w:r>
          </w:p>
        </w:tc>
        <w:tc>
          <w:tcPr>
            <w:tcW w:w="346" w:type="dxa"/>
            <w:tcBorders/>
            <w:vAlign w:val="center"/>
          </w:tcPr>
          <w:p>
            <w:pPr>
              <w:pStyle w:val="TableContents"/>
              <w:bidi w:val="0"/>
              <w:spacing w:before="1" w:after="1"/>
              <w:ind w:left="0" w:right="0" w:hanging="0"/>
              <w:jc w:val="center"/>
              <w:rPr/>
            </w:pPr>
            <w:r>
              <w:rPr/>
              <w:t>​</w:t>
            </w:r>
          </w:p>
        </w:tc>
        <w:tc>
          <w:tcPr>
            <w:tcW w:w="205" w:type="dxa"/>
            <w:tcBorders/>
            <w:vAlign w:val="center"/>
          </w:tcPr>
          <w:p>
            <w:pPr>
              <w:pStyle w:val="TableContents"/>
              <w:bidi w:val="0"/>
              <w:spacing w:before="1" w:after="1"/>
              <w:ind w:left="0" w:right="0" w:hanging="0"/>
              <w:jc w:val="center"/>
              <w:rPr/>
            </w:pPr>
            <w:r>
              <w:rPr/>
              <w:t>​</w:t>
            </w:r>
          </w:p>
        </w:tc>
        <w:tc>
          <w:tcPr>
            <w:tcW w:w="426"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155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June 30, </w:t>
            </w:r>
          </w:p>
        </w:tc>
        <w:tc>
          <w:tcPr>
            <w:tcW w:w="346" w:type="dxa"/>
            <w:tcBorders/>
            <w:vAlign w:val="center"/>
          </w:tcPr>
          <w:p>
            <w:pPr>
              <w:pStyle w:val="TableContents"/>
              <w:bidi w:val="0"/>
              <w:spacing w:before="1" w:after="1"/>
              <w:ind w:left="0" w:right="0" w:hanging="0"/>
              <w:jc w:val="center"/>
              <w:rPr/>
            </w:pPr>
            <w:r>
              <w:rPr/>
              <w:t>​</w:t>
            </w:r>
          </w:p>
        </w:tc>
        <w:tc>
          <w:tcPr>
            <w:tcW w:w="205" w:type="dxa"/>
            <w:tcBorders/>
            <w:vAlign w:val="center"/>
          </w:tcPr>
          <w:p>
            <w:pPr>
              <w:pStyle w:val="TableContents"/>
              <w:bidi w:val="0"/>
              <w:spacing w:before="1" w:after="1"/>
              <w:ind w:left="0" w:right="0" w:hanging="0"/>
              <w:jc w:val="center"/>
              <w:rPr/>
            </w:pPr>
            <w:r>
              <w:rPr/>
              <w:t>​</w:t>
            </w:r>
          </w:p>
        </w:tc>
        <w:tc>
          <w:tcPr>
            <w:tcW w:w="426"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w:t>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6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before="1" w:after="1"/>
              <w:ind w:left="0" w:right="0" w:hanging="0"/>
              <w:jc w:val="center"/>
              <w:rPr/>
            </w:pPr>
            <w:r>
              <w:rPr/>
              <w:t>  ​ ​ ​</w:t>
            </w:r>
          </w:p>
        </w:tc>
        <w:tc>
          <w:tcPr>
            <w:tcW w:w="6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2025</w:t>
            </w:r>
          </w:p>
        </w:tc>
        <w:tc>
          <w:tcPr>
            <w:tcW w:w="346" w:type="dxa"/>
            <w:tcBorders/>
            <w:vAlign w:val="center"/>
          </w:tcPr>
          <w:p>
            <w:pPr>
              <w:pStyle w:val="TableContents"/>
              <w:bidi w:val="0"/>
              <w:spacing w:before="1"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Change</w:t>
            </w:r>
          </w:p>
        </w:tc>
        <w:tc>
          <w:tcPr>
            <w:tcW w:w="191" w:type="dxa"/>
            <w:tcBorders/>
            <w:vAlign w:val="center"/>
          </w:tcPr>
          <w:p>
            <w:pPr>
              <w:pStyle w:val="TableContents"/>
              <w:bidi w:val="0"/>
              <w:spacing w:before="1" w:after="1"/>
              <w:ind w:left="0" w:right="0" w:hanging="0"/>
              <w:jc w:val="center"/>
              <w:rPr/>
            </w:pPr>
            <w:r>
              <w:rPr/>
              <w:t> </w:t>
            </w:r>
          </w:p>
        </w:tc>
      </w:tr>
      <w:tr>
        <w:trPr/>
        <w:tc>
          <w:tcPr>
            <w:tcW w:w="566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527" w:type="dxa"/>
            <w:gridSpan w:val="8"/>
            <w:tcBorders/>
            <w:vAlign w:val="center"/>
          </w:tcPr>
          <w:p>
            <w:pPr>
              <w:pStyle w:val="TableContents"/>
              <w:bidi w:val="0"/>
              <w:spacing w:before="1" w:after="1"/>
              <w:ind w:left="0" w:right="0" w:hanging="0"/>
              <w:jc w:val="center"/>
              <w:rPr>
                <w:rFonts w:ascii="Arial Narrow" w:hAnsi="Arial Narrow"/>
                <w:b/>
                <w:sz w:val="14"/>
              </w:rPr>
            </w:pPr>
            <w:r>
              <w:rPr>
                <w:rFonts w:ascii="Arial Narrow" w:hAnsi="Arial Narrow"/>
                <w:b/>
                <w:sz w:val="14"/>
              </w:rPr>
              <w:t>(in millions)</w:t>
            </w:r>
          </w:p>
        </w:tc>
        <w:tc>
          <w:tcPr>
            <w:tcW w:w="191" w:type="dxa"/>
            <w:tcBorders/>
            <w:vAlign w:val="center"/>
          </w:tcPr>
          <w:p>
            <w:pPr>
              <w:pStyle w:val="TableContents"/>
              <w:bidi w:val="0"/>
              <w:spacing w:before="1" w:after="1"/>
              <w:ind w:left="0" w:right="0" w:hanging="0"/>
              <w:jc w:val="center"/>
              <w:rPr/>
            </w:pPr>
            <w:r>
              <w:rPr/>
              <w:t>​</w:t>
            </w:r>
          </w:p>
        </w:tc>
      </w:tr>
      <w:tr>
        <w:trPr/>
        <w:tc>
          <w:tcPr>
            <w:tcW w:w="2596"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Cash flows from financing activities</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2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2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5" w:type="dxa"/>
            <w:tcBorders/>
            <w:vAlign w:val="center"/>
          </w:tcPr>
          <w:p>
            <w:pPr>
              <w:pStyle w:val="TableContents"/>
              <w:bidi w:val="0"/>
              <w:spacing w:before="1" w:after="1"/>
              <w:ind w:left="0" w:right="0" w:hanging="0"/>
              <w:jc w:val="left"/>
              <w:rPr/>
            </w:pPr>
            <w:r>
              <w:rPr/>
              <w:t>​</w:t>
            </w:r>
          </w:p>
        </w:tc>
        <w:tc>
          <w:tcPr>
            <w:tcW w:w="426"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2596"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Repayments of debt</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(586)</w:t>
            </w:r>
          </w:p>
        </w:tc>
        <w:tc>
          <w:tcPr>
            <w:tcW w:w="346"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(240)</w:t>
            </w:r>
          </w:p>
        </w:tc>
        <w:tc>
          <w:tcPr>
            <w:tcW w:w="346" w:type="dxa"/>
            <w:tcBorders/>
            <w:shd w:fill="CEDBE0" w:val="clear"/>
            <w:vAlign w:val="center"/>
          </w:tcPr>
          <w:p>
            <w:pPr>
              <w:pStyle w:val="TableContents"/>
              <w:bidi w:val="0"/>
              <w:spacing w:before="1" w:after="1"/>
              <w:ind w:left="0" w:right="0" w:hanging="0"/>
              <w:jc w:val="left"/>
              <w:rPr/>
            </w:pPr>
            <w:r>
              <w:rPr/>
              <w:t>​</w:t>
            </w:r>
          </w:p>
        </w:tc>
        <w:tc>
          <w:tcPr>
            <w:tcW w:w="205"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(346)</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2596"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Other, net</w:t>
            </w:r>
          </w:p>
        </w:tc>
        <w:tc>
          <w:tcPr>
            <w:tcW w:w="3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w:t>
            </w:r>
          </w:p>
        </w:tc>
        <w:tc>
          <w:tcPr>
            <w:tcW w:w="346" w:type="dxa"/>
            <w:tcBorders/>
            <w:vAlign w:val="center"/>
          </w:tcPr>
          <w:p>
            <w:pPr>
              <w:pStyle w:val="TableContents"/>
              <w:bidi w:val="0"/>
              <w:spacing w:before="1"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(13)</w:t>
            </w:r>
          </w:p>
        </w:tc>
        <w:tc>
          <w:tcPr>
            <w:tcW w:w="346" w:type="dxa"/>
            <w:tcBorders/>
            <w:vAlign w:val="center"/>
          </w:tcPr>
          <w:p>
            <w:pPr>
              <w:pStyle w:val="TableContents"/>
              <w:bidi w:val="0"/>
              <w:spacing w:before="1"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w:t>
            </w:r>
          </w:p>
        </w:tc>
        <w:tc>
          <w:tcPr>
            <w:tcW w:w="191" w:type="dxa"/>
            <w:tcBorders/>
            <w:vAlign w:val="center"/>
          </w:tcPr>
          <w:p>
            <w:pPr>
              <w:pStyle w:val="TableContents"/>
              <w:bidi w:val="0"/>
              <w:spacing w:before="1" w:after="1"/>
              <w:ind w:left="0" w:right="0" w:hanging="0"/>
              <w:jc w:val="left"/>
              <w:rPr/>
            </w:pPr>
            <w:r>
              <w:rPr/>
              <w:t>​</w:t>
            </w:r>
          </w:p>
        </w:tc>
      </w:tr>
      <w:tr>
        <w:trPr/>
        <w:tc>
          <w:tcPr>
            <w:tcW w:w="2596" w:type="dxa"/>
            <w:tcBorders/>
            <w:shd w:fill="CEDBE0" w:val="clear"/>
            <w:vAlign w:val="center"/>
          </w:tcPr>
          <w:p>
            <w:pPr>
              <w:pStyle w:val="TableContents"/>
              <w:bidi w:val="0"/>
              <w:spacing w:before="1" w:after="1"/>
              <w:ind w:left="0" w:right="0" w:hanging="0"/>
              <w:jc w:val="left"/>
              <w:rPr/>
            </w:pPr>
            <w:r>
              <w:rPr/>
              <w:t>​</w:t>
            </w:r>
          </w:p>
        </w:tc>
        <w:tc>
          <w:tcPr>
            <w:tcW w:w="346" w:type="dxa"/>
            <w:tcBorders/>
            <w:shd w:fill="CEDBE0" w:val="clear"/>
            <w:vAlign w:val="center"/>
          </w:tcPr>
          <w:p>
            <w:pPr>
              <w:pStyle w:val="TableContents"/>
              <w:bidi w:val="0"/>
              <w:spacing w:before="1" w:after="1"/>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(587)</w:t>
            </w:r>
          </w:p>
        </w:tc>
        <w:tc>
          <w:tcPr>
            <w:tcW w:w="346" w:type="dxa"/>
            <w:tcBorders/>
            <w:shd w:fill="CEDBE0" w:val="clear"/>
            <w:vAlign w:val="center"/>
          </w:tcPr>
          <w:p>
            <w:pPr>
              <w:pStyle w:val="TableContents"/>
              <w:bidi w:val="0"/>
              <w:spacing w:before="1" w:after="1"/>
              <w:ind w:left="0" w:right="0" w:hanging="0"/>
              <w:jc w:val="left"/>
              <w:rPr/>
            </w:pPr>
            <w:r>
              <w:rPr/>
              <w:t> </w:t>
            </w:r>
          </w:p>
        </w:tc>
        <w:tc>
          <w:tcPr>
            <w:tcW w:w="181"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1"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(253)</w:t>
            </w:r>
          </w:p>
        </w:tc>
        <w:tc>
          <w:tcPr>
            <w:tcW w:w="346" w:type="dxa"/>
            <w:tcBorders/>
            <w:shd w:fill="CEDBE0" w:val="clear"/>
            <w:vAlign w:val="center"/>
          </w:tcPr>
          <w:p>
            <w:pPr>
              <w:pStyle w:val="TableContents"/>
              <w:bidi w:val="0"/>
              <w:spacing w:before="1" w:after="1"/>
              <w:ind w:left="0" w:right="0" w:hanging="0"/>
              <w:jc w:val="left"/>
              <w:rPr/>
            </w:pPr>
            <w:r>
              <w:rPr/>
              <w:t> </w:t>
            </w:r>
          </w:p>
        </w:tc>
        <w:tc>
          <w:tcPr>
            <w:tcW w:w="205" w:type="dxa"/>
            <w:tcBorders>
              <w:bottom w:val="single" w:sz="12" w:space="0" w:color="000000"/>
            </w:tcBorders>
            <w:shd w:fill="CEDBE0" w:val="clear"/>
            <w:tcMar>
              <w:bottom w:w="28" w:type="dxa"/>
            </w:tcM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26" w:type="dxa"/>
            <w:tcBorders>
              <w:bottom w:val="single" w:sz="12" w:space="0" w:color="000000"/>
            </w:tcBorders>
            <w:shd w:fill="CEDBE0" w:val="clear"/>
            <w:tcMar>
              <w:bottom w:w="28" w:type="dxa"/>
            </w:tcM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(334)</w:t>
            </w:r>
          </w:p>
        </w:tc>
        <w:tc>
          <w:tcPr>
            <w:tcW w:w="191" w:type="dxa"/>
            <w:tcBorders/>
            <w:shd w:fill="CEDBE0" w:val="clear"/>
            <w:vAlign w:val="center"/>
          </w:tcPr>
          <w:p>
            <w:pPr>
              <w:pStyle w:val="TableContents"/>
              <w:bidi w:val="0"/>
              <w:spacing w:before="1" w:after="1"/>
              <w:ind w:left="0" w:right="0" w:hanging="0"/>
              <w:jc w:val="left"/>
              <w:rPr/>
            </w:pPr>
            <w:r>
              <w:rPr/>
              <w:t>​</w:t>
            </w:r>
          </w:p>
        </w:tc>
      </w:tr>
    </w:tbl>
    <w:p>
      <w:pPr>
        <w:pStyle w:val="TextBody"/>
        <w:bidi w:val="0"/>
        <w:spacing w:before="120" w:after="180"/>
        <w:ind w:left="0" w:right="0" w:firstLine="720"/>
        <w:jc w:val="both"/>
        <w:rPr>
          <w:rFonts w:ascii="Arial Narrow" w:hAnsi="Arial Narrow"/>
          <w:sz w:val="20"/>
        </w:rPr>
      </w:pPr>
      <w:r>
        <w:rPr>
          <w:rFonts w:ascii="Arial Narrow" w:hAnsi="Arial Narrow"/>
          <w:sz w:val="20"/>
        </w:rPr>
        <w:t>Net cash used in financing activities increased primarily due to increased cash used to repay debt, primarily resulting from the redemption of the outstanding $358 million aggregate principal amount of the 8.375% Senior Secured Notes in current-year period.</w:t>
      </w:r>
    </w:p>
    <w:p>
      <w:pPr>
        <w:pStyle w:val="TextBody"/>
        <w:bidi w:val="0"/>
        <w:spacing w:before="180" w:after="60"/>
        <w:ind w:left="0" w:right="0" w:hanging="0"/>
        <w:jc w:val="left"/>
        <w:rPr>
          <w:rFonts w:ascii="Arial Narrow" w:hAnsi="Arial Narrow"/>
          <w:b/>
          <w:i/>
          <w:color w:val="00556F"/>
          <w:sz w:val="20"/>
        </w:rPr>
      </w:pPr>
      <w:bookmarkStart w:id="930" w:name="SourcesAndUsesOfLiquidity"/>
      <w:bookmarkEnd w:id="930"/>
      <w:r>
        <w:rPr>
          <w:rFonts w:ascii="Arial Narrow" w:hAnsi="Arial Narrow"/>
          <w:b/>
          <w:i/>
          <w:color w:val="00556F"/>
          <w:sz w:val="20"/>
        </w:rPr>
        <w:t>Sources and uses of liquidity</w:t>
      </w:r>
    </w:p>
    <w:p>
      <w:pPr>
        <w:pStyle w:val="TextBody"/>
        <w:bidi w:val="0"/>
        <w:spacing w:before="60" w:after="120"/>
        <w:ind w:left="0" w:right="0" w:firstLine="720"/>
        <w:jc w:val="both"/>
        <w:rPr>
          <w:rFonts w:ascii="Arial Narrow" w:hAnsi="Arial Narrow"/>
          <w:sz w:val="20"/>
        </w:rPr>
      </w:pPr>
      <w:r>
        <w:rPr>
          <w:rFonts w:ascii="Arial Narrow" w:hAnsi="Arial Narrow"/>
          <w:b/>
          <w:sz w:val="20"/>
        </w:rPr>
        <w:t>Overview</w:t>
      </w:r>
      <w:r>
        <w:rPr>
          <w:rFonts w:ascii="Arial Narrow" w:hAnsi="Arial Narrow"/>
          <w:sz w:val="20"/>
        </w:rPr>
        <w:t>—We expect to use existing unrestricted cash balances, cash flows from operating activities, borrowings under our Secured Credit Facility, proceeds from the disposal of assets or proceeds from the issuance of debt or shares to fulfill anticipated near-term obligations, which may include capital expenditures, working capital and other operational requirements, scheduled debt installments and maturities or other debt-related deposits or reservations of unrestricted cash.  At June 30, 2026, we had $509 million in unrestricted cash and cash equivalents and $286 million in restricted cash and cash equivalents.  We have generated positive cash flows from operating activities over recent years and, although we cannot provide assurances, we expect that such cash flows will continue to be positive over the next year.  For example, among other factors, if we incur costs for reactivation or contract preparation of multiple rigs or to otherwise assure the marketability of our fleet or general economic, financial, industry or business conditions deteriorate, our cash flows from operations may be reduced or negative.</w:t>
      </w:r>
    </w:p>
    <w:p>
      <w:pPr>
        <w:pStyle w:val="TextBody"/>
        <w:bidi w:val="0"/>
        <w:spacing w:before="60" w:after="120"/>
        <w:ind w:left="0" w:right="0" w:firstLine="720"/>
        <w:jc w:val="both"/>
        <w:rPr/>
      </w:pPr>
      <w:r>
        <w:rPr>
          <w:rFonts w:ascii="Arial Narrow" w:hAnsi="Arial Narrow"/>
          <w:sz w:val="20"/>
        </w:rPr>
        <w:t>We have a Secured Credit Facility that provides us with a borrowing capacity of $510 million through its maturity on June 22, 2028.  Our Secured Credit Facility, which is secured by, among other things, a lien on eight of our ultra-deepwater drillships and two of our harsh environment semisubmersibles, contains certain restrictive covenants, including a minimum guarantee coverage ratio of 3.0 to 1.0, a minimum collateral coverage ratio of 2.1 to 1.0 and a minimum liquidity requirement of $200 million, among others.  The Secured Credit Facility also restricts the ability of Transocean Ltd. and certain of our subsidiaries to, among other things, merge, consolidate or otherwise make changes to the corporate structure, incur liens, incur additional indebtedness, enter into transactions with affiliates and permits, subject to certain conditions, us to pay dividends and repurchase our shares.  For more information about our Secured Credit Facility and our outstanding debt instruments, see Notes to Condensed Consolidated Financial Statements—</w:t>
      </w:r>
      <w:hyperlink w:anchor="FNDebt">
        <w:r>
          <w:rPr>
            <w:rStyle w:val="InternetLink"/>
            <w:rFonts w:ascii="Arial Narrow" w:hAnsi="Arial Narrow"/>
            <w:b w:val="false"/>
            <w:i w:val="false"/>
            <w:caps w:val="false"/>
            <w:smallCaps w:val="false"/>
            <w:sz w:val="20"/>
          </w:rPr>
          <w:t>Note 6—Debt</w:t>
        </w:r>
      </w:hyperlink>
      <w:r>
        <w:rPr>
          <w:rFonts w:ascii="Arial Narrow" w:hAnsi="Arial Narrow"/>
          <w:sz w:val="20"/>
        </w:rPr>
        <w:t>.</w:t>
      </w:r>
    </w:p>
    <w:p>
      <w:pPr>
        <w:pStyle w:val="TextBody"/>
        <w:bidi w:val="0"/>
        <w:spacing w:before="60" w:after="120"/>
        <w:ind w:left="0" w:right="0" w:firstLine="720"/>
        <w:jc w:val="both"/>
        <w:rPr>
          <w:rFonts w:ascii="Arial Narrow" w:hAnsi="Arial Narrow"/>
          <w:sz w:val="20"/>
        </w:rPr>
      </w:pPr>
      <w:r>
        <w:rPr>
          <w:rFonts w:ascii="Arial Narrow" w:hAnsi="Arial Narrow"/>
          <w:sz w:val="20"/>
        </w:rPr>
        <w:t>Although we currently anticipate relying on these sources of liquidity, including cash flows from operating activities and borrowings under our Secured Credit Facility, among others, we may in the future consider establishing additional financing arrangements with banks or other capital providers and subject to market conditions and other factors, we may be required to provide collateral for any such future financing arrangements.  Our secured indentures include collateral rig leverage ratios.  During periods where collateral rigs have experienced reduced levels of operating efficiency or utilization, we have in the past deposited cash into the applicable debt service reserve account and taken other actions, including obtaining consents of holders of certain of our secured debt, as applicable, in order to satisfy the applicable collateral rig leverage ratio, and we may in the future take such actions from time to time, as necessary.</w:t>
      </w:r>
    </w:p>
    <w:p>
      <w:pPr>
        <w:pStyle w:val="TextBody"/>
        <w:bidi w:val="0"/>
        <w:spacing w:before="60" w:after="0"/>
        <w:ind w:left="0" w:right="0" w:firstLine="720"/>
        <w:jc w:val="both"/>
        <w:rPr>
          <w:rFonts w:ascii="Arial Narrow" w:hAnsi="Arial Narrow"/>
          <w:sz w:val="20"/>
        </w:rPr>
      </w:pPr>
      <w:r>
        <w:rPr>
          <w:rFonts w:ascii="Arial Narrow" w:hAnsi="Arial Narrow"/>
          <w:b/>
          <w:sz w:val="20"/>
        </w:rPr>
        <w:t>Debt and equity markets</w:t>
      </w:r>
      <w:r>
        <w:rPr>
          <w:rFonts w:ascii="Arial Narrow" w:hAnsi="Arial Narrow"/>
          <w:sz w:val="20"/>
        </w:rPr>
        <w:t xml:space="preserve">—From time to time, we seek to access the capital markets in connection with our ongoing efforts to prudently manage our capital structure and improve our liquidity position.  For example, we have completed multiple debt and equity transactions, including tender offers, redemptions, exchanges and retirement of existing debt.  Subject to then-existing market conditions and our expected liquidity needs, among other factors, we may also use existing unrestricted cash balances, cash flows from operating activities, or proceeds from asset sales to manage our capital structure, including by purchasing or exchanging any of our debt or equity securities in the open market, in privately negotiated transactions, or through tender or exchange offers, or by redeeming any of our outstanding debt securities pursuant to the terms of the applicable governing document, if applicable.  Any future purchases, exchanges or other transactions may be on the same terms or on terms that are more or less favorable to holders than the terms of any prior transaction.  We can provide no assurance as to which, if any, of these alternatives, or combinations thereof, we may choose to pursue in the future, if at </w:t>
      </w:r>
    </w:p>
    <w:p>
      <w:pPr>
        <w:pStyle w:val="TextBody"/>
        <w:bidi w:val="0"/>
        <w:spacing w:before="0" w:after="0"/>
        <w:ind w:left="0" w:right="0" w:hanging="0"/>
        <w:jc w:val="center"/>
        <w:rPr>
          <w:rFonts w:ascii="Arial Narrow" w:hAnsi="Arial Narrow"/>
          <w:sz w:val="20"/>
        </w:rPr>
      </w:pPr>
      <w:r>
        <w:rPr>
          <w:rFonts w:ascii="Arial Narrow" w:hAnsi="Arial Narrow"/>
          <w:sz w:val="20"/>
        </w:rPr>
        <w:t>- 20 -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hanging="0"/>
        <w:jc w:val="both"/>
        <w:rPr/>
      </w:pPr>
      <w:r>
        <w:rPr>
          <w:rFonts w:ascii="Arial Narrow" w:hAnsi="Arial Narrow"/>
          <w:sz w:val="20"/>
        </w:rPr>
        <w:t>all, or as to the timing with respect to any future transactions.  For more information about our debt and equity transactions, see Notes to Condensed Consolidated Financial Statements—</w:t>
      </w:r>
      <w:hyperlink w:anchor="FN_Debt">
        <w:r>
          <w:rPr>
            <w:rStyle w:val="InternetLink"/>
            <w:rFonts w:ascii="Arial Narrow" w:hAnsi="Arial Narrow"/>
            <w:b w:val="false"/>
            <w:i w:val="false"/>
            <w:caps w:val="false"/>
            <w:smallCaps w:val="false"/>
            <w:sz w:val="20"/>
          </w:rPr>
          <w:t>Note 6—Debt</w:t>
        </w:r>
      </w:hyperlink>
      <w:r>
        <w:rPr>
          <w:rFonts w:ascii="Arial Narrow" w:hAnsi="Arial Narrow"/>
          <w:sz w:val="20"/>
        </w:rPr>
        <w:t xml:space="preserve"> and </w:t>
      </w:r>
      <w:hyperlink w:anchor="FN_Equity">
        <w:r>
          <w:rPr>
            <w:rStyle w:val="InternetLink"/>
            <w:rFonts w:ascii="Arial Narrow" w:hAnsi="Arial Narrow"/>
            <w:b w:val="false"/>
            <w:i w:val="false"/>
            <w:caps w:val="false"/>
            <w:smallCaps w:val="false"/>
            <w:sz w:val="20"/>
          </w:rPr>
          <w:t>Note 10—Equity</w:t>
        </w:r>
      </w:hyperlink>
      <w:r>
        <w:rPr>
          <w:rFonts w:ascii="Arial Narrow" w:hAnsi="Arial Narrow"/>
          <w:sz w:val="20"/>
        </w:rPr>
        <w:t>.</w:t>
      </w:r>
    </w:p>
    <w:p>
      <w:pPr>
        <w:pStyle w:val="TextBody"/>
        <w:bidi w:val="0"/>
        <w:spacing w:before="60" w:after="120"/>
        <w:ind w:left="0" w:right="0" w:firstLine="720"/>
        <w:jc w:val="both"/>
        <w:rPr>
          <w:rFonts w:ascii="Arial Narrow" w:hAnsi="Arial Narrow"/>
          <w:sz w:val="20"/>
        </w:rPr>
      </w:pPr>
      <w:r>
        <w:rPr>
          <w:rFonts w:ascii="Arial Narrow" w:hAnsi="Arial Narrow"/>
          <w:sz w:val="20"/>
        </w:rPr>
        <w:t>Our ability and willingness to access the debt and equity markets is a function of a variety of factors, including, among others, general economic, industry or market conditions, market perceptions of us and our industry and credit rating agencies’ views of our debt.  General economic or market conditions could have an adverse effect on our business and financial position and on the business and financial position of our customers, suppliers and lenders and could affect our ability to access the capital markets on acceptable terms or at all and our future need or ability to borrow under our Secured Credit Facility.  In addition to our potential sources of funding, the effects of such global events could impact our liquidity or cause us to need to alter our allocation or sources of capital, implement further cost reduction measures and change our financial strategy.  Additionally, the rating of our long-term debt is below investment grade, which is causing us to experience increased fees and interest rates under our Secured Credit Facility and indentures governing certain of our senior notes.  Future downgrades may further restrict our ability to access the debt market for sources of capital and may negatively impact the cost of such capital at a time when we would like, or need, to access such markets, which could have an impact on our flexibility to react to changing economic and business conditions.</w:t>
      </w:r>
    </w:p>
    <w:p>
      <w:pPr>
        <w:pStyle w:val="TextBody"/>
        <w:bidi w:val="0"/>
        <w:spacing w:before="60" w:after="120"/>
        <w:ind w:left="0" w:right="0" w:firstLine="720"/>
        <w:jc w:val="both"/>
        <w:rPr/>
      </w:pPr>
      <w:r>
        <w:rPr>
          <w:rFonts w:ascii="Arial Narrow" w:hAnsi="Arial Narrow"/>
          <w:b/>
          <w:sz w:val="20"/>
        </w:rPr>
        <w:t>Drilling fleet</w:t>
      </w:r>
      <w:r>
        <w:rPr>
          <w:rFonts w:ascii="Arial Narrow" w:hAnsi="Arial Narrow"/>
          <w:sz w:val="20"/>
        </w:rPr>
        <w:t>—From time to time, we review possible acquisitions of businesses and drilling rigs, as well as noncontrolling ownership interests in other companies, and we may make significant future capital commitments for such purposes.  We may also consider investments related to major rig upgrades, new rig construction, or the acquisition of a rig under construction.  Any such acquisition or investment has involved, and in the future could involve, the payment by us of a substantial amount of cash or the issuance of a substantial number of additional shares or other securities.  Our failure to subsequently secure drilling contracts in these instances, if not already secured, could have an adverse effect on our results of operations or cash flows.  For information about our Agreement to acquire Valaris, see Notes to Consolidated Financial Statements—</w:t>
      </w:r>
      <w:hyperlink w:anchor="FN_Business">
        <w:r>
          <w:rPr>
            <w:rStyle w:val="InternetLink"/>
            <w:rFonts w:ascii="Arial Narrow" w:hAnsi="Arial Narrow"/>
            <w:b w:val="false"/>
            <w:i w:val="false"/>
            <w:caps w:val="false"/>
            <w:smallCaps w:val="false"/>
            <w:sz w:val="20"/>
          </w:rPr>
          <w:t>Note 1—Business</w:t>
        </w:r>
      </w:hyperlink>
      <w:r>
        <w:rPr>
          <w:rFonts w:ascii="Arial Narrow" w:hAnsi="Arial Narrow"/>
          <w:sz w:val="20"/>
        </w:rPr>
        <w:t>.</w:t>
      </w:r>
    </w:p>
    <w:p>
      <w:pPr>
        <w:pStyle w:val="TextBody"/>
        <w:bidi w:val="0"/>
        <w:spacing w:before="120" w:after="120"/>
        <w:ind w:left="0" w:right="0" w:firstLine="720"/>
        <w:jc w:val="both"/>
        <w:rPr>
          <w:rFonts w:ascii="Arial Narrow" w:hAnsi="Arial Narrow"/>
          <w:sz w:val="20"/>
        </w:rPr>
      </w:pPr>
      <w:r>
        <w:rPr>
          <w:rFonts w:ascii="Arial Narrow" w:hAnsi="Arial Narrow"/>
          <w:sz w:val="20"/>
        </w:rPr>
        <w:t>The ultimate amount of our capital expenditures is partly dependent upon financial market conditions, the actual level of operational and contracting activity, the costs associated with the current regulatory environment and customer-requested capital improvements and equipment for which the customer agrees to reimburse us.  As with any major shipyard project that takes place over an extended period, the actual costs, the timing of expenditures and the project completion date may vary from estimates based on numerous factors, including actual contract terms, weather, exchange rates, shipyard labor conditions, availability of suppliers to recertify equipment and market demand for required components and resources.  We intend to fund the cash requirements for our projected capital expenditures by using available cash balances, cash generated from operations and asset sales, borrowings under our Secured Credit Facility and financing arrangements with banks or other capital providers.  Economic conditions and other factors could impact the availability of these sources of funding.</w:t>
      </w:r>
    </w:p>
    <w:p>
      <w:pPr>
        <w:pStyle w:val="TextBody"/>
        <w:bidi w:val="0"/>
        <w:spacing w:before="60" w:after="120"/>
        <w:ind w:left="0" w:right="0" w:firstLine="720"/>
        <w:jc w:val="both"/>
        <w:rPr/>
      </w:pPr>
      <w:r>
        <w:rPr>
          <w:rFonts w:ascii="Arial Narrow" w:hAnsi="Arial Narrow"/>
          <w:sz w:val="20"/>
        </w:rPr>
        <w:t>From time to time, we may review the possible disposition of certain drilling assets.  In the six months ended June 30, 2026, we completed the disposal of two ultra-deepwater drillships, together with related assets, in sales for recycling.  In July 2026, we completed the sale of one harsh environment semisubmersible and related assets in a sale for recycling.  Considering market conditions, we may identify additional lower-specification drilling units to be sold for scrap, recycling or alternative purposes.  See Notes to Condensed Consolidated Financial Statements—</w:t>
      </w:r>
      <w:hyperlink w:anchor="FN_LongLivedAssests">
        <w:r>
          <w:rPr>
            <w:rStyle w:val="InternetLink"/>
            <w:rFonts w:ascii="Arial Narrow" w:hAnsi="Arial Narrow"/>
            <w:b w:val="false"/>
            <w:i w:val="false"/>
            <w:caps w:val="false"/>
            <w:smallCaps w:val="false"/>
            <w:sz w:val="20"/>
          </w:rPr>
          <w:t>Note 5—Long-Lived Assets</w:t>
        </w:r>
      </w:hyperlink>
      <w:r>
        <w:rPr>
          <w:rFonts w:ascii="Arial Narrow" w:hAnsi="Arial Narrow"/>
          <w:sz w:val="20"/>
        </w:rPr>
        <w:t>.</w:t>
      </w:r>
    </w:p>
    <w:p>
      <w:pPr>
        <w:pStyle w:val="TextBody"/>
        <w:bidi w:val="0"/>
        <w:spacing w:before="60" w:after="120"/>
        <w:ind w:left="0" w:right="0" w:firstLine="720"/>
        <w:jc w:val="both"/>
        <w:rPr/>
      </w:pPr>
      <w:r>
        <w:rPr>
          <w:rFonts w:ascii="Arial Narrow" w:hAnsi="Arial Narrow"/>
          <w:b/>
          <w:sz w:val="20"/>
        </w:rPr>
        <w:t>Contractual obligations and other commercial commitments</w:t>
      </w:r>
      <w:r>
        <w:rPr>
          <w:rFonts w:ascii="Arial Narrow" w:hAnsi="Arial Narrow"/>
          <w:sz w:val="20"/>
        </w:rPr>
        <w:t xml:space="preserve">—As of June 30, 2026, with exception to our redemption and early retirement of the outstanding $358 million aggregate principal amount of the 8.375% Senior Secured Notes, there have been no material changes to our contractual obligations or other commercial commitments as previously disclosed in “Part II. Item 7. Management’s Discussion and Analysis of Financial Condition and Results of Operations” in our annual report on </w:t>
      </w:r>
      <w:hyperlink r:id="rId6">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  For additional information about our debt obligations, including scheduled maturities and early retirement, see Notes to Condensed Consolidated Financial Statements—</w:t>
      </w:r>
      <w:hyperlink w:anchor="FN_Debt">
        <w:r>
          <w:rPr>
            <w:rStyle w:val="InternetLink"/>
            <w:rFonts w:ascii="Arial Narrow" w:hAnsi="Arial Narrow"/>
            <w:b w:val="false"/>
            <w:i w:val="false"/>
            <w:caps w:val="false"/>
            <w:smallCaps w:val="false"/>
            <w:sz w:val="20"/>
          </w:rPr>
          <w:t>Note 6—Debt</w:t>
        </w:r>
      </w:hyperlink>
      <w:r>
        <w:rPr>
          <w:rFonts w:ascii="Arial Narrow" w:hAnsi="Arial Narrow"/>
          <w:sz w:val="20"/>
        </w:rPr>
        <w:t>.</w:t>
      </w:r>
    </w:p>
    <w:p>
      <w:pPr>
        <w:pStyle w:val="TextBody"/>
        <w:pBdr>
          <w:bottom w:val="single" w:sz="18" w:space="1" w:color="ECA44A"/>
        </w:pBdr>
        <w:bidi w:val="0"/>
        <w:spacing w:before="180" w:after="60"/>
        <w:ind w:left="0" w:right="0" w:hanging="0"/>
        <w:jc w:val="left"/>
        <w:rPr>
          <w:rFonts w:ascii="Arial Narrow" w:hAnsi="Arial Narrow"/>
          <w:b/>
          <w:caps/>
          <w:color w:val="00556F"/>
          <w:sz w:val="22"/>
        </w:rPr>
      </w:pPr>
      <w:bookmarkStart w:id="931" w:name="_871cd1c7_0378_40aa_93ab_e0823f9dbe98"/>
      <w:bookmarkEnd w:id="931"/>
      <w:r>
        <w:rPr>
          <w:rFonts w:ascii="Arial Narrow" w:hAnsi="Arial Narrow"/>
          <w:b/>
          <w:caps/>
          <w:color w:val="00556F"/>
          <w:sz w:val="22"/>
        </w:rPr>
        <w:t>Critical Accounting Policies and Estimates</w:t>
      </w:r>
    </w:p>
    <w:p>
      <w:pPr>
        <w:pStyle w:val="TextBody"/>
        <w:bidi w:val="0"/>
        <w:spacing w:before="60" w:after="120"/>
        <w:ind w:left="0" w:right="0" w:firstLine="720"/>
        <w:jc w:val="both"/>
        <w:rPr/>
      </w:pPr>
      <w:r>
        <w:rPr>
          <w:rFonts w:ascii="Arial Narrow" w:hAnsi="Arial Narrow"/>
          <w:sz w:val="20"/>
        </w:rPr>
        <w:t xml:space="preserve">As of June 30, 2026, there have been no material changes to the critical accounting policies and estimates that we use as a basis for applying judgments, assumptions and estimates to prepare our condensed consolidated financial statements, as previously disclosed in “Part II. Item 7. Management’s Discussion and Analysis of Financial Condition and Results of Operations—Critical Accounting Policies and Estimates” in our annual report on </w:t>
      </w:r>
      <w:hyperlink r:id="rId7">
        <w:r>
          <w:rPr>
            <w:rStyle w:val="InternetLink"/>
            <w:rFonts w:ascii="Arial Narrow" w:hAnsi="Arial Narrow"/>
            <w:b w:val="false"/>
            <w:i w:val="false"/>
            <w:caps w:val="false"/>
            <w:smallCaps w:val="false"/>
            <w:sz w:val="20"/>
          </w:rPr>
          <w:t>Form 10-K for the year ended December 31, 2025.</w:t>
        </w:r>
      </w:hyperlink>
    </w:p>
    <w:p>
      <w:pPr>
        <w:pStyle w:val="TextBody"/>
        <w:pBdr>
          <w:bottom w:val="single" w:sz="18" w:space="1" w:color="ECA44A"/>
        </w:pBdr>
        <w:bidi w:val="0"/>
        <w:spacing w:before="240" w:after="60"/>
        <w:ind w:left="0" w:right="0" w:hanging="0"/>
        <w:jc w:val="left"/>
        <w:rPr>
          <w:rFonts w:ascii="Arial Narrow" w:hAnsi="Arial Narrow"/>
          <w:b/>
          <w:caps/>
          <w:color w:val="00556F"/>
          <w:sz w:val="22"/>
        </w:rPr>
      </w:pPr>
      <w:bookmarkStart w:id="932" w:name="_b607f537_7ab5_4419_8aeb_b5960bd05d05"/>
      <w:bookmarkEnd w:id="932"/>
      <w:r>
        <w:rPr>
          <w:rFonts w:ascii="Arial Narrow" w:hAnsi="Arial Narrow"/>
          <w:b/>
          <w:caps/>
          <w:color w:val="00556F"/>
          <w:sz w:val="22"/>
        </w:rPr>
        <w:t>Other Matters</w:t>
      </w:r>
    </w:p>
    <w:p>
      <w:pPr>
        <w:pStyle w:val="TextBody"/>
        <w:bidi w:val="0"/>
        <w:spacing w:before="60" w:after="60"/>
        <w:ind w:left="0" w:right="0" w:hanging="0"/>
        <w:jc w:val="left"/>
        <w:rPr>
          <w:rFonts w:ascii="Arial Narrow" w:hAnsi="Arial Narrow"/>
          <w:b/>
          <w:i/>
          <w:color w:val="00556F"/>
          <w:sz w:val="20"/>
        </w:rPr>
      </w:pPr>
      <w:r>
        <w:rPr>
          <w:rFonts w:ascii="Arial Narrow" w:hAnsi="Arial Narrow"/>
          <w:b/>
          <w:i/>
          <w:color w:val="00556F"/>
          <w:sz w:val="20"/>
        </w:rPr>
        <w:t>Regulatory matters</w:t>
      </w:r>
    </w:p>
    <w:p>
      <w:pPr>
        <w:pStyle w:val="TextBody"/>
        <w:bidi w:val="0"/>
        <w:spacing w:before="60" w:after="120"/>
        <w:ind w:left="0" w:right="0" w:firstLine="720"/>
        <w:jc w:val="both"/>
        <w:rPr/>
      </w:pPr>
      <w:r>
        <w:rPr>
          <w:rFonts w:ascii="Arial Narrow" w:hAnsi="Arial Narrow"/>
          <w:sz w:val="20"/>
        </w:rPr>
        <w:t>We occasionally receive inquiries from governmental regulatory agencies regarding our operations around the world, including inquiries with respect to various tax, environmental, regulatory and compliance matters.  To the extent appropriate under the circumstances, we investigate such matters, respond to such inquiries and cooperate with the regulatory agencies.  See Notes to Condensed Consolidated Financial Statements—</w:t>
      </w:r>
      <w:hyperlink w:anchor="FNContingencies">
        <w:r>
          <w:rPr>
            <w:rStyle w:val="InternetLink"/>
            <w:rFonts w:ascii="Arial Narrow" w:hAnsi="Arial Narrow"/>
            <w:b w:val="false"/>
            <w:i w:val="false"/>
            <w:caps w:val="false"/>
            <w:smallCaps w:val="false"/>
            <w:sz w:val="20"/>
          </w:rPr>
          <w:t>Note 9—Contingencies</w:t>
        </w:r>
      </w:hyperlink>
      <w:r>
        <w:rPr>
          <w:rFonts w:ascii="Arial Narrow" w:hAnsi="Arial Narrow"/>
          <w:sz w:val="20"/>
        </w:rPr>
        <w:t>.</w:t>
      </w:r>
    </w:p>
    <w:p>
      <w:pPr>
        <w:pStyle w:val="TextBody"/>
        <w:bidi w:val="0"/>
        <w:spacing w:before="180" w:after="60"/>
        <w:ind w:left="0" w:right="0" w:hanging="0"/>
        <w:jc w:val="left"/>
        <w:rPr>
          <w:rFonts w:ascii="Arial Narrow" w:hAnsi="Arial Narrow"/>
          <w:b/>
          <w:i/>
          <w:color w:val="00556F"/>
          <w:sz w:val="20"/>
        </w:rPr>
      </w:pPr>
      <w:r>
        <w:rPr>
          <w:rFonts w:ascii="Arial Narrow" w:hAnsi="Arial Narrow"/>
          <w:b/>
          <w:i/>
          <w:color w:val="00556F"/>
          <w:sz w:val="20"/>
        </w:rPr>
        <w:t>Tax matters</w:t>
      </w:r>
    </w:p>
    <w:p>
      <w:pPr>
        <w:pStyle w:val="TextBody"/>
        <w:bidi w:val="0"/>
        <w:spacing w:before="60" w:after="0"/>
        <w:ind w:left="0" w:right="0" w:firstLine="720"/>
        <w:jc w:val="both"/>
        <w:rPr>
          <w:rFonts w:ascii="Arial Narrow" w:hAnsi="Arial Narrow"/>
          <w:sz w:val="20"/>
        </w:rPr>
      </w:pPr>
      <w:r>
        <w:rPr>
          <w:rFonts w:ascii="Arial Narrow" w:hAnsi="Arial Narrow"/>
          <w:sz w:val="20"/>
        </w:rPr>
        <w:t>We conduct operations through our various subsidiaries in countries throughout the world.  Each country has its own tax regimes with varying nominal rates, deductions and tax attributes that are subject to changes resulting from new legislation, interpretation or guidance.  </w:t>
      </w:r>
    </w:p>
    <w:p>
      <w:pPr>
        <w:pStyle w:val="TextBody"/>
        <w:bidi w:val="0"/>
        <w:spacing w:before="0" w:after="0"/>
        <w:ind w:left="0" w:right="0" w:hanging="0"/>
        <w:jc w:val="center"/>
        <w:rPr>
          <w:rFonts w:ascii="Arial Narrow" w:hAnsi="Arial Narrow"/>
          <w:sz w:val="20"/>
        </w:rPr>
      </w:pPr>
      <w:r>
        <w:rPr>
          <w:rFonts w:ascii="Arial Narrow" w:hAnsi="Arial Narrow"/>
          <w:sz w:val="20"/>
        </w:rPr>
        <w:t>- 21 -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bidi w:val="0"/>
        <w:spacing w:before="0" w:after="0"/>
        <w:ind w:left="0" w:right="0" w:hanging="0"/>
        <w:jc w:val="both"/>
        <w:rPr/>
      </w:pPr>
      <w:r>
        <w:rPr>
          <w:rFonts w:ascii="Arial Narrow" w:hAnsi="Arial Narrow"/>
          <w:sz w:val="20"/>
        </w:rPr>
        <w:t>From time to time, as a result of these changes, we may revise previously evaluated tax positions, which could cause us to adjust our recorded tax assets and liabilities.  Tax authorities in certain jurisdictions are examining our tax returns and, in some cases, have issued assessments.  We intend to defend our tax positions vigorously.  Although we can provide no assurance as to the outcome of the aforementioned changes, examinations or assessments, we do not expect the ultimate liability to have a material adverse effect on our financial position or results of operations; however, it could have a material adverse effect on our cash flows.  See Notes to Condensed Consolidated Financial Statements—</w:t>
      </w:r>
      <w:hyperlink w:anchor="FNIncomeTaxes">
        <w:r>
          <w:rPr>
            <w:rStyle w:val="InternetLink"/>
            <w:rFonts w:ascii="Arial Narrow" w:hAnsi="Arial Narrow"/>
            <w:b w:val="false"/>
            <w:i w:val="false"/>
            <w:caps w:val="false"/>
            <w:smallCaps w:val="false"/>
            <w:sz w:val="20"/>
          </w:rPr>
          <w:t>Note 7—Income Taxes</w:t>
        </w:r>
      </w:hyperlink>
      <w:r>
        <w:rPr>
          <w:rFonts w:ascii="Arial Narrow" w:hAnsi="Arial Narrow"/>
          <w:sz w:val="20"/>
        </w:rPr>
        <w:t>.</w:t>
      </w:r>
    </w:p>
    <w:p>
      <w:pPr>
        <w:pStyle w:val="Normal"/>
        <w:bidi w:val="0"/>
        <w:spacing w:before="0" w:after="0"/>
        <w:jc w:val="left"/>
        <w:rPr>
          <w:sz w:val="4"/>
          <w:szCs w:val="4"/>
        </w:rPr>
      </w:pPr>
      <w:r>
        <w:rPr>
          <w:sz w:val="4"/>
          <w:szCs w:val="4"/>
        </w:rPr>
      </w:r>
      <w:bookmarkStart w:id="933" w:name="Item7AQuantitativeandQualitativeDisclosu"/>
      <w:bookmarkStart w:id="934" w:name="_f0a806ce_e6f2_4706_8189_24b0958e9357"/>
      <w:bookmarkStart w:id="935" w:name="Item7AQuantitativeandQualitativeDisclosu"/>
      <w:bookmarkStart w:id="936" w:name="_f0a806ce_e6f2_4706_8189_24b0958e9357"/>
      <w:bookmarkEnd w:id="935"/>
      <w:bookmarkEnd w:id="936"/>
    </w:p>
    <w:tbl>
      <w:tblPr>
        <w:tblW w:w="7442" w:type="dxa"/>
        <w:jc w:val="left"/>
        <w:tblInd w:w="0" w:type="dxa"/>
        <w:tblLayout w:type="fixed"/>
        <w:tblCellMar>
          <w:top w:w="0" w:type="dxa"/>
          <w:left w:w="0" w:type="dxa"/>
          <w:bottom w:w="0" w:type="dxa"/>
          <w:right w:w="0" w:type="dxa"/>
        </w:tblCellMar>
      </w:tblPr>
      <w:tblGrid>
        <w:gridCol w:w="751"/>
        <w:gridCol w:w="6691"/>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3.</w:t>
            </w:r>
          </w:p>
        </w:tc>
        <w:tc>
          <w:tcPr>
            <w:tcW w:w="669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Quantitative and Qualitative Disclosures About Market Risk</w:t>
            </w:r>
          </w:p>
        </w:tc>
      </w:tr>
    </w:tbl>
    <w:p>
      <w:pPr>
        <w:pStyle w:val="TextBody"/>
        <w:bidi w:val="0"/>
        <w:spacing w:before="60" w:after="180"/>
        <w:ind w:left="0" w:right="0" w:firstLine="720"/>
        <w:jc w:val="both"/>
        <w:rPr/>
      </w:pPr>
      <w:r>
        <w:rPr>
          <w:rFonts w:ascii="Arial Narrow" w:hAnsi="Arial Narrow"/>
          <w:b/>
          <w:sz w:val="20"/>
        </w:rPr>
        <w:t>Overview</w:t>
      </w:r>
      <w:r>
        <w:rPr>
          <w:rFonts w:ascii="Arial Narrow" w:hAnsi="Arial Narrow"/>
          <w:sz w:val="20"/>
        </w:rPr>
        <w:t xml:space="preserve">—We are exposed to interest rate risk, primarily associated with our long-term debt, including current maturities.  Additionally, we are exposed to equity price risk related to our exchangeable bonds and currency exchange rate risk related to our international operations.  With the exception to the following, there have been no material changes to our market risks as previously disclosed in “Part II. Item 7A. Quantitative and Qualitative Disclosures About Market Risk” in our annual report on </w:t>
      </w:r>
      <w:hyperlink r:id="rId8">
        <w:r>
          <w:rPr>
            <w:rStyle w:val="InternetLink"/>
            <w:rFonts w:ascii="Arial Narrow" w:hAnsi="Arial Narrow"/>
            <w:b w:val="false"/>
            <w:i w:val="false"/>
            <w:caps w:val="false"/>
            <w:smallCaps w:val="false"/>
            <w:sz w:val="20"/>
          </w:rPr>
          <w:t>Form 10-K for the year ended December 31, 2025.</w:t>
        </w:r>
      </w:hyperlink>
    </w:p>
    <w:p>
      <w:pPr>
        <w:pStyle w:val="TextBody"/>
        <w:bidi w:val="0"/>
        <w:spacing w:before="60" w:after="60"/>
        <w:ind w:left="0" w:right="0" w:firstLine="720"/>
        <w:jc w:val="both"/>
        <w:rPr>
          <w:rFonts w:ascii="Arial Narrow" w:hAnsi="Arial Narrow"/>
          <w:sz w:val="20"/>
        </w:rPr>
      </w:pPr>
      <w:r>
        <w:rPr>
          <w:rFonts w:ascii="Arial Narrow" w:hAnsi="Arial Narrow"/>
          <w:b/>
          <w:sz w:val="20"/>
        </w:rPr>
        <w:t>Interest rate risk</w:t>
      </w:r>
      <w:r>
        <w:rPr>
          <w:rFonts w:ascii="Arial Narrow" w:hAnsi="Arial Narrow"/>
          <w:sz w:val="20"/>
        </w:rPr>
        <w:t>—The following table presents the scheduled installment amounts and related weighted-average interest rates of our long-term debt instruments by contractual maturity date.  The following table presents information as of June 30, 2026 (in millions, except interest rate percentages):</w:t>
      </w:r>
    </w:p>
    <w:tbl>
      <w:tblPr>
        <w:tblW w:w="9333" w:type="dxa"/>
        <w:jc w:val="left"/>
        <w:tblInd w:w="0" w:type="dxa"/>
        <w:tblLayout w:type="fixed"/>
        <w:tblCellMar>
          <w:top w:w="0" w:type="dxa"/>
          <w:left w:w="0" w:type="dxa"/>
          <w:bottom w:w="0" w:type="dxa"/>
          <w:right w:w="0" w:type="dxa"/>
        </w:tblCellMar>
      </w:tblPr>
      <w:tblGrid>
        <w:gridCol w:w="1441"/>
        <w:gridCol w:w="226"/>
        <w:gridCol w:w="181"/>
        <w:gridCol w:w="376"/>
        <w:gridCol w:w="331"/>
        <w:gridCol w:w="181"/>
        <w:gridCol w:w="376"/>
        <w:gridCol w:w="331"/>
        <w:gridCol w:w="181"/>
        <w:gridCol w:w="451"/>
        <w:gridCol w:w="331"/>
        <w:gridCol w:w="181"/>
        <w:gridCol w:w="376"/>
        <w:gridCol w:w="331"/>
        <w:gridCol w:w="181"/>
        <w:gridCol w:w="451"/>
        <w:gridCol w:w="331"/>
        <w:gridCol w:w="227"/>
        <w:gridCol w:w="569"/>
        <w:gridCol w:w="331"/>
        <w:gridCol w:w="181"/>
        <w:gridCol w:w="451"/>
        <w:gridCol w:w="346"/>
        <w:gridCol w:w="223"/>
        <w:gridCol w:w="557"/>
        <w:gridCol w:w="191"/>
      </w:tblGrid>
      <w:tr>
        <w:trPr/>
        <w:tc>
          <w:tcPr>
            <w:tcW w:w="1441"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227" w:type="dxa"/>
            <w:tcBorders/>
            <w:vAlign w:val="center"/>
          </w:tcPr>
          <w:p>
            <w:pPr>
              <w:pStyle w:val="TableContents"/>
              <w:bidi w:val="0"/>
              <w:spacing w:before="1" w:after="1"/>
              <w:ind w:left="0" w:right="0" w:hanging="0"/>
              <w:jc w:val="left"/>
              <w:rPr/>
            </w:pPr>
            <w:r>
              <w:rPr/>
              <w:t>​</w:t>
            </w:r>
          </w:p>
        </w:tc>
        <w:tc>
          <w:tcPr>
            <w:tcW w:w="569"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1441"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w:t>
            </w:r>
          </w:p>
        </w:tc>
        <w:tc>
          <w:tcPr>
            <w:tcW w:w="4259" w:type="dxa"/>
            <w:gridSpan w:val="14"/>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Twelve months ending June 30,</w:t>
            </w:r>
          </w:p>
        </w:tc>
        <w:tc>
          <w:tcPr>
            <w:tcW w:w="331" w:type="dxa"/>
            <w:tcBorders/>
            <w:vAlign w:val="center"/>
          </w:tcPr>
          <w:p>
            <w:pPr>
              <w:pStyle w:val="TableContents"/>
              <w:bidi w:val="0"/>
              <w:spacing w:before="1" w:after="1"/>
              <w:ind w:left="0" w:right="0" w:hanging="0"/>
              <w:jc w:val="center"/>
              <w:rPr/>
            </w:pPr>
            <w:r>
              <w:rPr/>
              <w:t>​</w:t>
            </w:r>
          </w:p>
        </w:tc>
        <w:tc>
          <w:tcPr>
            <w:tcW w:w="227" w:type="dxa"/>
            <w:tcBorders/>
            <w:vAlign w:val="center"/>
          </w:tcPr>
          <w:p>
            <w:pPr>
              <w:pStyle w:val="TableContents"/>
              <w:bidi w:val="0"/>
              <w:spacing w:before="1" w:after="1"/>
              <w:ind w:left="0" w:right="0" w:hanging="0"/>
              <w:jc w:val="center"/>
              <w:rPr/>
            </w:pPr>
            <w:r>
              <w:rPr/>
              <w:t>​</w:t>
            </w:r>
          </w:p>
        </w:tc>
        <w:tc>
          <w:tcPr>
            <w:tcW w:w="569" w:type="dxa"/>
            <w:tcBorders/>
            <w:vAlign w:val="center"/>
          </w:tcPr>
          <w:p>
            <w:pPr>
              <w:pStyle w:val="TableContents"/>
              <w:bidi w:val="0"/>
              <w:spacing w:before="1" w:after="1"/>
              <w:ind w:left="0" w:right="0" w:hanging="0"/>
              <w:jc w:val="center"/>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23" w:type="dxa"/>
            <w:tcBorders/>
            <w:vAlign w:val="center"/>
          </w:tcPr>
          <w:p>
            <w:pPr>
              <w:pStyle w:val="TableContents"/>
              <w:bidi w:val="0"/>
              <w:spacing w:before="1" w:after="1"/>
              <w:ind w:left="0" w:right="0" w:hanging="0"/>
              <w:jc w:val="center"/>
              <w:rPr/>
            </w:pPr>
            <w:r>
              <w:rPr/>
              <w:t>​</w:t>
            </w:r>
          </w:p>
        </w:tc>
        <w:tc>
          <w:tcPr>
            <w:tcW w:w="557" w:type="dxa"/>
            <w:tcBorders/>
            <w:vAlign w:val="center"/>
          </w:tcPr>
          <w:p>
            <w:pPr>
              <w:pStyle w:val="TableContents"/>
              <w:bidi w:val="0"/>
              <w:spacing w:before="1" w:after="1"/>
              <w:ind w:left="0" w:right="0" w:hanging="0"/>
              <w:jc w:val="center"/>
              <w:rPr/>
            </w:pPr>
            <w:r>
              <w:rPr/>
              <w:t>​</w:t>
            </w:r>
          </w:p>
        </w:tc>
        <w:tc>
          <w:tcPr>
            <w:tcW w:w="191" w:type="dxa"/>
            <w:tcBorders/>
            <w:vAlign w:val="center"/>
          </w:tcPr>
          <w:p>
            <w:pPr>
              <w:pStyle w:val="TableContents"/>
              <w:bidi w:val="0"/>
              <w:spacing w:before="1" w:after="1"/>
              <w:ind w:left="0" w:right="0" w:hanging="0"/>
              <w:jc w:val="center"/>
              <w:rPr/>
            </w:pPr>
            <w:r>
              <w:rPr/>
              <w:t> </w:t>
            </w:r>
          </w:p>
        </w:tc>
      </w:tr>
      <w:tr>
        <w:trPr/>
        <w:tc>
          <w:tcPr>
            <w:tcW w:w="1441" w:type="dxa"/>
            <w:tcBorders/>
            <w:vAlign w:val="center"/>
          </w:tcPr>
          <w:p>
            <w:pPr>
              <w:pStyle w:val="TableContents"/>
              <w:bidi w:val="0"/>
              <w:spacing w:before="1" w:after="1"/>
              <w:ind w:left="0" w:right="0" w:hanging="0"/>
              <w:jc w:val="left"/>
              <w:rPr/>
            </w:pPr>
            <w:r>
              <w:rPr/>
              <w:t>​</w:t>
            </w:r>
          </w:p>
        </w:tc>
        <w:tc>
          <w:tcPr>
            <w:tcW w:w="226" w:type="dxa"/>
            <w:tcBorders/>
            <w:vAlign w:val="center"/>
          </w:tcPr>
          <w:p>
            <w:pPr>
              <w:pStyle w:val="TableContents"/>
              <w:bidi w:val="0"/>
              <w:spacing w:before="1" w:after="1"/>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2027</w:t>
            </w:r>
          </w:p>
        </w:tc>
        <w:tc>
          <w:tcPr>
            <w:tcW w:w="331" w:type="dxa"/>
            <w:tcBorders/>
            <w:vAlign w:val="center"/>
          </w:tcPr>
          <w:p>
            <w:pPr>
              <w:pStyle w:val="TableContents"/>
              <w:bidi w:val="0"/>
              <w:spacing w:before="1"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2028</w:t>
            </w:r>
          </w:p>
        </w:tc>
        <w:tc>
          <w:tcPr>
            <w:tcW w:w="331"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2029</w:t>
            </w:r>
          </w:p>
        </w:tc>
        <w:tc>
          <w:tcPr>
            <w:tcW w:w="331" w:type="dxa"/>
            <w:tcBorders/>
            <w:vAlign w:val="center"/>
          </w:tcPr>
          <w:p>
            <w:pPr>
              <w:pStyle w:val="TableContents"/>
              <w:bidi w:val="0"/>
              <w:spacing w:before="1"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2030</w:t>
            </w:r>
          </w:p>
        </w:tc>
        <w:tc>
          <w:tcPr>
            <w:tcW w:w="331"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2031</w:t>
            </w:r>
          </w:p>
        </w:tc>
        <w:tc>
          <w:tcPr>
            <w:tcW w:w="331" w:type="dxa"/>
            <w:tcBorders/>
            <w:vAlign w:val="center"/>
          </w:tcPr>
          <w:p>
            <w:pPr>
              <w:pStyle w:val="TableContents"/>
              <w:bidi w:val="0"/>
              <w:spacing w:before="1"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Thereafter</w:t>
            </w:r>
          </w:p>
        </w:tc>
        <w:tc>
          <w:tcPr>
            <w:tcW w:w="331" w:type="dxa"/>
            <w:tcBorders/>
            <w:vAlign w:val="center"/>
          </w:tcPr>
          <w:p>
            <w:pPr>
              <w:pStyle w:val="TableContents"/>
              <w:bidi w:val="0"/>
              <w:spacing w:before="1"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Total</w:t>
            </w:r>
          </w:p>
        </w:tc>
        <w:tc>
          <w:tcPr>
            <w:tcW w:w="346" w:type="dxa"/>
            <w:tcBorders/>
            <w:vAlign w:val="center"/>
          </w:tcPr>
          <w:p>
            <w:pPr>
              <w:pStyle w:val="TableContents"/>
              <w:bidi w:val="0"/>
              <w:spacing w:before="1" w:after="1"/>
              <w:ind w:left="0" w:right="0" w:hanging="0"/>
              <w:jc w:val="center"/>
              <w:rPr/>
            </w:pPr>
            <w:r>
              <w:rPr/>
              <w:t>  ​ ​ ​</w:t>
            </w:r>
          </w:p>
        </w:tc>
        <w:tc>
          <w:tcPr>
            <w:tcW w:w="78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 Narrow" w:hAnsi="Arial Narrow"/>
                <w:b/>
                <w:sz w:val="16"/>
              </w:rPr>
            </w:pPr>
            <w:r>
              <w:rPr>
                <w:rFonts w:ascii="Arial Narrow" w:hAnsi="Arial Narrow"/>
                <w:b/>
                <w:sz w:val="16"/>
              </w:rPr>
              <w:t>Fair value</w:t>
            </w:r>
          </w:p>
        </w:tc>
        <w:tc>
          <w:tcPr>
            <w:tcW w:w="191" w:type="dxa"/>
            <w:tcBorders/>
            <w:vAlign w:val="center"/>
          </w:tcPr>
          <w:p>
            <w:pPr>
              <w:pStyle w:val="TableContents"/>
              <w:bidi w:val="0"/>
              <w:spacing w:before="1" w:after="1"/>
              <w:ind w:left="0" w:right="0" w:hanging="0"/>
              <w:jc w:val="center"/>
              <w:rPr/>
            </w:pPr>
            <w:r>
              <w:rPr/>
              <w:t> </w:t>
            </w:r>
          </w:p>
        </w:tc>
      </w:tr>
      <w:tr>
        <w:trPr/>
        <w:tc>
          <w:tcPr>
            <w:tcW w:w="1441" w:type="dxa"/>
            <w:tcBorders/>
            <w:vAlign w:val="center"/>
          </w:tcPr>
          <w:p>
            <w:pPr>
              <w:pStyle w:val="TableContents"/>
              <w:bidi w:val="0"/>
              <w:spacing w:before="1" w:after="1"/>
              <w:ind w:left="0" w:right="0" w:hanging="0"/>
              <w:jc w:val="left"/>
              <w:rPr>
                <w:rFonts w:ascii="Arial Narrow" w:hAnsi="Arial Narrow"/>
                <w:b/>
                <w:sz w:val="18"/>
              </w:rPr>
            </w:pPr>
            <w:r>
              <w:rPr>
                <w:rFonts w:ascii="Arial Narrow" w:hAnsi="Arial Narrow"/>
                <w:b/>
                <w:sz w:val="18"/>
              </w:rPr>
              <w:t>Debt</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376"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227" w:type="dxa"/>
            <w:tcBorders/>
            <w:vAlign w:val="center"/>
          </w:tcPr>
          <w:p>
            <w:pPr>
              <w:pStyle w:val="TableContents"/>
              <w:bidi w:val="0"/>
              <w:spacing w:before="1" w:after="1"/>
              <w:ind w:left="0" w:right="0" w:hanging="0"/>
              <w:jc w:val="left"/>
              <w:rPr/>
            </w:pPr>
            <w:r>
              <w:rPr/>
              <w:t>​</w:t>
            </w:r>
          </w:p>
        </w:tc>
        <w:tc>
          <w:tcPr>
            <w:tcW w:w="569" w:type="dxa"/>
            <w:tcBorders/>
            <w:vAlign w:val="center"/>
          </w:tcPr>
          <w:p>
            <w:pPr>
              <w:pStyle w:val="TableContents"/>
              <w:bidi w:val="0"/>
              <w:spacing w:before="1" w:after="1"/>
              <w:ind w:left="0" w:right="0" w:hanging="0"/>
              <w:jc w:val="left"/>
              <w:rPr/>
            </w:pPr>
            <w:r>
              <w:rPr/>
              <w:t>​</w:t>
            </w:r>
          </w:p>
        </w:tc>
        <w:tc>
          <w:tcPr>
            <w:tcW w:w="331"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lef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23" w:type="dxa"/>
            <w:tcBorders/>
            <w:vAlign w:val="center"/>
          </w:tcPr>
          <w:p>
            <w:pPr>
              <w:pStyle w:val="TableContents"/>
              <w:bidi w:val="0"/>
              <w:spacing w:before="1" w:after="1"/>
              <w:ind w:left="0" w:right="0" w:hanging="0"/>
              <w:jc w:val="lef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144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Fixed rate (USD)</w:t>
            </w:r>
          </w:p>
        </w:tc>
        <w:tc>
          <w:tcPr>
            <w:tcW w:w="226" w:type="dxa"/>
            <w:tcBorders/>
            <w:shd w:fill="CEDBE0" w:val="clear"/>
            <w:vAlign w:val="center"/>
          </w:tcPr>
          <w:p>
            <w:pPr>
              <w:pStyle w:val="TableContents"/>
              <w:bidi w:val="0"/>
              <w:spacing w:before="1" w:after="1"/>
              <w:ind w:left="0" w:right="0" w:hanging="0"/>
              <w:jc w:val="left"/>
              <w:rPr/>
            </w:pPr>
            <w:r>
              <w:rPr/>
              <w:t> </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405</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332</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1,148</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376"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729</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1,296</w:t>
            </w:r>
          </w:p>
        </w:tc>
        <w:tc>
          <w:tcPr>
            <w:tcW w:w="331" w:type="dxa"/>
            <w:tcBorders/>
            <w:shd w:fill="CEDBE0" w:val="clear"/>
            <w:vAlign w:val="center"/>
          </w:tcPr>
          <w:p>
            <w:pPr>
              <w:pStyle w:val="TableContents"/>
              <w:bidi w:val="0"/>
              <w:spacing w:before="1" w:after="1"/>
              <w:ind w:left="0" w:right="0" w:hanging="0"/>
              <w:jc w:val="left"/>
              <w:rPr/>
            </w:pPr>
            <w:r>
              <w:rPr/>
              <w:t>​</w:t>
            </w:r>
          </w:p>
        </w:tc>
        <w:tc>
          <w:tcPr>
            <w:tcW w:w="227"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69"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1,197</w:t>
            </w:r>
          </w:p>
        </w:tc>
        <w:tc>
          <w:tcPr>
            <w:tcW w:w="331" w:type="dxa"/>
            <w:tcBorders/>
            <w:shd w:fill="CEDBE0" w:val="clear"/>
            <w:vAlign w:val="center"/>
          </w:tcPr>
          <w:p>
            <w:pPr>
              <w:pStyle w:val="TableContents"/>
              <w:bidi w:val="0"/>
              <w:spacing w:before="1" w:after="1"/>
              <w:ind w:left="0" w:right="0" w:hanging="0"/>
              <w:jc w:val="left"/>
              <w:rPr/>
            </w:pPr>
            <w:r>
              <w:rPr/>
              <w:t>​</w:t>
            </w:r>
          </w:p>
        </w:tc>
        <w:tc>
          <w:tcPr>
            <w:tcW w:w="181"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451"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5,107</w:t>
            </w:r>
          </w:p>
        </w:tc>
        <w:tc>
          <w:tcPr>
            <w:tcW w:w="346" w:type="dxa"/>
            <w:tcBorders/>
            <w:shd w:fill="CEDBE0" w:val="clear"/>
            <w:vAlign w:val="center"/>
          </w:tcPr>
          <w:p>
            <w:pPr>
              <w:pStyle w:val="TableContents"/>
              <w:bidi w:val="0"/>
              <w:spacing w:before="1" w:after="1"/>
              <w:ind w:left="0" w:right="0" w:hanging="0"/>
              <w:jc w:val="left"/>
              <w:rPr/>
            </w:pPr>
            <w:r>
              <w:rPr/>
              <w:t>​</w:t>
            </w:r>
          </w:p>
        </w:tc>
        <w:tc>
          <w:tcPr>
            <w:tcW w:w="223" w:type="dxa"/>
            <w:tcBorders/>
            <w:shd w:fill="CEDBE0" w:val="clear"/>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w:t>
            </w:r>
          </w:p>
        </w:tc>
        <w:tc>
          <w:tcPr>
            <w:tcW w:w="557" w:type="dxa"/>
            <w:tcBorders/>
            <w:shd w:fill="CEDBE0" w:val="clear"/>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5,329</w:t>
            </w:r>
          </w:p>
        </w:tc>
        <w:tc>
          <w:tcPr>
            <w:tcW w:w="191" w:type="dxa"/>
            <w:tcBorders/>
            <w:shd w:fill="CEDBE0" w:val="clear"/>
            <w:vAlign w:val="center"/>
          </w:tcPr>
          <w:p>
            <w:pPr>
              <w:pStyle w:val="TableContents"/>
              <w:bidi w:val="0"/>
              <w:spacing w:before="1" w:after="1"/>
              <w:ind w:left="0" w:right="0" w:hanging="0"/>
              <w:jc w:val="left"/>
              <w:rPr/>
            </w:pPr>
            <w:r>
              <w:rPr/>
              <w:t>​</w:t>
            </w:r>
          </w:p>
        </w:tc>
      </w:tr>
      <w:tr>
        <w:trPr/>
        <w:tc>
          <w:tcPr>
            <w:tcW w:w="144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Average interest rate</w:t>
            </w:r>
          </w:p>
        </w:tc>
        <w:tc>
          <w:tcPr>
            <w:tcW w:w="226" w:type="dxa"/>
            <w:tcBorders/>
            <w:vAlign w:val="center"/>
          </w:tcPr>
          <w:p>
            <w:pPr>
              <w:pStyle w:val="TableContents"/>
              <w:bidi w:val="0"/>
              <w:spacing w:before="1" w:after="1"/>
              <w:ind w:left="0" w:right="0" w:hanging="0"/>
              <w:jc w:val="left"/>
              <w:rPr/>
            </w:pPr>
            <w:r>
              <w:rPr/>
              <w:t>​</w:t>
            </w:r>
          </w:p>
        </w:tc>
        <w:tc>
          <w:tcPr>
            <w:tcW w:w="181" w:type="dxa"/>
            <w:tcBorders/>
            <w:vAlign w:val="center"/>
          </w:tcPr>
          <w:p>
            <w:pPr>
              <w:pStyle w:val="TableContents"/>
              <w:bidi w:val="0"/>
              <w:spacing w:before="1" w:after="1"/>
              <w:ind w:left="0" w:right="0" w:hanging="0"/>
              <w:jc w:val="righ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6.90</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7.58</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8.27</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376"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7.28</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8.19</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227" w:type="dxa"/>
            <w:tcBorders/>
            <w:vAlign w:val="center"/>
          </w:tcPr>
          <w:p>
            <w:pPr>
              <w:pStyle w:val="TableContents"/>
              <w:bidi w:val="0"/>
              <w:spacing w:before="1" w:after="1"/>
              <w:ind w:left="0" w:right="0" w:hanging="0"/>
              <w:jc w:val="right"/>
              <w:rPr/>
            </w:pPr>
            <w:r>
              <w:rPr/>
              <w:t>​</w:t>
            </w:r>
          </w:p>
        </w:tc>
        <w:tc>
          <w:tcPr>
            <w:tcW w:w="569" w:type="dxa"/>
            <w:tcBorders/>
            <w:vAlign w:val="center"/>
          </w:tcPr>
          <w:p>
            <w:pPr>
              <w:pStyle w:val="TableContents"/>
              <w:bidi w:val="0"/>
              <w:spacing w:before="1" w:after="1"/>
              <w:ind w:left="0" w:right="0" w:hanging="0"/>
              <w:jc w:val="right"/>
              <w:rPr>
                <w:rFonts w:ascii="Arial Narrow" w:hAnsi="Arial Narrow"/>
                <w:sz w:val="18"/>
              </w:rPr>
            </w:pPr>
            <w:r>
              <w:rPr>
                <w:rFonts w:ascii="Arial Narrow" w:hAnsi="Arial Narrow"/>
                <w:sz w:val="18"/>
              </w:rPr>
              <w:t>7.44</w:t>
            </w:r>
          </w:p>
        </w:tc>
        <w:tc>
          <w:tcPr>
            <w:tcW w:w="331" w:type="dxa"/>
            <w:tcBorders/>
            <w:vAlign w:val="center"/>
          </w:tcPr>
          <w:p>
            <w:pPr>
              <w:pStyle w:val="TableContents"/>
              <w:bidi w:val="0"/>
              <w:spacing w:before="1" w:after="1"/>
              <w:ind w:left="0" w:right="0" w:hanging="0"/>
              <w:jc w:val="left"/>
              <w:rPr>
                <w:rFonts w:ascii="Arial Narrow" w:hAnsi="Arial Narrow"/>
                <w:sz w:val="18"/>
              </w:rPr>
            </w:pPr>
            <w:r>
              <w:rPr>
                <w:rFonts w:ascii="Arial Narrow" w:hAnsi="Arial Narrow"/>
                <w:sz w:val="18"/>
              </w:rPr>
              <w:t>%  </w:t>
            </w:r>
          </w:p>
        </w:tc>
        <w:tc>
          <w:tcPr>
            <w:tcW w:w="181" w:type="dxa"/>
            <w:tcBorders/>
            <w:vAlign w:val="center"/>
          </w:tcPr>
          <w:p>
            <w:pPr>
              <w:pStyle w:val="TableContents"/>
              <w:bidi w:val="0"/>
              <w:spacing w:before="1" w:after="1"/>
              <w:ind w:left="0" w:right="0" w:hanging="0"/>
              <w:jc w:val="right"/>
              <w:rPr/>
            </w:pPr>
            <w:r>
              <w:rPr/>
              <w:t>​</w:t>
            </w:r>
          </w:p>
        </w:tc>
        <w:tc>
          <w:tcPr>
            <w:tcW w:w="45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right"/>
              <w:rPr/>
            </w:pPr>
            <w:r>
              <w:rPr/>
              <w:t>​</w:t>
            </w:r>
          </w:p>
        </w:tc>
        <w:tc>
          <w:tcPr>
            <w:tcW w:w="223" w:type="dxa"/>
            <w:tcBorders/>
            <w:vAlign w:val="center"/>
          </w:tcPr>
          <w:p>
            <w:pPr>
              <w:pStyle w:val="TableContents"/>
              <w:bidi w:val="0"/>
              <w:spacing w:before="1" w:after="1"/>
              <w:ind w:left="0" w:right="0" w:hanging="0"/>
              <w:jc w:val="right"/>
              <w:rPr/>
            </w:pPr>
            <w:r>
              <w:rPr/>
              <w:t>​</w:t>
            </w:r>
          </w:p>
        </w:tc>
        <w:tc>
          <w:tcPr>
            <w:tcW w:w="557" w:type="dxa"/>
            <w:tcBorders/>
            <w:vAlign w:val="center"/>
          </w:tcPr>
          <w:p>
            <w:pPr>
              <w:pStyle w:val="TableContents"/>
              <w:bidi w:val="0"/>
              <w:spacing w:before="1" w:after="1"/>
              <w:ind w:left="0" w:right="0" w:hanging="0"/>
              <w:jc w:val="left"/>
              <w:rPr/>
            </w:pPr>
            <w:r>
              <w:rPr/>
              <w:t>​</w:t>
            </w:r>
          </w:p>
        </w:tc>
        <w:tc>
          <w:tcPr>
            <w:tcW w:w="191" w:type="dxa"/>
            <w:tcBorders/>
            <w:vAlign w:val="center"/>
          </w:tcPr>
          <w:p>
            <w:pPr>
              <w:pStyle w:val="TableContents"/>
              <w:bidi w:val="0"/>
              <w:spacing w:before="1" w:after="1"/>
              <w:ind w:left="0" w:right="0" w:hanging="0"/>
              <w:jc w:val="left"/>
              <w:rPr/>
            </w:pPr>
            <w:r>
              <w:rPr/>
              <w:t>​</w:t>
            </w:r>
          </w:p>
        </w:tc>
      </w:tr>
    </w:tbl>
    <w:p>
      <w:pPr>
        <w:pStyle w:val="TextBody"/>
        <w:pBdr/>
        <w:bidi w:val="0"/>
        <w:spacing w:before="180" w:after="0"/>
        <w:ind w:left="0" w:right="0" w:firstLine="720"/>
        <w:jc w:val="both"/>
        <w:rPr>
          <w:rFonts w:ascii="Arial Narrow" w:hAnsi="Arial Narrow"/>
          <w:sz w:val="20"/>
        </w:rPr>
      </w:pPr>
      <w:r>
        <w:rPr>
          <w:rFonts w:ascii="Arial Narrow" w:hAnsi="Arial Narrow"/>
          <w:sz w:val="20"/>
        </w:rPr>
        <w:t>At June 30, 2026 and December 31, 2025, the fair value of our outstanding debt was $5.33 billion and $5.76 billion, respectively.  During the six months ended June 30, 2026, the fair value of our debt decreased by $426 million due to the following: (a) a decrease of $366 million resulting from redemption of the 8.375% senior secured notes due February 2028 and (b) a decrease of $229 million resulting from the repayment of debt in scheduled installments.  These decreases were partially offset by a net increase of $169 million resulting from changes in the market prices of our outstanding debt.</w:t>
      </w:r>
    </w:p>
    <w:p>
      <w:pPr>
        <w:pStyle w:val="Normal"/>
        <w:bidi w:val="0"/>
        <w:spacing w:before="0" w:after="0"/>
        <w:jc w:val="left"/>
        <w:rPr>
          <w:sz w:val="4"/>
          <w:szCs w:val="4"/>
        </w:rPr>
      </w:pPr>
      <w:r>
        <w:rPr>
          <w:sz w:val="4"/>
          <w:szCs w:val="4"/>
        </w:rPr>
      </w:r>
      <w:bookmarkStart w:id="937" w:name="Item9AControlsandProcedures_646698"/>
      <w:bookmarkStart w:id="938" w:name="_8823f65a_73f5_4699_9c12_5a5d2bc7fff8"/>
      <w:bookmarkStart w:id="939" w:name="Item9AControlsandProcedures_646698"/>
      <w:bookmarkStart w:id="940" w:name="_8823f65a_73f5_4699_9c12_5a5d2bc7fff8"/>
      <w:bookmarkEnd w:id="939"/>
      <w:bookmarkEnd w:id="940"/>
    </w:p>
    <w:tbl>
      <w:tblPr>
        <w:tblW w:w="3767" w:type="dxa"/>
        <w:jc w:val="left"/>
        <w:tblInd w:w="0" w:type="dxa"/>
        <w:tblLayout w:type="fixed"/>
        <w:tblCellMar>
          <w:top w:w="0" w:type="dxa"/>
          <w:left w:w="0" w:type="dxa"/>
          <w:bottom w:w="0" w:type="dxa"/>
          <w:right w:w="0" w:type="dxa"/>
        </w:tblCellMar>
      </w:tblPr>
      <w:tblGrid>
        <w:gridCol w:w="751"/>
        <w:gridCol w:w="3016"/>
      </w:tblGrid>
      <w:tr>
        <w:trPr/>
        <w:tc>
          <w:tcPr>
            <w:tcW w:w="751" w:type="dxa"/>
            <w:tcBorders/>
            <w:vAlign w:val="center"/>
          </w:tcPr>
          <w:p>
            <w:pPr>
              <w:pStyle w:val="TableContents"/>
              <w:shd w:fill="CEDBE0" w:val="clear"/>
              <w:bidi w:val="0"/>
              <w:spacing w:before="60" w:after="60"/>
              <w:jc w:val="both"/>
              <w:rPr>
                <w:rFonts w:ascii="Arial Narrow" w:hAnsi="Arial Narrow"/>
                <w:b/>
                <w:caps/>
                <w:sz w:val="22"/>
              </w:rPr>
            </w:pPr>
            <w:r>
              <w:rPr>
                <w:rFonts w:ascii="Arial Narrow" w:hAnsi="Arial Narrow"/>
                <w:b/>
                <w:caps/>
                <w:sz w:val="22"/>
              </w:rPr>
              <w:t>Item 4.</w:t>
            </w:r>
          </w:p>
        </w:tc>
        <w:tc>
          <w:tcPr>
            <w:tcW w:w="3016" w:type="dxa"/>
            <w:tcBorders/>
            <w:vAlign w:val="center"/>
          </w:tcPr>
          <w:p>
            <w:pPr>
              <w:pStyle w:val="TableContents"/>
              <w:shd w:fill="CEDBE0" w:val="clear"/>
              <w:bidi w:val="0"/>
              <w:spacing w:before="60" w:after="60"/>
              <w:jc w:val="both"/>
              <w:rPr>
                <w:rFonts w:ascii="Arial Narrow" w:hAnsi="Arial Narrow"/>
                <w:b/>
                <w:caps/>
                <w:sz w:val="22"/>
              </w:rPr>
            </w:pPr>
            <w:r>
              <w:rPr>
                <w:rFonts w:ascii="Arial Narrow" w:hAnsi="Arial Narrow"/>
                <w:b/>
                <w:caps/>
                <w:sz w:val="22"/>
              </w:rPr>
              <w:t>Controls and Procedures</w:t>
            </w:r>
          </w:p>
        </w:tc>
      </w:tr>
    </w:tbl>
    <w:p>
      <w:pPr>
        <w:pStyle w:val="TextBody"/>
        <w:bidi w:val="0"/>
        <w:spacing w:before="60" w:after="120"/>
        <w:ind w:left="0" w:right="0" w:firstLine="720"/>
        <w:jc w:val="both"/>
        <w:rPr>
          <w:rFonts w:ascii="Arial Narrow" w:hAnsi="Arial Narrow"/>
          <w:sz w:val="20"/>
        </w:rPr>
      </w:pPr>
      <w:r>
        <w:rPr>
          <w:rFonts w:ascii="Arial Narrow" w:hAnsi="Arial Narrow"/>
          <w:b/>
          <w:sz w:val="20"/>
        </w:rPr>
        <w:t>Disclosure controls and procedures</w:t>
      </w:r>
      <w:r>
        <w:rPr>
          <w:rFonts w:ascii="Arial Narrow" w:hAnsi="Arial Narrow"/>
          <w:sz w:val="20"/>
        </w:rPr>
        <w:t>—Our disclosure controls and procedures are designed to provide reasonable assurance that information required to be disclosed in our reports filed or submitted under the U.S. Securities Exchange Act of 1934 is (1) accumulated and communicated to our management, including our Chief Executive Officer, who is our principal executive officer, and our Chief Financial Officer, who is our principal financial officer, to allow timely decisions regarding required disclosure and (2) recorded, processed, summarized and reported within the time periods specified in the U.S. Securities and Exchange Commission’s rules and forms.  Under the supervision and with the participation of management, including our Chief Executive Officer and Chief Financial Officer, we performed an evaluation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2026.</w:t>
      </w:r>
    </w:p>
    <w:p>
      <w:pPr>
        <w:pStyle w:val="TextBody"/>
        <w:pBdr/>
        <w:bidi w:val="0"/>
        <w:spacing w:before="60" w:after="0"/>
        <w:ind w:left="0" w:right="0" w:firstLine="720"/>
        <w:jc w:val="both"/>
        <w:rPr>
          <w:rFonts w:ascii="Arial Narrow" w:hAnsi="Arial Narrow"/>
          <w:sz w:val="20"/>
        </w:rPr>
      </w:pPr>
      <w:r>
        <w:rPr>
          <w:rFonts w:ascii="Arial Narrow" w:hAnsi="Arial Narrow"/>
          <w:b/>
          <w:sz w:val="20"/>
        </w:rPr>
        <w:t>Internal control over financial reporting</w:t>
      </w:r>
      <w:r>
        <w:rPr>
          <w:rFonts w:ascii="Arial Narrow" w:hAnsi="Arial Narrow"/>
          <w:sz w:val="20"/>
        </w:rPr>
        <w:t>—There were no changes to our internal control over financial reporting during the quarter ended June 30, 2026, that have materially affected or are reasonably likely to materially affect our internal control over financial reporting.</w:t>
      </w:r>
    </w:p>
    <w:p>
      <w:pPr>
        <w:pStyle w:val="TextBody"/>
        <w:pBdr/>
        <w:shd w:fill="00556F" w:val="clear"/>
        <w:bidi w:val="0"/>
        <w:spacing w:before="120" w:after="0"/>
        <w:ind w:left="0" w:right="0" w:hanging="1080"/>
        <w:jc w:val="center"/>
        <w:rPr>
          <w:rFonts w:ascii="Arial Narrow" w:hAnsi="Arial Narrow"/>
          <w:b/>
          <w:caps/>
          <w:color w:val="FFFFFF"/>
          <w:sz w:val="22"/>
        </w:rPr>
      </w:pPr>
      <w:bookmarkStart w:id="941" w:name="PARTIIOTHERINFORMATION_708350"/>
      <w:bookmarkStart w:id="942" w:name="_39021595_a3d1_4ba3_9348_5ab7903e2e21"/>
      <w:bookmarkEnd w:id="941"/>
      <w:bookmarkEnd w:id="942"/>
      <w:r>
        <w:rPr>
          <w:rFonts w:ascii="Arial Narrow" w:hAnsi="Arial Narrow"/>
          <w:b/>
          <w:caps/>
          <w:color w:val="FFFFFF"/>
          <w:sz w:val="22"/>
        </w:rPr>
        <w:t>PART II. Other Information</w:t>
      </w:r>
    </w:p>
    <w:p>
      <w:pPr>
        <w:pStyle w:val="Normal"/>
        <w:bidi w:val="0"/>
        <w:spacing w:before="0" w:after="0"/>
        <w:jc w:val="left"/>
        <w:rPr>
          <w:sz w:val="4"/>
          <w:szCs w:val="4"/>
        </w:rPr>
      </w:pPr>
      <w:r>
        <w:rPr>
          <w:sz w:val="4"/>
          <w:szCs w:val="4"/>
        </w:rPr>
      </w:r>
      <w:bookmarkStart w:id="943" w:name="Item3LegalProceedings_313392"/>
      <w:bookmarkStart w:id="944" w:name="Item3LegalProceedings_313392"/>
      <w:bookmarkEnd w:id="944"/>
    </w:p>
    <w:tbl>
      <w:tblPr>
        <w:tblW w:w="2957" w:type="dxa"/>
        <w:jc w:val="left"/>
        <w:tblInd w:w="0" w:type="dxa"/>
        <w:tblLayout w:type="fixed"/>
        <w:tblCellMar>
          <w:top w:w="0" w:type="dxa"/>
          <w:left w:w="0" w:type="dxa"/>
          <w:bottom w:w="0" w:type="dxa"/>
          <w:right w:w="0" w:type="dxa"/>
        </w:tblCellMar>
      </w:tblPr>
      <w:tblGrid>
        <w:gridCol w:w="751"/>
        <w:gridCol w:w="2206"/>
      </w:tblGrid>
      <w:tr>
        <w:trPr/>
        <w:tc>
          <w:tcPr>
            <w:tcW w:w="751"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Item 1.</w:t>
            </w:r>
          </w:p>
        </w:tc>
        <w:tc>
          <w:tcPr>
            <w:tcW w:w="2206" w:type="dxa"/>
            <w:tcBorders/>
            <w:vAlign w:val="center"/>
          </w:tcPr>
          <w:p>
            <w:pPr>
              <w:pStyle w:val="TableContents"/>
              <w:shd w:fill="CEDBE0" w:val="clear"/>
              <w:bidi w:val="0"/>
              <w:spacing w:before="0" w:after="60"/>
              <w:jc w:val="both"/>
              <w:rPr>
                <w:rFonts w:ascii="Arial Narrow" w:hAnsi="Arial Narrow"/>
                <w:b/>
                <w:caps/>
                <w:sz w:val="22"/>
              </w:rPr>
            </w:pPr>
            <w:r>
              <w:rPr>
                <w:rFonts w:ascii="Arial Narrow" w:hAnsi="Arial Narrow"/>
                <w:b/>
                <w:caps/>
                <w:sz w:val="22"/>
              </w:rPr>
              <w:t>Legal Proceedings</w:t>
            </w:r>
          </w:p>
        </w:tc>
      </w:tr>
    </w:tbl>
    <w:p>
      <w:pPr>
        <w:pStyle w:val="TextBody"/>
        <w:bidi w:val="0"/>
        <w:spacing w:before="60" w:after="120"/>
        <w:ind w:left="0" w:right="0" w:firstLine="720"/>
        <w:jc w:val="both"/>
        <w:rPr/>
      </w:pPr>
      <w:r>
        <w:rPr>
          <w:rFonts w:ascii="Arial Narrow" w:hAnsi="Arial Narrow"/>
          <w:sz w:val="20"/>
        </w:rPr>
        <w:t xml:space="preserve">Transocean Ltd. (together with its subsidiaries and predecessors, unless the context requires otherwise, “Transocean,” “we,” “us,” or “our”) has certain actions, claims and other matters pending as discussed and reported in “Part II. Item 8. Financial Statements and Supplementary Data—Notes to Consolidated Financial Statements—Note 12—Commitments and Contingencies” and “Part II. Item 7. Management’s Discussion and Analysis of Financial Condition and Results of Operations—Other Matters—Regulatory matters” in our annual report on </w:t>
      </w:r>
      <w:hyperlink r:id="rId9">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 xml:space="preserve">.  We are also involved in various tax matters as described in “Part II. Item 8. Financial Statements and Supplementary Data—Notes to Consolidated Financial Statements—Note 10—Income Taxes” and in “Part II. Item 7. Management’s Discussion and Analysis of Financial Condition and Results of Operations—Other Matters—Tax matters” in our annual report on </w:t>
      </w:r>
      <w:hyperlink r:id="rId10">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  All such actions, claims, tax and other matters described therein are incorporated herein by reference.</w:t>
      </w:r>
    </w:p>
    <w:p>
      <w:pPr>
        <w:pStyle w:val="TextBody"/>
        <w:bidi w:val="0"/>
        <w:spacing w:before="60" w:after="0"/>
        <w:ind w:left="0" w:right="0" w:firstLine="720"/>
        <w:jc w:val="both"/>
        <w:rPr>
          <w:rFonts w:ascii="Arial Narrow" w:hAnsi="Arial Narrow"/>
          <w:sz w:val="20"/>
        </w:rPr>
      </w:pPr>
      <w:r>
        <w:rPr>
          <w:rFonts w:ascii="Arial Narrow" w:hAnsi="Arial Narrow"/>
          <w:sz w:val="20"/>
        </w:rPr>
        <w:t xml:space="preserve">As of June 30, 2026, we were involved in a number of other lawsuits, regulatory matters, disputes and claims, asserted and unasserted, all of which constitute ordinary routine litigation incidental to our business and for which we do not expect the liability, if any, to have a material adverse effect on our financial position, results of operations or cash flows.  We cannot predict with certainty the outcome or effect of any of the matters referred to above or of any such other pending, threatened or possible litigation or legal proceedings.  We can </w:t>
      </w:r>
    </w:p>
    <w:p>
      <w:pPr>
        <w:pStyle w:val="TextBody"/>
        <w:bidi w:val="0"/>
        <w:spacing w:before="0" w:after="0"/>
        <w:ind w:left="0" w:right="0" w:hanging="0"/>
        <w:jc w:val="center"/>
        <w:rPr>
          <w:rFonts w:ascii="Arial Narrow" w:hAnsi="Arial Narrow"/>
          <w:sz w:val="20"/>
        </w:rPr>
      </w:pPr>
      <w:r>
        <w:rPr>
          <w:rFonts w:ascii="Arial Narrow" w:hAnsi="Arial Narrow"/>
          <w:sz w:val="20"/>
        </w:rPr>
        <w:t>- 22 -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bidi w:val="0"/>
        <w:spacing w:before="0" w:after="120"/>
        <w:ind w:left="0" w:right="0" w:hanging="0"/>
        <w:jc w:val="both"/>
        <w:rPr>
          <w:rFonts w:ascii="Arial Narrow" w:hAnsi="Arial Narrow"/>
          <w:sz w:val="20"/>
        </w:rPr>
      </w:pPr>
      <w:r>
        <w:rPr>
          <w:rFonts w:ascii="Arial Narrow" w:hAnsi="Arial Narrow"/>
          <w:sz w:val="20"/>
        </w:rPr>
        <w:t>provide no assurance that our beliefs or expectations as to the outcome or effect of any lawsuit or claim or dispute will prove correct, and the eventual outcome of these matters could materially differ from management’s current estimates.</w:t>
      </w:r>
    </w:p>
    <w:p>
      <w:pPr>
        <w:pStyle w:val="TextBody"/>
        <w:bidi w:val="0"/>
        <w:spacing w:before="60" w:after="120"/>
        <w:ind w:left="0" w:right="0" w:firstLine="720"/>
        <w:jc w:val="both"/>
        <w:rPr>
          <w:rFonts w:ascii="Arial Narrow" w:hAnsi="Arial Narrow"/>
          <w:sz w:val="20"/>
        </w:rPr>
      </w:pPr>
      <w:r>
        <w:rPr>
          <w:rFonts w:ascii="Arial Narrow" w:hAnsi="Arial Narrow"/>
          <w:sz w:val="20"/>
        </w:rPr>
        <w:t>On December 17, 2021, Transocean Offshore Deepwater Drilling Inc. (“TODDI”), our wholly owned subsidiary, received a letter from the United States (“U.S.”) Department of Justice (the “DOJ”) related to alleged violations by our subsidiary of its Clean Water Act (“CWA”) National Pollutant Discharge Elimination System permit for the western Gulf of America (“Permit”).  The alleged violations, involving seven of our drillships, were identified by the U.S. Environmental Protection Agency (“EPA”) following an initial inspection in 2018 of our compliance with the Permit and the CWA and relate to deficiencies with respect to administrative monitoring and reporting obligations.  In connection with the initial EPA inspection, we initiated modifications to our Permit and CWA compliance processes and maintained a dialogue with the EPA regarding the design and implementation of enhancements to these processes.  At the DOJ’s invitation, in an effort to resolve the matter, we initiated settlement discussions with the DOJ, which concluded with the execution of a civil consent decree by and between the DOJ, EPA, and TODDI, effective January 3, 2024 (the “Consent Decree”), that resolved the claims of the DOJ based upon the alleged violations of our Permit and the CWA.  Pursuant to the Consent Decree, we agreed to pay an immaterial monetary civil penalty, and we further agreed (i) to take or continue to take certain corrective actions to ensure current and future Permit and CWA compliance, including implementing certain procedures and submitting reports and other information, in each case according to the timelines and as described in the Consent Decree, (ii) to appoint an independent auditor to review, audit and report on our compliance with certain of our obligations thereunder, and (iii) to certain non-exclusive stipulated monetary penalties if we fail to comply with applicable provisions of the Consent Decree.  We may request termination of the Consent Decree after we have (x) completed timely the civil penalty payment and any accrued stipulated penalty requirements of the Consent Decree, and (y) maintained continuous satisfactory compliance with the Consent Decree for at least three years.  We do not believe that the enforcement of the Consent Decree would have a material adverse effect on our financial position, results of operations or cash flows.</w:t>
      </w:r>
    </w:p>
    <w:p>
      <w:pPr>
        <w:pStyle w:val="TextBody"/>
        <w:pBdr/>
        <w:bidi w:val="0"/>
        <w:spacing w:before="60" w:after="0"/>
        <w:ind w:left="0" w:right="0" w:firstLine="720"/>
        <w:jc w:val="both"/>
        <w:rPr>
          <w:rFonts w:ascii="Arial Narrow" w:hAnsi="Arial Narrow"/>
          <w:sz w:val="20"/>
        </w:rPr>
      </w:pPr>
      <w:r>
        <w:rPr>
          <w:rFonts w:ascii="Arial Narrow" w:hAnsi="Arial Narrow"/>
          <w:sz w:val="20"/>
        </w:rPr>
        <w:t>In addition to the legal proceedings described above, we may from time to time identify other matters that we monitor through our compliance program or in response to events arising generally within our industry and in the regions where we do business.  We evaluate matters on a case-by-case basis, investigate allegations in accordance with our policies and cooperate with applicable governmental authorities.  Through the process of monitoring and proactive investigation, we strive to ensure no violation of our policies, Code of Integrity or law has occurred or will occur; however, we can provide no assurance as to the outcome of these matters.</w:t>
      </w:r>
    </w:p>
    <w:p>
      <w:pPr>
        <w:pStyle w:val="Normal"/>
        <w:bidi w:val="0"/>
        <w:spacing w:before="0" w:after="0"/>
        <w:jc w:val="left"/>
        <w:rPr>
          <w:sz w:val="4"/>
          <w:szCs w:val="4"/>
        </w:rPr>
      </w:pPr>
      <w:r>
        <w:rPr>
          <w:sz w:val="4"/>
          <w:szCs w:val="4"/>
        </w:rPr>
      </w:r>
      <w:bookmarkStart w:id="945" w:name="_2193ba23_cc51_4a77_ae6a_7b3109663f78"/>
      <w:bookmarkStart w:id="946" w:name="Item1ARiskFactors_255413"/>
      <w:bookmarkStart w:id="947" w:name="_2193ba23_cc51_4a77_ae6a_7b3109663f78"/>
      <w:bookmarkStart w:id="948" w:name="Item1ARiskFactors_255413"/>
      <w:bookmarkEnd w:id="947"/>
      <w:bookmarkEnd w:id="948"/>
    </w:p>
    <w:tbl>
      <w:tblPr>
        <w:tblW w:w="2432" w:type="dxa"/>
        <w:jc w:val="left"/>
        <w:tblInd w:w="0" w:type="dxa"/>
        <w:tblLayout w:type="fixed"/>
        <w:tblCellMar>
          <w:top w:w="0" w:type="dxa"/>
          <w:left w:w="0" w:type="dxa"/>
          <w:bottom w:w="0" w:type="dxa"/>
          <w:right w:w="0" w:type="dxa"/>
        </w:tblCellMar>
      </w:tblPr>
      <w:tblGrid>
        <w:gridCol w:w="886"/>
        <w:gridCol w:w="1546"/>
      </w:tblGrid>
      <w:tr>
        <w:trPr/>
        <w:tc>
          <w:tcPr>
            <w:tcW w:w="88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1A.</w:t>
            </w:r>
          </w:p>
        </w:tc>
        <w:tc>
          <w:tcPr>
            <w:tcW w:w="154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Risk Factors</w:t>
            </w:r>
          </w:p>
        </w:tc>
      </w:tr>
    </w:tbl>
    <w:p>
      <w:pPr>
        <w:pStyle w:val="TextBody"/>
        <w:pBdr/>
        <w:bidi w:val="0"/>
        <w:spacing w:before="60" w:after="0"/>
        <w:ind w:left="0" w:right="0" w:firstLine="720"/>
        <w:jc w:val="both"/>
        <w:rPr/>
      </w:pPr>
      <w:r>
        <w:rPr>
          <w:rFonts w:ascii="Arial Narrow" w:hAnsi="Arial Narrow"/>
          <w:sz w:val="20"/>
        </w:rPr>
        <w:t xml:space="preserve">There have been no material changes to the risk factors as previously disclosed in “Part I. Item 1A. Risk Factors” in our annual report on </w:t>
      </w:r>
      <w:hyperlink r:id="rId11">
        <w:r>
          <w:rPr>
            <w:rStyle w:val="InternetLink"/>
            <w:rFonts w:ascii="Arial Narrow" w:hAnsi="Arial Narrow"/>
            <w:b w:val="false"/>
            <w:i w:val="false"/>
            <w:caps w:val="false"/>
            <w:smallCaps w:val="false"/>
            <w:sz w:val="20"/>
          </w:rPr>
          <w:t>Form 10-K for the year ended December 31, 2025</w:t>
        </w:r>
      </w:hyperlink>
      <w:r>
        <w:rPr>
          <w:rFonts w:ascii="Arial Narrow" w:hAnsi="Arial Narrow"/>
          <w:sz w:val="20"/>
        </w:rPr>
        <w:t>.</w:t>
      </w:r>
    </w:p>
    <w:p>
      <w:pPr>
        <w:pStyle w:val="Normal"/>
        <w:bidi w:val="0"/>
        <w:spacing w:before="0" w:after="0"/>
        <w:jc w:val="left"/>
        <w:rPr>
          <w:sz w:val="4"/>
          <w:szCs w:val="4"/>
        </w:rPr>
      </w:pPr>
      <w:r>
        <w:rPr>
          <w:sz w:val="4"/>
          <w:szCs w:val="4"/>
        </w:rPr>
      </w:r>
      <w:bookmarkStart w:id="949" w:name="Item2UnregisteredSalesofEquitySecurities"/>
      <w:bookmarkStart w:id="950" w:name="_7035a01c_2840_48e4_9e30_ac93ade787d9"/>
      <w:bookmarkStart w:id="951" w:name="Item2UnregisteredSalesofEquitySecurities"/>
      <w:bookmarkStart w:id="952" w:name="_7035a01c_2840_48e4_9e30_ac93ade787d9"/>
      <w:bookmarkEnd w:id="951"/>
      <w:bookmarkEnd w:id="952"/>
    </w:p>
    <w:tbl>
      <w:tblPr>
        <w:tblW w:w="7487" w:type="dxa"/>
        <w:jc w:val="left"/>
        <w:tblInd w:w="0" w:type="dxa"/>
        <w:tblLayout w:type="fixed"/>
        <w:tblCellMar>
          <w:top w:w="0" w:type="dxa"/>
          <w:left w:w="0" w:type="dxa"/>
          <w:bottom w:w="0" w:type="dxa"/>
          <w:right w:w="0" w:type="dxa"/>
        </w:tblCellMar>
      </w:tblPr>
      <w:tblGrid>
        <w:gridCol w:w="751"/>
        <w:gridCol w:w="6736"/>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2.</w:t>
            </w:r>
          </w:p>
        </w:tc>
        <w:tc>
          <w:tcPr>
            <w:tcW w:w="673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Unregistered Sales of Equity Securities and Use of Proceeds</w:t>
            </w:r>
          </w:p>
        </w:tc>
      </w:tr>
    </w:tbl>
    <w:p>
      <w:pPr>
        <w:pStyle w:val="TextBody"/>
        <w:pBdr>
          <w:bottom w:val="single" w:sz="18" w:space="1" w:color="ECA44A"/>
        </w:pBdr>
        <w:bidi w:val="0"/>
        <w:spacing w:before="0" w:after="60"/>
        <w:ind w:left="0" w:right="0" w:hanging="0"/>
        <w:jc w:val="left"/>
        <w:rPr>
          <w:rFonts w:ascii="Arial Narrow" w:hAnsi="Arial Narrow"/>
          <w:b/>
          <w:caps/>
          <w:color w:val="00556F"/>
          <w:sz w:val="22"/>
        </w:rPr>
      </w:pPr>
      <w:r>
        <w:rPr>
          <w:rFonts w:ascii="Arial Narrow" w:hAnsi="Arial Narrow"/>
          <w:b/>
          <w:caps/>
          <w:color w:val="00556F"/>
          <w:sz w:val="22"/>
        </w:rPr>
        <w:t>Issuer Purchases of Equity Securities</w:t>
      </w:r>
    </w:p>
    <w:tbl>
      <w:tblPr>
        <w:tblW w:w="6934" w:type="dxa"/>
        <w:jc w:val="left"/>
        <w:tblInd w:w="0" w:type="dxa"/>
        <w:tblLayout w:type="fixed"/>
        <w:tblCellMar>
          <w:top w:w="0" w:type="dxa"/>
          <w:left w:w="0" w:type="dxa"/>
          <w:bottom w:w="0" w:type="dxa"/>
          <w:right w:w="0" w:type="dxa"/>
        </w:tblCellMar>
      </w:tblPr>
      <w:tblGrid>
        <w:gridCol w:w="766"/>
        <w:gridCol w:w="346"/>
        <w:gridCol w:w="841"/>
        <w:gridCol w:w="346"/>
        <w:gridCol w:w="220"/>
        <w:gridCol w:w="426"/>
        <w:gridCol w:w="346"/>
        <w:gridCol w:w="1366"/>
        <w:gridCol w:w="346"/>
        <w:gridCol w:w="496"/>
        <w:gridCol w:w="1244"/>
        <w:gridCol w:w="191"/>
      </w:tblGrid>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86410" cy="175260"/>
                      <wp:effectExtent l="0" t="0" r="0" b="0"/>
                      <wp:wrapNone/>
                      <wp:docPr id="308" name="Frame30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34035" cy="175260"/>
                      <wp:effectExtent l="0" t="0" r="0" b="0"/>
                      <wp:wrapNone/>
                      <wp:docPr id="310" name="Frame3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9700" cy="175260"/>
                      <wp:effectExtent l="0" t="0" r="0" b="0"/>
                      <wp:wrapNone/>
                      <wp:docPr id="312" name="Frame31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70510" cy="175260"/>
                      <wp:effectExtent l="0" t="0" r="0" b="0"/>
                      <wp:wrapNone/>
                      <wp:docPr id="313" name="Frame312"/>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867410" cy="175260"/>
                      <wp:effectExtent l="0" t="0" r="0" b="0"/>
                      <wp:wrapNone/>
                      <wp:docPr id="315" name="Frame314"/>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14960" cy="175260"/>
                      <wp:effectExtent l="0" t="0" r="0" b="0"/>
                      <wp:wrapNone/>
                      <wp:docPr id="317" name="Frame31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89940" cy="175260"/>
                      <wp:effectExtent l="0" t="0" r="0" b="0"/>
                      <wp:wrapNone/>
                      <wp:docPr id="318" name="Frame317"/>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1285" cy="175260"/>
                      <wp:effectExtent l="0" t="0" r="0" b="0"/>
                      <wp:wrapNone/>
                      <wp:docPr id="319" name="Frame31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center"/>
              <w:rPr/>
            </w:pPr>
            <w:r>
              <w:rPr/>
              <w:t>​</w:t>
            </w:r>
          </w:p>
        </w:tc>
        <w:tc>
          <w:tcPr>
            <w:tcW w:w="4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Total number of shares</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Approximate dollar value</w:t>
            </w:r>
          </w:p>
        </w:tc>
        <w:tc>
          <w:tcPr>
            <w:tcW w:w="191" w:type="dxa"/>
            <w:tcBorders/>
            <w:vAlign w:val="center"/>
          </w:tcPr>
          <w:p>
            <w:pPr>
              <w:pStyle w:val="TableContents"/>
              <w:bidi w:val="0"/>
              <w:spacing w:before="0" w:after="0"/>
              <w:ind w:left="0" w:right="0" w:hanging="0"/>
              <w:jc w:val="center"/>
              <w:rPr/>
            </w:pPr>
            <w:r>
              <w:rPr/>
              <w:t>​</w: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Total number</w:t>
            </w:r>
          </w:p>
        </w:tc>
        <w:tc>
          <w:tcPr>
            <w:tcW w:w="346" w:type="dxa"/>
            <w:tcBorders/>
            <w:vAlign w:val="center"/>
          </w:tcPr>
          <w:p>
            <w:pPr>
              <w:pStyle w:val="TableContents"/>
              <w:bidi w:val="0"/>
              <w:spacing w:before="0" w:after="0"/>
              <w:ind w:left="0" w:right="0" w:hanging="0"/>
              <w:jc w:val="center"/>
              <w:rPr/>
            </w:pPr>
            <w:r>
              <w:rPr/>
              <w:t>​</w:t>
            </w:r>
          </w:p>
        </w:tc>
        <w:tc>
          <w:tcPr>
            <w:tcW w:w="646"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Average</w:t>
            </w:r>
          </w:p>
        </w:tc>
        <w:tc>
          <w:tcPr>
            <w:tcW w:w="34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purchased as part</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of shares that may yet</w:t>
            </w:r>
          </w:p>
        </w:tc>
        <w:tc>
          <w:tcPr>
            <w:tcW w:w="191" w:type="dxa"/>
            <w:tcBorders/>
            <w:vAlign w:val="center"/>
          </w:tcPr>
          <w:p>
            <w:pPr>
              <w:pStyle w:val="TableContents"/>
              <w:bidi w:val="0"/>
              <w:spacing w:before="0" w:after="0"/>
              <w:ind w:left="0" w:right="0" w:hanging="0"/>
              <w:jc w:val="center"/>
              <w:rPr/>
            </w:pPr>
            <w:r>
              <w:rPr/>
              <w:t>​</w:t>
            </w:r>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of shares</w:t>
            </w:r>
          </w:p>
        </w:tc>
        <w:tc>
          <w:tcPr>
            <w:tcW w:w="346" w:type="dxa"/>
            <w:tcBorders/>
            <w:vAlign w:val="center"/>
          </w:tcPr>
          <w:p>
            <w:pPr>
              <w:pStyle w:val="TableContents"/>
              <w:bidi w:val="0"/>
              <w:spacing w:before="0" w:after="0"/>
              <w:ind w:left="0" w:right="0" w:hanging="0"/>
              <w:jc w:val="center"/>
              <w:rPr/>
            </w:pPr>
            <w:r>
              <w:rPr/>
              <w:t>​</w:t>
            </w:r>
          </w:p>
        </w:tc>
        <w:tc>
          <w:tcPr>
            <w:tcW w:w="646"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price paid</w:t>
            </w:r>
          </w:p>
        </w:tc>
        <w:tc>
          <w:tcPr>
            <w:tcW w:w="346"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of publicly announced</w:t>
            </w:r>
          </w:p>
        </w:tc>
        <w:tc>
          <w:tcPr>
            <w:tcW w:w="34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be purchased under the plans</w:t>
            </w:r>
          </w:p>
        </w:tc>
        <w:tc>
          <w:tcPr>
            <w:tcW w:w="191" w:type="dxa"/>
            <w:tcBorders/>
            <w:vAlign w:val="center"/>
          </w:tcPr>
          <w:p>
            <w:pPr>
              <w:pStyle w:val="TableContents"/>
              <w:bidi w:val="0"/>
              <w:spacing w:before="0" w:after="0"/>
              <w:ind w:left="0" w:right="0" w:hanging="0"/>
              <w:jc w:val="center"/>
              <w:rPr/>
            </w:pPr>
            <w:r>
              <w:rPr/>
              <w:t>​</w:t>
            </w:r>
          </w:p>
        </w:tc>
      </w:tr>
      <w:tr>
        <w:trPr/>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Period</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purchased</w:t>
            </w:r>
          </w:p>
        </w:tc>
        <w:tc>
          <w:tcPr>
            <w:tcW w:w="346" w:type="dxa"/>
            <w:tcBorders/>
            <w:vAlign w:val="center"/>
          </w:tcPr>
          <w:p>
            <w:pPr>
              <w:pStyle w:val="TableContents"/>
              <w:bidi w:val="0"/>
              <w:spacing w:before="0" w:after="0"/>
              <w:ind w:left="0" w:right="0" w:hanging="0"/>
              <w:jc w:val="center"/>
              <w:rPr/>
            </w:pPr>
            <w:r>
              <w:rPr/>
              <w:t>  ​ ​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per share</w:t>
            </w:r>
          </w:p>
        </w:tc>
        <w:tc>
          <w:tcPr>
            <w:tcW w:w="346" w:type="dxa"/>
            <w:tcBorders/>
            <w:vAlign w:val="center"/>
          </w:tcPr>
          <w:p>
            <w:pPr>
              <w:pStyle w:val="TableContents"/>
              <w:bidi w:val="0"/>
              <w:spacing w:before="0" w:after="0"/>
              <w:ind w:left="0" w:right="0" w:hanging="0"/>
              <w:jc w:val="center"/>
              <w:rPr/>
            </w:pPr>
            <w:r>
              <w:rPr/>
              <w:t>  ​ ​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b/>
                <w:sz w:val="14"/>
              </w:rPr>
            </w:pPr>
            <w:r>
              <w:rPr>
                <w:rFonts w:ascii="Arial Narrow" w:hAnsi="Arial Narrow"/>
                <w:b/>
                <w:sz w:val="14"/>
              </w:rPr>
              <w:t>plans or programs</w:t>
            </w:r>
          </w:p>
        </w:tc>
        <w:tc>
          <w:tcPr>
            <w:tcW w:w="346" w:type="dxa"/>
            <w:tcBorders/>
            <w:vAlign w:val="center"/>
          </w:tcPr>
          <w:p>
            <w:pPr>
              <w:pStyle w:val="TableContents"/>
              <w:bidi w:val="0"/>
              <w:spacing w:before="0" w:after="0"/>
              <w:ind w:left="0" w:right="0" w:hanging="0"/>
              <w:jc w:val="center"/>
              <w:rPr/>
            </w:pPr>
            <w:r>
              <w:rPr/>
              <w:t>  ​ ​ ​</w:t>
            </w:r>
          </w:p>
        </w:tc>
        <w:tc>
          <w:tcPr>
            <w:tcW w:w="1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 Narrow" w:hAnsi="Arial Narrow"/>
                <w:sz w:val="14"/>
              </w:rPr>
            </w:pPr>
            <w:r>
              <w:rPr>
                <w:rFonts w:ascii="Arial Narrow" w:hAnsi="Arial Narrow"/>
                <w:b/>
                <w:sz w:val="14"/>
              </w:rPr>
              <w:t>or programs (in millions)</w:t>
            </w:r>
            <w:r>
              <w:rPr>
                <w:rFonts w:ascii="Arial Narrow" w:hAnsi="Arial Narrow"/>
                <w:sz w:val="14"/>
              </w:rPr>
              <w:t xml:space="preserve"> </w:t>
            </w:r>
            <w:r>
              <w:rPr>
                <w:rFonts w:ascii="Arial Narrow" w:hAnsi="Arial Narrow"/>
                <w:b/>
                <w:sz w:val="14"/>
              </w:rPr>
              <w:t>(a)</w:t>
            </w:r>
          </w:p>
        </w:tc>
        <w:tc>
          <w:tcPr>
            <w:tcW w:w="191" w:type="dxa"/>
            <w:tcBorders/>
            <w:vAlign w:val="center"/>
          </w:tcPr>
          <w:p>
            <w:pPr>
              <w:pStyle w:val="TableContents"/>
              <w:bidi w:val="0"/>
              <w:spacing w:before="0" w:after="0"/>
              <w:ind w:left="0" w:right="0" w:hanging="0"/>
              <w:jc w:val="center"/>
              <w:rPr/>
            </w:pPr>
            <w:r>
              <w:rPr/>
              <w:t> </w:t>
            </w:r>
          </w:p>
        </w:tc>
      </w:tr>
      <w:tr>
        <w:trPr/>
        <w:tc>
          <w:tcPr>
            <w:tcW w:w="76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April 2026</w:t>
            </w:r>
          </w:p>
        </w:tc>
        <w:tc>
          <w:tcPr>
            <w:tcW w:w="346" w:type="dxa"/>
            <w:tcBorders/>
            <w:shd w:fill="CEDBE0" w:val="clear"/>
            <w:vAlign w:val="center"/>
          </w:tcPr>
          <w:p>
            <w:pPr>
              <w:pStyle w:val="TableContents"/>
              <w:bidi w:val="0"/>
              <w:spacing w:before="0" w:after="0"/>
              <w:ind w:left="0" w:right="0" w:hanging="0"/>
              <w:jc w:val="left"/>
              <w:rPr/>
            </w:pPr>
            <w:r>
              <w:rPr/>
              <w:t>​</w:t>
            </w:r>
          </w:p>
        </w:tc>
        <w:tc>
          <w:tcPr>
            <w:tcW w:w="841"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220"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26"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366" w:type="dxa"/>
            <w:tcBorders/>
            <w:shd w:fill="CEDBE0" w:val="cle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right"/>
              <w:rPr/>
            </w:pPr>
            <w:r>
              <w:rPr/>
              <w:t> </w:t>
            </w:r>
          </w:p>
        </w:tc>
        <w:tc>
          <w:tcPr>
            <w:tcW w:w="49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244" w:type="dxa"/>
            <w:tcBorders/>
            <w:shd w:fill="CEDBE0" w:val="cle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4,012</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May 2026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left"/>
              <w:rPr/>
            </w:pPr>
            <w:r>
              <w:rPr/>
              <w:t>​</w:t>
            </w:r>
          </w:p>
        </w:tc>
        <w:tc>
          <w:tcPr>
            <w:tcW w:w="1244" w:type="dxa"/>
            <w:tcBorders/>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4,012</w:t>
            </w:r>
          </w:p>
        </w:tc>
        <w:tc>
          <w:tcPr>
            <w:tcW w:w="191" w:type="dxa"/>
            <w:tcBorders/>
            <w:vAlign w:val="center"/>
          </w:tcPr>
          <w:p>
            <w:pPr>
              <w:pStyle w:val="TableContents"/>
              <w:bidi w:val="0"/>
              <w:spacing w:before="0" w:after="0"/>
              <w:ind w:left="0" w:right="0" w:hanging="0"/>
              <w:jc w:val="left"/>
              <w:rPr/>
            </w:pPr>
            <w:r>
              <w:rPr/>
              <w:t>​</w:t>
            </w:r>
          </w:p>
        </w:tc>
      </w:tr>
      <w:tr>
        <w:trPr/>
        <w:tc>
          <w:tcPr>
            <w:tcW w:w="766"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June 2026</w:t>
            </w:r>
          </w:p>
        </w:tc>
        <w:tc>
          <w:tcPr>
            <w:tcW w:w="346" w:type="dxa"/>
            <w:tcBorders/>
            <w:shd w:fill="CEDBE0"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left"/>
              <w:rPr/>
            </w:pPr>
            <w:r>
              <w:rPr/>
              <w:t>​</w:t>
            </w:r>
          </w:p>
        </w:tc>
        <w:tc>
          <w:tcPr>
            <w:tcW w:w="1366"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pPr>
            <w:r>
              <w:rPr/>
              <w:t>—</w:t>
            </w:r>
          </w:p>
        </w:tc>
        <w:tc>
          <w:tcPr>
            <w:tcW w:w="346" w:type="dxa"/>
            <w:tcBorders/>
            <w:shd w:fill="CEDBE0" w:val="clear"/>
            <w:vAlign w:val="center"/>
          </w:tcPr>
          <w:p>
            <w:pPr>
              <w:pStyle w:val="TableContents"/>
              <w:bidi w:val="0"/>
              <w:spacing w:before="0" w:after="0"/>
              <w:ind w:left="0" w:right="0" w:hanging="0"/>
              <w:jc w:val="right"/>
              <w:rPr/>
            </w:pPr>
            <w:r>
              <w:rPr/>
              <w:t>​</w:t>
            </w:r>
          </w:p>
        </w:tc>
        <w:tc>
          <w:tcPr>
            <w:tcW w:w="496" w:type="dxa"/>
            <w:tcBorders>
              <w:bottom w:val="single" w:sz="2" w:space="0" w:color="000000"/>
            </w:tcBorders>
            <w:shd w:fill="CEDBE0" w:val="clear"/>
            <w:tcMar>
              <w:bottom w:w="28" w:type="dxa"/>
            </w:tcMar>
            <w:vAlign w:val="center"/>
          </w:tcPr>
          <w:p>
            <w:pPr>
              <w:pStyle w:val="TableContents"/>
              <w:bidi w:val="0"/>
              <w:spacing w:before="0" w:after="0"/>
              <w:ind w:left="0" w:right="0" w:hanging="0"/>
              <w:jc w:val="left"/>
              <w:rPr/>
            </w:pPr>
            <w:r>
              <w:rPr/>
              <w:t>​</w:t>
            </w:r>
          </w:p>
        </w:tc>
        <w:tc>
          <w:tcPr>
            <w:tcW w:w="1244" w:type="dxa"/>
            <w:tcBorders>
              <w:bottom w:val="single" w:sz="2" w:space="0" w:color="000000"/>
            </w:tcBorders>
            <w:shd w:fill="CEDBE0" w:val="clear"/>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4,012</w:t>
            </w:r>
          </w:p>
        </w:tc>
        <w:tc>
          <w:tcPr>
            <w:tcW w:w="191" w:type="dxa"/>
            <w:tcBorders/>
            <w:shd w:fill="CEDBE0" w:val="clear"/>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Total</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4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6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96" w:type="dxa"/>
            <w:tcBorders>
              <w:bottom w:val="single" w:sz="12" w:space="0" w:color="000000"/>
            </w:tcBorders>
            <w:tcMar>
              <w:bottom w:w="28" w:type="dxa"/>
            </w:tcM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w:t>
            </w:r>
          </w:p>
        </w:tc>
        <w:tc>
          <w:tcPr>
            <w:tcW w:w="1244" w:type="dxa"/>
            <w:tcBorders>
              <w:bottom w:val="single" w:sz="12" w:space="0" w:color="000000"/>
            </w:tcBorders>
            <w:tcMar>
              <w:bottom w:w="28" w:type="dxa"/>
            </w:tcMar>
            <w:vAlign w:val="center"/>
          </w:tcPr>
          <w:p>
            <w:pPr>
              <w:pStyle w:val="TableContents"/>
              <w:bidi w:val="0"/>
              <w:spacing w:before="0" w:after="0"/>
              <w:ind w:left="0" w:right="0" w:hanging="0"/>
              <w:jc w:val="right"/>
              <w:rPr>
                <w:rFonts w:ascii="Arial Narrow" w:hAnsi="Arial Narrow"/>
                <w:sz w:val="18"/>
              </w:rPr>
            </w:pPr>
            <w:r>
              <w:rPr>
                <w:rFonts w:ascii="Arial Narrow" w:hAnsi="Arial Narrow"/>
                <w:sz w:val="18"/>
              </w:rPr>
              <w:t>4,012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144" w:hanging="0"/>
        <w:jc w:val="both"/>
        <w:rPr>
          <w:rFonts w:ascii="Arial Narrow" w:hAnsi="Arial Narrow"/>
          <w:sz w:val="16"/>
        </w:rPr>
      </w:pPr>
      <w:r>
        <w:rPr>
          <w:rFonts w:ascii="Arial Narrow" w:hAnsi="Arial Narrow"/>
          <w:sz w:val="16"/>
        </w:rPr>
        <w:t>(a)In May 2009, at our annual general meeting, shareholders approved and authorized our board of directors, at its discretion, to repurchase for cancellation any amount of our shares for an aggregate purchase price of up to CHF 3.50 billion.  At June 30, 2026, the authorization remaining under the share repurchase program was for the repurchase of our outstanding shares for an aggregate purchase price of up to CHF 3.24 billion, equivalent to $4.01 billion.  The share repurchase program could be suspended or discontinued by our board of directors or company management, as applicable, at any time.</w:t>
      </w:r>
    </w:p>
    <w:p>
      <w:pPr>
        <w:pStyle w:val="Normal"/>
        <w:bidi w:val="0"/>
        <w:spacing w:before="0" w:after="0"/>
        <w:jc w:val="left"/>
        <w:rPr>
          <w:sz w:val="4"/>
          <w:szCs w:val="4"/>
        </w:rPr>
      </w:pPr>
      <w:r>
        <w:rPr>
          <w:sz w:val="4"/>
          <w:szCs w:val="4"/>
        </w:rPr>
      </w:r>
      <w:bookmarkStart w:id="953" w:name="Item_3_DefaultsUponSeniorSecurities"/>
      <w:bookmarkStart w:id="954" w:name="_3ceda30e_f633_4939_977e_88c4d7c2058f"/>
      <w:bookmarkStart w:id="955" w:name="Item_3_DefaultsUponSeniorSecurities"/>
      <w:bookmarkStart w:id="956" w:name="_3ceda30e_f633_4939_977e_88c4d7c2058f"/>
      <w:bookmarkEnd w:id="955"/>
      <w:bookmarkEnd w:id="956"/>
    </w:p>
    <w:tbl>
      <w:tblPr>
        <w:tblW w:w="4382" w:type="dxa"/>
        <w:jc w:val="left"/>
        <w:tblInd w:w="0" w:type="dxa"/>
        <w:tblLayout w:type="fixed"/>
        <w:tblCellMar>
          <w:top w:w="0" w:type="dxa"/>
          <w:left w:w="0" w:type="dxa"/>
          <w:bottom w:w="0" w:type="dxa"/>
          <w:right w:w="0" w:type="dxa"/>
        </w:tblCellMar>
      </w:tblPr>
      <w:tblGrid>
        <w:gridCol w:w="751"/>
        <w:gridCol w:w="3631"/>
      </w:tblGrid>
      <w:tr>
        <w:trPr/>
        <w:tc>
          <w:tcPr>
            <w:tcW w:w="751" w:type="dxa"/>
            <w:tcBorders/>
            <w:vAlign w:val="center"/>
          </w:tcPr>
          <w:p>
            <w:pPr>
              <w:pStyle w:val="TableContents"/>
              <w:shd w:fill="CEDBE0" w:val="clear"/>
              <w:bidi w:val="0"/>
              <w:spacing w:before="240" w:after="60"/>
              <w:jc w:val="both"/>
              <w:rPr>
                <w:rFonts w:ascii="Arial Narrow" w:hAnsi="Arial Narrow"/>
                <w:b/>
                <w:caps/>
                <w:sz w:val="22"/>
              </w:rPr>
            </w:pPr>
            <w:r>
              <w:rPr>
                <w:rFonts w:ascii="Arial Narrow" w:hAnsi="Arial Narrow"/>
                <w:b/>
                <w:caps/>
                <w:sz w:val="22"/>
              </w:rPr>
              <w:t>Item 3.</w:t>
            </w:r>
          </w:p>
        </w:tc>
        <w:tc>
          <w:tcPr>
            <w:tcW w:w="3631" w:type="dxa"/>
            <w:tcBorders/>
            <w:vAlign w:val="center"/>
          </w:tcPr>
          <w:p>
            <w:pPr>
              <w:pStyle w:val="TableContents"/>
              <w:shd w:fill="CEDBE0" w:val="clear"/>
              <w:bidi w:val="0"/>
              <w:spacing w:before="240" w:after="60"/>
              <w:jc w:val="both"/>
              <w:rPr>
                <w:rFonts w:ascii="Arial Narrow" w:hAnsi="Arial Narrow"/>
                <w:b/>
                <w:caps/>
                <w:sz w:val="22"/>
              </w:rPr>
            </w:pPr>
            <w:r>
              <w:rPr>
                <w:rFonts w:ascii="Arial Narrow" w:hAnsi="Arial Narrow"/>
                <w:b/>
                <w:caps/>
                <w:sz w:val="22"/>
              </w:rPr>
              <w:t>Defaults Upon Senior Securities</w:t>
            </w:r>
          </w:p>
        </w:tc>
      </w:tr>
    </w:tbl>
    <w:p>
      <w:pPr>
        <w:pStyle w:val="TextBody"/>
        <w:pBdr/>
        <w:bidi w:val="0"/>
        <w:spacing w:before="60" w:after="0"/>
        <w:ind w:left="0" w:right="0" w:firstLine="720"/>
        <w:jc w:val="both"/>
        <w:rPr>
          <w:rFonts w:ascii="Arial Narrow" w:hAnsi="Arial Narrow"/>
          <w:sz w:val="20"/>
        </w:rPr>
      </w:pPr>
      <w:r>
        <w:rPr>
          <w:rFonts w:ascii="Arial Narrow" w:hAnsi="Arial Narrow"/>
          <w:sz w:val="20"/>
        </w:rPr>
        <w:t>Not applicable.</w:t>
      </w:r>
    </w:p>
    <w:p>
      <w:pPr>
        <w:pStyle w:val="Normal"/>
        <w:bidi w:val="0"/>
        <w:spacing w:before="0" w:after="0"/>
        <w:jc w:val="left"/>
        <w:rPr>
          <w:sz w:val="4"/>
          <w:szCs w:val="4"/>
        </w:rPr>
      </w:pPr>
      <w:r>
        <w:rPr>
          <w:sz w:val="4"/>
          <w:szCs w:val="4"/>
        </w:rPr>
      </w:r>
      <w:bookmarkStart w:id="957" w:name="Item_4_MineSafetyDisclosures"/>
      <w:bookmarkStart w:id="958" w:name="_4425fd72_0549_4f1e_859c_c408a435d3e2"/>
      <w:bookmarkStart w:id="959" w:name="Item_4_MineSafetyDisclosures"/>
      <w:bookmarkStart w:id="960" w:name="_4425fd72_0549_4f1e_859c_c408a435d3e2"/>
      <w:bookmarkEnd w:id="959"/>
      <w:bookmarkEnd w:id="960"/>
    </w:p>
    <w:tbl>
      <w:tblPr>
        <w:tblW w:w="3512" w:type="dxa"/>
        <w:jc w:val="left"/>
        <w:tblInd w:w="0" w:type="dxa"/>
        <w:tblLayout w:type="fixed"/>
        <w:tblCellMar>
          <w:top w:w="0" w:type="dxa"/>
          <w:left w:w="0" w:type="dxa"/>
          <w:bottom w:w="0" w:type="dxa"/>
          <w:right w:w="0" w:type="dxa"/>
        </w:tblCellMar>
      </w:tblPr>
      <w:tblGrid>
        <w:gridCol w:w="751"/>
        <w:gridCol w:w="2761"/>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4.</w:t>
            </w:r>
          </w:p>
        </w:tc>
        <w:tc>
          <w:tcPr>
            <w:tcW w:w="276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Mine Safety Disclosures</w:t>
            </w:r>
          </w:p>
        </w:tc>
      </w:tr>
    </w:tbl>
    <w:p>
      <w:pPr>
        <w:pStyle w:val="TextBody"/>
        <w:pBdr/>
        <w:bidi w:val="0"/>
        <w:spacing w:before="60" w:after="0"/>
        <w:ind w:left="0" w:right="0" w:firstLine="720"/>
        <w:jc w:val="both"/>
        <w:rPr>
          <w:rFonts w:ascii="Arial Narrow" w:hAnsi="Arial Narrow"/>
          <w:sz w:val="20"/>
        </w:rPr>
      </w:pPr>
      <w:r>
        <w:rPr>
          <w:rFonts w:ascii="Arial Narrow" w:hAnsi="Arial Narrow"/>
          <w:sz w:val="20"/>
        </w:rPr>
        <w:t>Not applicable.</w:t>
      </w:r>
    </w:p>
    <w:p>
      <w:pPr>
        <w:pStyle w:val="Normal"/>
        <w:bidi w:val="0"/>
        <w:spacing w:before="0" w:after="0"/>
        <w:jc w:val="left"/>
        <w:rPr>
          <w:sz w:val="4"/>
          <w:szCs w:val="4"/>
        </w:rPr>
      </w:pPr>
      <w:r>
        <w:rPr>
          <w:sz w:val="4"/>
          <w:szCs w:val="4"/>
        </w:rPr>
      </w:r>
      <w:bookmarkStart w:id="961" w:name="Item5OtherInfo"/>
      <w:bookmarkStart w:id="962" w:name="Item5OtherInformation"/>
      <w:bookmarkStart w:id="963" w:name="_ebe06e2a_2d21_4cf5_9e8d_300e1cbb8ee4"/>
      <w:bookmarkStart w:id="964" w:name="Item5OtherInfo"/>
      <w:bookmarkStart w:id="965" w:name="Item5OtherInformation"/>
      <w:bookmarkStart w:id="966" w:name="_ebe06e2a_2d21_4cf5_9e8d_300e1cbb8ee4"/>
      <w:bookmarkEnd w:id="964"/>
      <w:bookmarkEnd w:id="965"/>
      <w:bookmarkEnd w:id="966"/>
    </w:p>
    <w:tbl>
      <w:tblPr>
        <w:tblW w:w="2927" w:type="dxa"/>
        <w:jc w:val="left"/>
        <w:tblInd w:w="0" w:type="dxa"/>
        <w:tblLayout w:type="fixed"/>
        <w:tblCellMar>
          <w:top w:w="0" w:type="dxa"/>
          <w:left w:w="0" w:type="dxa"/>
          <w:bottom w:w="0" w:type="dxa"/>
          <w:right w:w="0" w:type="dxa"/>
        </w:tblCellMar>
      </w:tblPr>
      <w:tblGrid>
        <w:gridCol w:w="751"/>
        <w:gridCol w:w="2176"/>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5.</w:t>
            </w:r>
          </w:p>
        </w:tc>
        <w:tc>
          <w:tcPr>
            <w:tcW w:w="2176"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Other Information</w:t>
            </w:r>
          </w:p>
        </w:tc>
      </w:tr>
    </w:tbl>
    <w:p>
      <w:pPr>
        <w:pStyle w:val="TextBody"/>
        <w:bidi w:val="0"/>
        <w:spacing w:before="60" w:after="120"/>
        <w:ind w:left="0" w:right="0" w:firstLine="720"/>
        <w:jc w:val="both"/>
        <w:rPr>
          <w:rFonts w:ascii="Arial Narrow" w:hAnsi="Arial Narrow"/>
          <w:sz w:val="20"/>
        </w:rPr>
      </w:pPr>
      <w:r>
        <w:rPr>
          <w:rFonts w:ascii="Arial Narrow" w:hAnsi="Arial Narrow"/>
          <w:sz w:val="20"/>
        </w:rPr>
        <w:t>On May 22, 2026, Mr. Brady K. Long, our Executive Vice President and Chief Legal Officer, adopted a Rule 10b5-1 trading arrangement, as such term is defined under Item 408(a) of Regulation S-K of the Securities Act of 1933, that is intended to satisfy the affirmative defense of Rule 10b5-1(c) for the sale of up to 198,622 shares of Transocean Ltd. (the “CLO Plan”).  Sales may not commence under the CLO Plan until September 20, 2026 at the earliest and only at specified market prices.  Unless earlier terminated in accordance with its terms and conditions, the CLO Plan expires on August 15, 2027.</w:t>
      </w:r>
    </w:p>
    <w:p>
      <w:pPr>
        <w:pStyle w:val="TextBody"/>
        <w:bidi w:val="0"/>
        <w:spacing w:before="0" w:after="0"/>
        <w:ind w:left="0" w:right="0" w:hanging="0"/>
        <w:jc w:val="center"/>
        <w:rPr>
          <w:rFonts w:ascii="Arial Narrow" w:hAnsi="Arial Narrow"/>
          <w:sz w:val="20"/>
        </w:rPr>
      </w:pPr>
      <w:r>
        <w:rPr>
          <w:rFonts w:ascii="Arial Narrow" w:hAnsi="Arial Narrow"/>
          <w:sz w:val="20"/>
        </w:rPr>
        <w:t>- 23 -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bidi w:val="0"/>
        <w:spacing w:before="0" w:after="0"/>
        <w:ind w:left="0" w:right="0" w:firstLine="720"/>
        <w:jc w:val="both"/>
        <w:rPr>
          <w:rFonts w:ascii="Arial Narrow" w:hAnsi="Arial Narrow"/>
          <w:sz w:val="20"/>
        </w:rPr>
      </w:pPr>
      <w:r>
        <w:rPr>
          <w:rFonts w:ascii="Arial Narrow" w:hAnsi="Arial Narrow"/>
          <w:sz w:val="20"/>
        </w:rPr>
        <w:t>On July 2, 2026, Mr. Jason Pack, our Senior Vice President and Chief Accounting Officer, adopted a Rule 10b5-1 trading arrangement, as such term is defined under Item 408(a) of Regulation S-K of the Securities Act of 1933, that is intended to satisfy the affirmative defense of Rule 10b5-1(c) for the sale of up to 262,103 shares of Transocean Ltd. (the “CAO Plan”).  Sales may not commence under the CAO Plan until October 1, 2026 at the earliest and only at specified market prices.  Unless earlier terminated in accordance with its terms and conditions, the CAO Plan expires on September 15, 2027.</w:t>
      </w:r>
    </w:p>
    <w:p>
      <w:pPr>
        <w:pStyle w:val="Normal"/>
        <w:bidi w:val="0"/>
        <w:spacing w:before="0" w:after="0"/>
        <w:jc w:val="left"/>
        <w:rPr>
          <w:sz w:val="4"/>
          <w:szCs w:val="4"/>
        </w:rPr>
      </w:pPr>
      <w:r>
        <w:rPr>
          <w:sz w:val="4"/>
          <w:szCs w:val="4"/>
        </w:rPr>
      </w:r>
      <w:bookmarkStart w:id="967" w:name="Item6Exhibits_779881"/>
      <w:bookmarkStart w:id="968" w:name="_e497bbe9_b6a4_4768_b071_798a2fa311e6"/>
      <w:bookmarkStart w:id="969" w:name="Item6Exhibits_779881"/>
      <w:bookmarkStart w:id="970" w:name="_e497bbe9_b6a4_4768_b071_798a2fa311e6"/>
      <w:bookmarkEnd w:id="969"/>
      <w:bookmarkEnd w:id="970"/>
    </w:p>
    <w:tbl>
      <w:tblPr>
        <w:tblW w:w="1742" w:type="dxa"/>
        <w:jc w:val="left"/>
        <w:tblInd w:w="0" w:type="dxa"/>
        <w:tblLayout w:type="fixed"/>
        <w:tblCellMar>
          <w:top w:w="0" w:type="dxa"/>
          <w:left w:w="0" w:type="dxa"/>
          <w:bottom w:w="0" w:type="dxa"/>
          <w:right w:w="0" w:type="dxa"/>
        </w:tblCellMar>
      </w:tblPr>
      <w:tblGrid>
        <w:gridCol w:w="751"/>
        <w:gridCol w:w="991"/>
      </w:tblGrid>
      <w:tr>
        <w:trPr/>
        <w:tc>
          <w:tcPr>
            <w:tcW w:w="75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Item 6.</w:t>
            </w:r>
          </w:p>
        </w:tc>
        <w:tc>
          <w:tcPr>
            <w:tcW w:w="991" w:type="dxa"/>
            <w:tcBorders/>
            <w:vAlign w:val="center"/>
          </w:tcPr>
          <w:p>
            <w:pPr>
              <w:pStyle w:val="TableContents"/>
              <w:shd w:fill="CEDBE0" w:val="clear"/>
              <w:bidi w:val="0"/>
              <w:spacing w:before="120" w:after="60"/>
              <w:jc w:val="both"/>
              <w:rPr>
                <w:rFonts w:ascii="Arial Narrow" w:hAnsi="Arial Narrow"/>
                <w:b/>
                <w:caps/>
                <w:sz w:val="22"/>
              </w:rPr>
            </w:pPr>
            <w:r>
              <w:rPr>
                <w:rFonts w:ascii="Arial Narrow" w:hAnsi="Arial Narrow"/>
                <w:b/>
                <w:caps/>
                <w:sz w:val="22"/>
              </w:rPr>
              <w:t>Exhibits</w:t>
            </w:r>
          </w:p>
        </w:tc>
      </w:tr>
    </w:tbl>
    <w:p>
      <w:pPr>
        <w:pStyle w:val="TextBody"/>
        <w:bidi w:val="0"/>
        <w:spacing w:before="0" w:after="60"/>
        <w:ind w:left="0" w:right="0" w:firstLine="720"/>
        <w:jc w:val="both"/>
        <w:rPr>
          <w:rFonts w:ascii="Arial Narrow" w:hAnsi="Arial Narrow"/>
          <w:sz w:val="20"/>
        </w:rPr>
      </w:pPr>
      <w:r>
        <w:rPr>
          <w:rFonts w:ascii="Arial Narrow" w:hAnsi="Arial Narrow"/>
          <w:sz w:val="20"/>
        </w:rPr>
        <w:t>The following exhibits are filed or furnished herewith, as indicated, or incorporated by reference to the location indicated:</w:t>
      </w:r>
    </w:p>
    <w:tbl>
      <w:tblPr>
        <w:tblW w:w="10205" w:type="dxa"/>
        <w:jc w:val="left"/>
        <w:tblInd w:w="0" w:type="dxa"/>
        <w:tblLayout w:type="fixed"/>
        <w:tblCellMar>
          <w:top w:w="0" w:type="dxa"/>
          <w:left w:w="0" w:type="dxa"/>
          <w:bottom w:w="0" w:type="dxa"/>
          <w:right w:w="0" w:type="dxa"/>
        </w:tblCellMar>
      </w:tblPr>
      <w:tblGrid>
        <w:gridCol w:w="152"/>
        <w:gridCol w:w="464"/>
        <w:gridCol w:w="109"/>
        <w:gridCol w:w="7068"/>
        <w:gridCol w:w="109"/>
        <w:gridCol w:w="2303"/>
      </w:tblGrid>
      <w:tr>
        <w:trPr/>
        <w:tc>
          <w:tcPr>
            <w:tcW w:w="152" w:type="dxa"/>
            <w:tcBorders/>
            <w:vAlign w:val="center"/>
          </w:tcPr>
          <w:p>
            <w:pPr>
              <w:pStyle w:val="TableHeading"/>
              <w:bidi w:val="0"/>
              <w:spacing w:before="0" w:after="0"/>
              <w:ind w:left="0" w:right="0" w:hanging="0"/>
              <w:jc w:val="left"/>
              <w:rPr/>
            </w:pPr>
            <w:r>
              <w:rPr/>
              <w:t>​</w:t>
            </w:r>
          </w:p>
        </w:tc>
        <w:tc>
          <w:tcPr>
            <w:tcW w:w="464" w:type="dxa"/>
            <w:tcBorders/>
            <w:vAlign w:val="center"/>
          </w:tcPr>
          <w:p>
            <w:pPr>
              <w:pStyle w:val="TableHeading"/>
              <w:bidi w:val="0"/>
              <w:spacing w:before="0" w:after="0"/>
              <w:ind w:left="0" w:right="0" w:hanging="0"/>
              <w:jc w:val="left"/>
              <w:rPr/>
            </w:pPr>
            <w:r>
              <w:rPr/>
              <w:t>​</w:t>
            </w:r>
          </w:p>
        </w:tc>
        <w:tc>
          <w:tcPr>
            <w:tcW w:w="109" w:type="dxa"/>
            <w:tcBorders/>
            <w:vAlign w:val="center"/>
          </w:tcPr>
          <w:p>
            <w:pPr>
              <w:pStyle w:val="TableHeading"/>
              <w:bidi w:val="0"/>
              <w:spacing w:before="0" w:after="0"/>
              <w:ind w:left="0" w:right="0" w:hanging="0"/>
              <w:jc w:val="left"/>
              <w:rPr/>
            </w:pPr>
            <w:r>
              <w:rPr/>
              <w:t>​</w:t>
            </w:r>
          </w:p>
        </w:tc>
        <w:tc>
          <w:tcPr>
            <w:tcW w:w="7068" w:type="dxa"/>
            <w:tcBorders/>
            <w:vAlign w:val="center"/>
          </w:tcPr>
          <w:p>
            <w:pPr>
              <w:pStyle w:val="TableHeading"/>
              <w:bidi w:val="0"/>
              <w:spacing w:before="0" w:after="0"/>
              <w:ind w:left="0" w:right="0" w:hanging="0"/>
              <w:jc w:val="left"/>
              <w:rPr/>
            </w:pPr>
            <w:r>
              <w:rPr/>
              <w:t>​</w:t>
            </w:r>
          </w:p>
        </w:tc>
        <w:tc>
          <w:tcPr>
            <w:tcW w:w="109" w:type="dxa"/>
            <w:tcBorders/>
            <w:vAlign w:val="center"/>
          </w:tcPr>
          <w:p>
            <w:pPr>
              <w:pStyle w:val="TableHeading"/>
              <w:bidi w:val="0"/>
              <w:spacing w:before="0" w:after="0"/>
              <w:ind w:left="0" w:right="0" w:hanging="0"/>
              <w:jc w:val="left"/>
              <w:rPr/>
            </w:pPr>
            <w:r>
              <w:rPr/>
              <w:t>​</w:t>
            </w:r>
          </w:p>
        </w:tc>
        <w:tc>
          <w:tcPr>
            <w:tcW w:w="2303" w:type="dxa"/>
            <w:tcBorders/>
            <w:vAlign w:val="center"/>
          </w:tcPr>
          <w:p>
            <w:pPr>
              <w:pStyle w:val="TableHeading"/>
              <w:bidi w:val="0"/>
              <w:spacing w:before="0" w:after="0"/>
              <w:ind w:left="0" w:right="0" w:hanging="0"/>
              <w:jc w:val="left"/>
              <w:rPr/>
            </w:pPr>
            <w:r>
              <w:rPr/>
              <w:t>​</w:t>
            </w:r>
          </w:p>
        </w:tc>
      </w:tr>
      <w:tr>
        <w:trPr/>
        <w:tc>
          <w:tcPr>
            <w:tcW w:w="616" w:type="dxa"/>
            <w:gridSpan w:val="2"/>
            <w:tcBorders/>
            <w:shd w:fill="00556F" w:val="clear"/>
            <w:vAlign w:val="center"/>
          </w:tcPr>
          <w:p>
            <w:pPr>
              <w:pStyle w:val="TableHeading"/>
              <w:bidi w:val="0"/>
              <w:spacing w:before="60" w:after="0"/>
              <w:ind w:left="0" w:right="0" w:hanging="0"/>
              <w:jc w:val="center"/>
              <w:rPr>
                <w:rFonts w:ascii="Arial Narrow" w:hAnsi="Arial Narrow"/>
                <w:b/>
                <w:smallCaps/>
                <w:color w:val="FFFFFF"/>
                <w:sz w:val="16"/>
              </w:rPr>
            </w:pPr>
            <w:r>
              <w:rPr>
                <w:rFonts w:ascii="Arial Narrow" w:hAnsi="Arial Narrow"/>
                <w:b/>
                <w:smallCaps/>
                <w:color w:val="FFFFFF"/>
                <w:sz w:val="16"/>
              </w:rPr>
              <w:t>Number</w:t>
            </w:r>
          </w:p>
        </w:tc>
        <w:tc>
          <w:tcPr>
            <w:tcW w:w="109" w:type="dxa"/>
            <w:tcBorders/>
            <w:shd w:fill="00556F" w:val="clear"/>
            <w:vAlign w:val="center"/>
          </w:tcPr>
          <w:p>
            <w:pPr>
              <w:pStyle w:val="TableHeading"/>
              <w:bidi w:val="0"/>
              <w:spacing w:before="60" w:after="0"/>
              <w:ind w:left="0" w:right="0" w:hanging="0"/>
              <w:jc w:val="both"/>
              <w:rPr>
                <w:color w:val="FFFFFF"/>
              </w:rPr>
            </w:pPr>
            <w:r>
              <w:rPr>
                <w:color w:val="FFFFFF"/>
              </w:rPr>
              <w:t>​</w:t>
            </w:r>
          </w:p>
        </w:tc>
        <w:tc>
          <w:tcPr>
            <w:tcW w:w="7068" w:type="dxa"/>
            <w:tcBorders/>
            <w:shd w:fill="00556F" w:val="clear"/>
            <w:vAlign w:val="center"/>
          </w:tcPr>
          <w:p>
            <w:pPr>
              <w:pStyle w:val="TableHeading"/>
              <w:bidi w:val="0"/>
              <w:spacing w:before="60" w:after="0"/>
              <w:ind w:left="0" w:right="0" w:hanging="0"/>
              <w:jc w:val="left"/>
              <w:rPr>
                <w:rFonts w:ascii="Arial Narrow" w:hAnsi="Arial Narrow"/>
                <w:b/>
                <w:smallCaps/>
                <w:color w:val="FFFFFF"/>
                <w:sz w:val="16"/>
              </w:rPr>
            </w:pPr>
            <w:r>
              <w:rPr>
                <w:rFonts w:ascii="Arial Narrow" w:hAnsi="Arial Narrow"/>
                <w:b/>
                <w:smallCaps/>
                <w:color w:val="FFFFFF"/>
                <w:sz w:val="16"/>
              </w:rPr>
              <w:t>Description</w:t>
            </w:r>
          </w:p>
        </w:tc>
        <w:tc>
          <w:tcPr>
            <w:tcW w:w="109" w:type="dxa"/>
            <w:tcBorders/>
            <w:shd w:fill="00556F" w:val="clear"/>
            <w:vAlign w:val="center"/>
          </w:tcPr>
          <w:p>
            <w:pPr>
              <w:pStyle w:val="TableHeading"/>
              <w:bidi w:val="0"/>
              <w:spacing w:before="0" w:after="283"/>
              <w:ind w:left="0" w:right="0" w:hanging="0"/>
              <w:rPr>
                <w:sz w:val="4"/>
                <w:szCs w:val="4"/>
              </w:rPr>
            </w:pPr>
            <w:r>
              <w:rPr>
                <w:sz w:val="4"/>
                <w:szCs w:val="4"/>
              </w:rPr>
            </w:r>
          </w:p>
        </w:tc>
        <w:tc>
          <w:tcPr>
            <w:tcW w:w="2303" w:type="dxa"/>
            <w:tcBorders/>
            <w:shd w:fill="00556F" w:val="clear"/>
            <w:vAlign w:val="center"/>
          </w:tcPr>
          <w:p>
            <w:pPr>
              <w:pStyle w:val="TableHeading"/>
              <w:bidi w:val="0"/>
              <w:spacing w:before="60" w:after="0"/>
              <w:ind w:left="0" w:right="0" w:hanging="0"/>
              <w:jc w:val="left"/>
              <w:rPr>
                <w:rFonts w:ascii="Arial Narrow" w:hAnsi="Arial Narrow"/>
                <w:b/>
                <w:smallCaps/>
                <w:color w:val="FFFFFF"/>
                <w:sz w:val="16"/>
              </w:rPr>
            </w:pPr>
            <w:r>
              <w:rPr>
                <w:rFonts w:ascii="Arial Narrow" w:hAnsi="Arial Narrow"/>
                <w:b/>
                <w:smallCaps/>
                <w:color w:val="FFFFFF"/>
                <w:sz w:val="16"/>
              </w:rPr>
              <w:t>Location</w:t>
            </w:r>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2.1</w:t>
            </w:r>
          </w:p>
        </w:tc>
        <w:tc>
          <w:tcPr>
            <w:tcW w:w="109" w:type="dxa"/>
            <w:tcBorders/>
            <w:shd w:fill="CEDBE0" w:val="clear"/>
            <w:vAlign w:val="center"/>
          </w:tcPr>
          <w:p>
            <w:pPr>
              <w:pStyle w:val="TableContents"/>
              <w:bidi w:val="0"/>
              <w:spacing w:before="0" w:after="0"/>
              <w:ind w:left="0" w:right="0" w:hanging="0"/>
              <w:jc w:val="both"/>
              <w:rPr/>
            </w:pPr>
            <w:r>
              <w:rPr/>
              <w:t>​</w:t>
            </w:r>
          </w:p>
        </w:tc>
        <w:tc>
          <w:tcPr>
            <w:tcW w:w="7068"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Business Combination Agreement, dated as of February 9, 2026, between Transocean Ltd. and Valaris Limited</w:t>
            </w:r>
          </w:p>
        </w:tc>
        <w:tc>
          <w:tcPr>
            <w:tcW w:w="109" w:type="dxa"/>
            <w:tcBorders/>
            <w:shd w:fill="CEDBE0" w:val="clear"/>
            <w:vAlign w:val="center"/>
          </w:tcPr>
          <w:p>
            <w:pPr>
              <w:pStyle w:val="TableContents"/>
              <w:bidi w:val="0"/>
              <w:spacing w:before="0" w:after="0"/>
              <w:ind w:left="0" w:right="0" w:hanging="0"/>
              <w:jc w:val="both"/>
              <w:rPr/>
            </w:pPr>
            <w:r>
              <w:rPr/>
              <w:t>​</w:t>
            </w:r>
          </w:p>
        </w:tc>
        <w:tc>
          <w:tcPr>
            <w:tcW w:w="2303" w:type="dxa"/>
            <w:tcBorders/>
            <w:shd w:fill="CEDBE0" w:val="clear"/>
            <w:vAlign w:val="center"/>
          </w:tcPr>
          <w:p>
            <w:pPr>
              <w:pStyle w:val="TableContents"/>
              <w:bidi w:val="0"/>
              <w:spacing w:before="0" w:after="0"/>
              <w:ind w:left="0" w:right="0" w:hanging="0"/>
              <w:jc w:val="left"/>
              <w:rPr/>
            </w:pPr>
            <w:hyperlink r:id="rId12">
              <w:r>
                <w:rPr>
                  <w:rStyle w:val="InternetLink"/>
                  <w:rFonts w:ascii="Arial Narrow" w:hAnsi="Arial Narrow"/>
                  <w:b w:val="false"/>
                  <w:i w:val="false"/>
                  <w:caps w:val="false"/>
                  <w:smallCaps w:val="false"/>
                  <w:sz w:val="20"/>
                </w:rPr>
                <w:t>Exhibit 2.1 to Transocean Ltd.’s Current Report on Form 8-K (Commission File No. 001-38373) filed on February 10, 2026</w:t>
              </w:r>
            </w:hyperlink>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3.1</w:t>
            </w:r>
          </w:p>
        </w:tc>
        <w:tc>
          <w:tcPr>
            <w:tcW w:w="109" w:type="dxa"/>
            <w:tcBorders/>
            <w:vAlign w:val="center"/>
          </w:tcPr>
          <w:p>
            <w:pPr>
              <w:pStyle w:val="TableContents"/>
              <w:bidi w:val="0"/>
              <w:spacing w:before="0" w:after="0"/>
              <w:ind w:left="0" w:right="0" w:hanging="0"/>
              <w:jc w:val="both"/>
              <w:rPr/>
            </w:pPr>
            <w:r>
              <w:rPr/>
              <w:t>​</w:t>
            </w:r>
          </w:p>
        </w:tc>
        <w:tc>
          <w:tcPr>
            <w:tcW w:w="7068"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Articles of Association of Transocean Ltd., amended as of May 22, 2026</w:t>
            </w:r>
          </w:p>
        </w:tc>
        <w:tc>
          <w:tcPr>
            <w:tcW w:w="109" w:type="dxa"/>
            <w:tcBorders/>
            <w:vAlign w:val="center"/>
          </w:tcPr>
          <w:p>
            <w:pPr>
              <w:pStyle w:val="TableContents"/>
              <w:bidi w:val="0"/>
              <w:spacing w:before="0" w:after="0"/>
              <w:ind w:left="0" w:right="0" w:hanging="0"/>
              <w:jc w:val="both"/>
              <w:rPr/>
            </w:pPr>
            <w:r>
              <w:rPr/>
              <w:t>​</w:t>
            </w:r>
          </w:p>
        </w:tc>
        <w:tc>
          <w:tcPr>
            <w:tcW w:w="2303" w:type="dxa"/>
            <w:tcBorders/>
            <w:vAlign w:val="center"/>
          </w:tcPr>
          <w:p>
            <w:pPr>
              <w:pStyle w:val="TableContents"/>
              <w:bidi w:val="0"/>
              <w:spacing w:before="0" w:after="0"/>
              <w:ind w:left="0" w:right="0" w:hanging="0"/>
              <w:jc w:val="left"/>
              <w:rPr/>
            </w:pPr>
            <w:hyperlink r:id="rId13">
              <w:r>
                <w:rPr>
                  <w:rStyle w:val="InternetLink"/>
                  <w:rFonts w:ascii="Arial Narrow" w:hAnsi="Arial Narrow"/>
                  <w:b w:val="false"/>
                  <w:i w:val="false"/>
                  <w:caps w:val="false"/>
                  <w:smallCaps w:val="false"/>
                  <w:sz w:val="20"/>
                </w:rPr>
                <w:t>Exhibit 3.1 to Transocean Ltd.’s Current Report on Form 8-K (Commission File No. 001-38373) filed on May 26, 2026</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3.2</w:t>
            </w:r>
          </w:p>
        </w:tc>
        <w:tc>
          <w:tcPr>
            <w:tcW w:w="109" w:type="dxa"/>
            <w:tcBorders/>
            <w:shd w:fill="CEDBE0" w:val="clear"/>
            <w:vAlign w:val="center"/>
          </w:tcPr>
          <w:p>
            <w:pPr>
              <w:pStyle w:val="TableContents"/>
              <w:bidi w:val="0"/>
              <w:spacing w:before="0" w:after="0"/>
              <w:ind w:left="0" w:right="0" w:hanging="0"/>
              <w:jc w:val="both"/>
              <w:rPr/>
            </w:pPr>
            <w:r>
              <w:rPr/>
              <w:t>​</w:t>
            </w:r>
          </w:p>
        </w:tc>
        <w:tc>
          <w:tcPr>
            <w:tcW w:w="7068"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Organizational Regulations of Transocean Ltd., as amended, effective as of July 1, 2026</w:t>
            </w:r>
          </w:p>
        </w:tc>
        <w:tc>
          <w:tcPr>
            <w:tcW w:w="109" w:type="dxa"/>
            <w:tcBorders/>
            <w:shd w:fill="CEDBE0" w:val="clear"/>
            <w:vAlign w:val="center"/>
          </w:tcPr>
          <w:p>
            <w:pPr>
              <w:pStyle w:val="TableContents"/>
              <w:bidi w:val="0"/>
              <w:spacing w:before="0" w:after="0"/>
              <w:ind w:left="0" w:right="0" w:hanging="0"/>
              <w:jc w:val="both"/>
              <w:rPr/>
            </w:pPr>
            <w:r>
              <w:rPr/>
              <w:t>​</w:t>
            </w:r>
          </w:p>
        </w:tc>
        <w:tc>
          <w:tcPr>
            <w:tcW w:w="2303" w:type="dxa"/>
            <w:tcBorders/>
            <w:shd w:fill="CEDBE0" w:val="clear"/>
            <w:vAlign w:val="center"/>
          </w:tcPr>
          <w:p>
            <w:pPr>
              <w:pStyle w:val="TableContents"/>
              <w:bidi w:val="0"/>
              <w:spacing w:before="0" w:after="0"/>
              <w:ind w:left="0" w:right="0" w:hanging="0"/>
              <w:jc w:val="left"/>
              <w:rPr/>
            </w:pPr>
            <w:hyperlink r:id="rId14">
              <w:r>
                <w:rPr>
                  <w:rStyle w:val="InternetLink"/>
                  <w:rFonts w:ascii="Arial Narrow" w:hAnsi="Arial Narrow"/>
                  <w:b w:val="false"/>
                  <w:i w:val="false"/>
                  <w:caps w:val="false"/>
                  <w:smallCaps w:val="false"/>
                  <w:sz w:val="20"/>
                </w:rPr>
                <w:t>Exhibit 3.2 to Transocean Ltd.’s Current Report on Form 8-K (Commission File No. 001-38373) filed on May 26, 2026</w:t>
              </w:r>
            </w:hyperlink>
          </w:p>
        </w:tc>
      </w:tr>
      <w:tr>
        <w:trPr/>
        <w:tc>
          <w:tcPr>
            <w:tcW w:w="15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10.1</w:t>
            </w:r>
          </w:p>
        </w:tc>
        <w:tc>
          <w:tcPr>
            <w:tcW w:w="109" w:type="dxa"/>
            <w:tcBorders/>
            <w:vAlign w:val="center"/>
          </w:tcPr>
          <w:p>
            <w:pPr>
              <w:pStyle w:val="TableContents"/>
              <w:bidi w:val="0"/>
              <w:spacing w:before="0" w:after="0"/>
              <w:ind w:left="0" w:right="0" w:hanging="0"/>
              <w:jc w:val="left"/>
              <w:rPr/>
            </w:pPr>
            <w:r>
              <w:rPr/>
              <w:t>​</w:t>
            </w:r>
          </w:p>
        </w:tc>
        <w:tc>
          <w:tcPr>
            <w:tcW w:w="7068"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Support Agreement, dated as of May 19, 2026, between Transocean Ltd., Kristian K. Johansen, Famatown Finance Limited, Greenwich Holdings Limited, C.K. Limited, Geveran Trading Co. Limited and Hemen Holding Limited</w:t>
            </w:r>
          </w:p>
        </w:tc>
        <w:tc>
          <w:tcPr>
            <w:tcW w:w="109" w:type="dxa"/>
            <w:tcBorders/>
            <w:vAlign w:val="center"/>
          </w:tcPr>
          <w:p>
            <w:pPr>
              <w:pStyle w:val="TableContents"/>
              <w:bidi w:val="0"/>
              <w:spacing w:before="0" w:after="0"/>
              <w:ind w:left="0" w:right="0" w:hanging="0"/>
              <w:jc w:val="left"/>
              <w:rPr/>
            </w:pPr>
            <w:r>
              <w:rPr/>
              <w:t>​</w:t>
            </w:r>
          </w:p>
        </w:tc>
        <w:tc>
          <w:tcPr>
            <w:tcW w:w="2303" w:type="dxa"/>
            <w:tcBorders/>
            <w:vAlign w:val="center"/>
          </w:tcPr>
          <w:p>
            <w:pPr>
              <w:pStyle w:val="TableContents"/>
              <w:bidi w:val="0"/>
              <w:spacing w:before="0" w:after="0"/>
              <w:ind w:left="0" w:right="0" w:hanging="0"/>
              <w:jc w:val="left"/>
              <w:rPr/>
            </w:pPr>
            <w:hyperlink r:id="rId15">
              <w:r>
                <w:rPr>
                  <w:rStyle w:val="InternetLink"/>
                  <w:rFonts w:ascii="Arial Narrow" w:hAnsi="Arial Narrow"/>
                  <w:b w:val="false"/>
                  <w:i w:val="false"/>
                  <w:caps w:val="false"/>
                  <w:smallCaps w:val="false"/>
                  <w:sz w:val="20"/>
                </w:rPr>
                <w:t>Exhibit 10.1</w:t>
              </w:r>
            </w:hyperlink>
            <w:hyperlink r:id="rId16">
              <w:r>
                <w:rPr>
                  <w:rStyle w:val="InternetLink"/>
                  <w:rFonts w:ascii="Arial Narrow" w:hAnsi="Arial Narrow"/>
                  <w:caps w:val="false"/>
                  <w:smallCaps w:val="false"/>
                  <w:sz w:val="20"/>
                </w:rPr>
                <w:t xml:space="preserve"> </w:t>
              </w:r>
            </w:hyperlink>
            <w:hyperlink r:id="rId17">
              <w:r>
                <w:rPr>
                  <w:rStyle w:val="InternetLink"/>
                  <w:rFonts w:ascii="Arial Narrow" w:hAnsi="Arial Narrow"/>
                  <w:b w:val="false"/>
                  <w:i w:val="false"/>
                  <w:caps w:val="false"/>
                  <w:smallCaps w:val="false"/>
                  <w:sz w:val="20"/>
                </w:rPr>
                <w:t>to Transocean Ltd.’s Current Report on Form 8-K (Commission File No. 001-38373) filed on May</w:t>
              </w:r>
            </w:hyperlink>
            <w:hyperlink r:id="rId18">
              <w:r>
                <w:rPr>
                  <w:rStyle w:val="InternetLink"/>
                  <w:rFonts w:ascii="Arial Narrow" w:hAnsi="Arial Narrow"/>
                  <w:caps w:val="false"/>
                  <w:smallCaps w:val="false"/>
                  <w:sz w:val="20"/>
                </w:rPr>
                <w:t> </w:t>
              </w:r>
            </w:hyperlink>
            <w:hyperlink r:id="rId19">
              <w:r>
                <w:rPr>
                  <w:rStyle w:val="InternetLink"/>
                  <w:rFonts w:ascii="Arial Narrow" w:hAnsi="Arial Narrow"/>
                  <w:b w:val="false"/>
                  <w:i w:val="false"/>
                  <w:caps w:val="false"/>
                  <w:smallCaps w:val="false"/>
                  <w:sz w:val="20"/>
                </w:rPr>
                <w:t>19, 2026</w:t>
              </w:r>
            </w:hyperlink>
          </w:p>
        </w:tc>
      </w:tr>
      <w:tr>
        <w:trPr/>
        <w:tc>
          <w:tcPr>
            <w:tcW w:w="152" w:type="dxa"/>
            <w:tcBorders/>
            <w:shd w:fill="CEDBE0" w:val="clear"/>
            <w:vAlign w:val="center"/>
          </w:tcPr>
          <w:p>
            <w:pPr>
              <w:pStyle w:val="TableContents"/>
              <w:bidi w:val="0"/>
              <w:spacing w:before="0" w:after="0"/>
              <w:ind w:left="0" w:right="0" w:hanging="0"/>
              <w:jc w:val="left"/>
              <w:rPr/>
            </w:pPr>
            <w:r>
              <w:rPr/>
              <w:t>​</w:t>
            </w:r>
          </w:p>
        </w:tc>
        <w:tc>
          <w:tcPr>
            <w:tcW w:w="464"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31.1</w:t>
            </w:r>
          </w:p>
        </w:tc>
        <w:tc>
          <w:tcPr>
            <w:tcW w:w="109" w:type="dxa"/>
            <w:tcBorders/>
            <w:shd w:fill="CEDBE0" w:val="clear"/>
            <w:vAlign w:val="center"/>
          </w:tcPr>
          <w:p>
            <w:pPr>
              <w:pStyle w:val="TableContents"/>
              <w:bidi w:val="0"/>
              <w:spacing w:before="0" w:after="0"/>
              <w:ind w:left="0" w:right="0" w:hanging="0"/>
              <w:jc w:val="left"/>
              <w:rPr/>
            </w:pPr>
            <w:r>
              <w:rPr/>
              <w:t>​</w:t>
            </w:r>
          </w:p>
        </w:tc>
        <w:tc>
          <w:tcPr>
            <w:tcW w:w="7068" w:type="dxa"/>
            <w:tcBorders/>
            <w:shd w:fill="CEDBE0" w:val="clear"/>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Certification of Chief Executive Officer pursuant to Rule 13a-14(a) of the Securities Exchange Act of 1934 and Section 302 of the Sarbanes-Oxley Act of 2002</w:t>
            </w:r>
          </w:p>
        </w:tc>
        <w:tc>
          <w:tcPr>
            <w:tcW w:w="109" w:type="dxa"/>
            <w:tcBorders/>
            <w:shd w:fill="CEDBE0" w:val="clear"/>
            <w:vAlign w:val="center"/>
          </w:tcPr>
          <w:p>
            <w:pPr>
              <w:pStyle w:val="TableContents"/>
              <w:bidi w:val="0"/>
              <w:spacing w:before="0" w:after="0"/>
              <w:ind w:left="0" w:right="0" w:hanging="0"/>
              <w:jc w:val="left"/>
              <w:rPr/>
            </w:pPr>
            <w:r>
              <w:rPr/>
              <w:t>​</w:t>
            </w:r>
          </w:p>
        </w:tc>
        <w:tc>
          <w:tcPr>
            <w:tcW w:w="2303" w:type="dxa"/>
            <w:tcBorders/>
            <w:shd w:fill="CEDBE0" w:val="clear"/>
            <w:vAlign w:val="center"/>
          </w:tcPr>
          <w:p>
            <w:pPr>
              <w:pStyle w:val="TableContents"/>
              <w:bidi w:val="0"/>
              <w:spacing w:before="0" w:after="0"/>
              <w:ind w:left="0" w:right="0" w:hanging="0"/>
              <w:jc w:val="left"/>
              <w:rPr/>
            </w:pPr>
            <w:hyperlink w:anchor="rig-20260630xex31d1.htm">
              <w:r>
                <w:rPr>
                  <w:rStyle w:val="InternetLink"/>
                  <w:rFonts w:ascii="Arial Narrow" w:hAnsi="Arial Narrow"/>
                  <w:b w:val="false"/>
                  <w:i w:val="false"/>
                  <w:caps w:val="false"/>
                  <w:smallCaps w:val="false"/>
                  <w:sz w:val="20"/>
                </w:rPr>
                <w:t>Filed herewith</w:t>
              </w:r>
            </w:hyperlink>
          </w:p>
        </w:tc>
      </w:tr>
      <w:tr>
        <w:trPr/>
        <w:tc>
          <w:tcPr>
            <w:tcW w:w="152" w:type="dxa"/>
            <w:tcBorders/>
            <w:vAlign w:val="center"/>
          </w:tcPr>
          <w:p>
            <w:pPr>
              <w:pStyle w:val="TableContents"/>
              <w:bidi w:val="0"/>
              <w:spacing w:before="0" w:after="0"/>
              <w:ind w:left="0" w:right="0" w:hanging="0"/>
              <w:jc w:val="left"/>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31.2</w:t>
            </w:r>
          </w:p>
        </w:tc>
        <w:tc>
          <w:tcPr>
            <w:tcW w:w="109" w:type="dxa"/>
            <w:tcBorders/>
            <w:vAlign w:val="center"/>
          </w:tcPr>
          <w:p>
            <w:pPr>
              <w:pStyle w:val="TableContents"/>
              <w:bidi w:val="0"/>
              <w:spacing w:before="0" w:after="0"/>
              <w:ind w:left="0" w:right="0" w:hanging="0"/>
              <w:jc w:val="both"/>
              <w:rPr/>
            </w:pPr>
            <w:r>
              <w:rPr/>
              <w:t>​</w:t>
            </w:r>
          </w:p>
        </w:tc>
        <w:tc>
          <w:tcPr>
            <w:tcW w:w="7068"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Certification of Chief Financial Officer pursuant to Rule 13a-14(a) of the Securities Exchange Act of 1934 and Section 302 of the Sarbanes-Oxley Act of 2002</w:t>
            </w:r>
          </w:p>
        </w:tc>
        <w:tc>
          <w:tcPr>
            <w:tcW w:w="109" w:type="dxa"/>
            <w:tcBorders/>
            <w:vAlign w:val="center"/>
          </w:tcPr>
          <w:p>
            <w:pPr>
              <w:pStyle w:val="TableContents"/>
              <w:bidi w:val="0"/>
              <w:spacing w:before="0" w:after="0"/>
              <w:ind w:left="0" w:right="0" w:hanging="0"/>
              <w:jc w:val="both"/>
              <w:rPr/>
            </w:pPr>
            <w:r>
              <w:rPr/>
              <w:t>​</w:t>
            </w:r>
          </w:p>
        </w:tc>
        <w:tc>
          <w:tcPr>
            <w:tcW w:w="2303" w:type="dxa"/>
            <w:tcBorders/>
            <w:vAlign w:val="center"/>
          </w:tcPr>
          <w:p>
            <w:pPr>
              <w:pStyle w:val="TableContents"/>
              <w:bidi w:val="0"/>
              <w:spacing w:before="0" w:after="0"/>
              <w:ind w:left="0" w:right="0" w:hanging="0"/>
              <w:jc w:val="both"/>
              <w:rPr/>
            </w:pPr>
            <w:hyperlink w:anchor="rig-20260630xex31d2.htm">
              <w:r>
                <w:rPr>
                  <w:rStyle w:val="InternetLink"/>
                  <w:rFonts w:ascii="Arial Narrow" w:hAnsi="Arial Narrow"/>
                  <w:b w:val="false"/>
                  <w:i w:val="false"/>
                  <w:caps w:val="false"/>
                  <w:smallCaps w:val="false"/>
                  <w:sz w:val="20"/>
                </w:rPr>
                <w:t>Filed herewith</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32.1</w:t>
            </w:r>
          </w:p>
        </w:tc>
        <w:tc>
          <w:tcPr>
            <w:tcW w:w="109" w:type="dxa"/>
            <w:tcBorders/>
            <w:shd w:fill="CEDBE0" w:val="clear"/>
            <w:vAlign w:val="center"/>
          </w:tcPr>
          <w:p>
            <w:pPr>
              <w:pStyle w:val="TableContents"/>
              <w:bidi w:val="0"/>
              <w:spacing w:before="0" w:after="0"/>
              <w:ind w:left="0" w:right="0" w:hanging="0"/>
              <w:jc w:val="both"/>
              <w:rPr/>
            </w:pPr>
            <w:r>
              <w:rPr/>
              <w:t>​</w:t>
            </w:r>
          </w:p>
        </w:tc>
        <w:tc>
          <w:tcPr>
            <w:tcW w:w="7068"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Certification of Chief Executive Officer pursuant to Section 906 of the Sarbanes-Oxley Act of 2002</w:t>
            </w:r>
          </w:p>
        </w:tc>
        <w:tc>
          <w:tcPr>
            <w:tcW w:w="109" w:type="dxa"/>
            <w:tcBorders/>
            <w:shd w:fill="CEDBE0" w:val="clear"/>
            <w:vAlign w:val="center"/>
          </w:tcPr>
          <w:p>
            <w:pPr>
              <w:pStyle w:val="TableContents"/>
              <w:bidi w:val="0"/>
              <w:spacing w:before="0" w:after="0"/>
              <w:ind w:left="0" w:right="0" w:hanging="0"/>
              <w:jc w:val="both"/>
              <w:rPr/>
            </w:pPr>
            <w:r>
              <w:rPr/>
              <w:t>​</w:t>
            </w:r>
          </w:p>
        </w:tc>
        <w:tc>
          <w:tcPr>
            <w:tcW w:w="2303" w:type="dxa"/>
            <w:tcBorders/>
            <w:shd w:fill="CEDBE0" w:val="clear"/>
            <w:vAlign w:val="center"/>
          </w:tcPr>
          <w:p>
            <w:pPr>
              <w:pStyle w:val="TableContents"/>
              <w:bidi w:val="0"/>
              <w:spacing w:before="0" w:after="0"/>
              <w:ind w:left="0" w:right="0" w:hanging="0"/>
              <w:jc w:val="both"/>
              <w:rPr/>
            </w:pPr>
            <w:hyperlink w:anchor="rig-20260630xex32d1.htm">
              <w:r>
                <w:rPr>
                  <w:rStyle w:val="InternetLink"/>
                  <w:rFonts w:ascii="Arial Narrow" w:hAnsi="Arial Narrow"/>
                  <w:b w:val="false"/>
                  <w:i w:val="false"/>
                  <w:caps w:val="false"/>
                  <w:smallCaps w:val="false"/>
                  <w:sz w:val="20"/>
                </w:rPr>
                <w:t>Furnished herewith</w:t>
              </w:r>
            </w:hyperlink>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32.2</w:t>
            </w:r>
          </w:p>
        </w:tc>
        <w:tc>
          <w:tcPr>
            <w:tcW w:w="109" w:type="dxa"/>
            <w:tcBorders/>
            <w:vAlign w:val="center"/>
          </w:tcPr>
          <w:p>
            <w:pPr>
              <w:pStyle w:val="TableContents"/>
              <w:bidi w:val="0"/>
              <w:spacing w:before="0" w:after="0"/>
              <w:ind w:left="0" w:right="0" w:hanging="0"/>
              <w:jc w:val="both"/>
              <w:rPr/>
            </w:pPr>
            <w:r>
              <w:rPr/>
              <w:t>​</w:t>
            </w:r>
          </w:p>
        </w:tc>
        <w:tc>
          <w:tcPr>
            <w:tcW w:w="7068"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Certification of Chief Financial Officer pursuant to Section 906 of the Sarbanes-Oxley Act of 2002</w:t>
            </w:r>
          </w:p>
        </w:tc>
        <w:tc>
          <w:tcPr>
            <w:tcW w:w="109" w:type="dxa"/>
            <w:tcBorders/>
            <w:vAlign w:val="center"/>
          </w:tcPr>
          <w:p>
            <w:pPr>
              <w:pStyle w:val="TableContents"/>
              <w:bidi w:val="0"/>
              <w:spacing w:before="0" w:after="0"/>
              <w:ind w:left="0" w:right="0" w:hanging="0"/>
              <w:jc w:val="both"/>
              <w:rPr/>
            </w:pPr>
            <w:r>
              <w:rPr/>
              <w:t>​</w:t>
            </w:r>
          </w:p>
        </w:tc>
        <w:tc>
          <w:tcPr>
            <w:tcW w:w="2303" w:type="dxa"/>
            <w:tcBorders/>
            <w:vAlign w:val="center"/>
          </w:tcPr>
          <w:p>
            <w:pPr>
              <w:pStyle w:val="TableContents"/>
              <w:bidi w:val="0"/>
              <w:spacing w:before="0" w:after="0"/>
              <w:ind w:left="0" w:right="0" w:hanging="0"/>
              <w:jc w:val="both"/>
              <w:rPr/>
            </w:pPr>
            <w:hyperlink w:anchor="rig-20260630xex32d2.htm">
              <w:r>
                <w:rPr>
                  <w:rStyle w:val="InternetLink"/>
                  <w:rFonts w:ascii="Arial Narrow" w:hAnsi="Arial Narrow"/>
                  <w:b w:val="false"/>
                  <w:i w:val="false"/>
                  <w:caps w:val="false"/>
                  <w:smallCaps w:val="false"/>
                  <w:sz w:val="20"/>
                </w:rPr>
                <w:t>Furnished herewith</w:t>
              </w:r>
            </w:hyperlink>
          </w:p>
        </w:tc>
      </w:tr>
      <w:tr>
        <w:trPr/>
        <w:tc>
          <w:tcPr>
            <w:tcW w:w="152" w:type="dxa"/>
            <w:tcBorders/>
            <w:shd w:fill="CEDBE0" w:val="clear"/>
            <w:vAlign w:val="center"/>
          </w:tcPr>
          <w:p>
            <w:pPr>
              <w:pStyle w:val="TableContents"/>
              <w:bidi w:val="0"/>
              <w:spacing w:before="0" w:after="0"/>
              <w:ind w:left="0" w:right="0" w:hanging="0"/>
              <w:jc w:val="both"/>
              <w:rPr/>
            </w:pPr>
            <w:r>
              <w:rPr/>
              <w:t>​</w:t>
            </w:r>
          </w:p>
        </w:tc>
        <w:tc>
          <w:tcPr>
            <w:tcW w:w="464"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101</w:t>
            </w:r>
          </w:p>
        </w:tc>
        <w:tc>
          <w:tcPr>
            <w:tcW w:w="109" w:type="dxa"/>
            <w:tcBorders/>
            <w:shd w:fill="CEDBE0" w:val="clear"/>
            <w:vAlign w:val="center"/>
          </w:tcPr>
          <w:p>
            <w:pPr>
              <w:pStyle w:val="TableContents"/>
              <w:bidi w:val="0"/>
              <w:spacing w:before="60" w:after="0"/>
              <w:ind w:left="0" w:right="0" w:hanging="0"/>
              <w:jc w:val="both"/>
              <w:rPr/>
            </w:pPr>
            <w:r>
              <w:rPr/>
              <w:t>​</w:t>
            </w:r>
          </w:p>
        </w:tc>
        <w:tc>
          <w:tcPr>
            <w:tcW w:w="7068" w:type="dxa"/>
            <w:tcBorders/>
            <w:shd w:fill="CEDBE0" w:val="clear"/>
            <w:vAlign w:val="center"/>
          </w:tcPr>
          <w:p>
            <w:pPr>
              <w:pStyle w:val="TableContents"/>
              <w:bidi w:val="0"/>
              <w:spacing w:before="0" w:after="0"/>
              <w:ind w:left="0" w:right="0" w:hanging="0"/>
              <w:jc w:val="both"/>
              <w:rPr>
                <w:rFonts w:ascii="Arial Narrow" w:hAnsi="Arial Narrow"/>
                <w:color w:val="252525"/>
                <w:sz w:val="18"/>
              </w:rPr>
            </w:pPr>
            <w:r>
              <w:rPr>
                <w:rFonts w:ascii="Arial Narrow" w:hAnsi="Arial Narrow"/>
                <w:color w:val="252525"/>
                <w:sz w:val="18"/>
              </w:rPr>
              <w:t>Interactive data files pursuant to Rule 405 of Regulation S-T formatted in Inline Extensible Business Reporting Language: (i) our condensed consolidated statements of operations for the three and six months ended June 30, 2026 and 2025; (ii) our condensed consolidated statements of comprehensive income (loss) for the three and six months ended June 30, 2026 and 2025; (iii) our condensed consolidated balance sheets as of June 30, 2026 and December 31, 2025; (iv) our condensed consolidated statements of equity for the three and six months ended June 30, 2026 and 2025; (v) our condensed consolidated statements of cash flows for the six months ended June 30, 2026 and 2025; and (vi) the notes to condensed consolidated financial statements</w:t>
            </w:r>
          </w:p>
        </w:tc>
        <w:tc>
          <w:tcPr>
            <w:tcW w:w="109" w:type="dxa"/>
            <w:tcBorders/>
            <w:shd w:fill="CEDBE0" w:val="clear"/>
            <w:vAlign w:val="center"/>
          </w:tcPr>
          <w:p>
            <w:pPr>
              <w:pStyle w:val="TableContents"/>
              <w:bidi w:val="0"/>
              <w:spacing w:before="60" w:after="0"/>
              <w:ind w:left="0" w:right="0" w:hanging="0"/>
              <w:jc w:val="both"/>
              <w:rPr/>
            </w:pPr>
            <w:r>
              <w:rPr/>
              <w:t>​</w:t>
            </w:r>
          </w:p>
        </w:tc>
        <w:tc>
          <w:tcPr>
            <w:tcW w:w="2303" w:type="dxa"/>
            <w:tcBorders/>
            <w:shd w:fill="CEDBE0" w:val="clear"/>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Filed herewith</w:t>
            </w:r>
          </w:p>
        </w:tc>
      </w:tr>
      <w:tr>
        <w:trPr/>
        <w:tc>
          <w:tcPr>
            <w:tcW w:w="152"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104</w:t>
            </w:r>
          </w:p>
        </w:tc>
        <w:tc>
          <w:tcPr>
            <w:tcW w:w="109" w:type="dxa"/>
            <w:tcBorders/>
            <w:vAlign w:val="center"/>
          </w:tcPr>
          <w:p>
            <w:pPr>
              <w:pStyle w:val="TableContents"/>
              <w:bidi w:val="0"/>
              <w:spacing w:before="60" w:after="0"/>
              <w:ind w:left="0" w:right="0" w:hanging="0"/>
              <w:jc w:val="both"/>
              <w:rPr/>
            </w:pPr>
            <w:r>
              <w:rPr/>
              <w:t>​</w:t>
            </w:r>
          </w:p>
        </w:tc>
        <w:tc>
          <w:tcPr>
            <w:tcW w:w="7068"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 xml:space="preserve">The cover page from our quarterly report on Form 10-Q for the quarterly period ended June 30, 2026, formatted in </w:t>
            </w:r>
            <w:r>
              <w:rPr>
                <w:rFonts w:ascii="Arial Narrow" w:hAnsi="Arial Narrow"/>
                <w:color w:val="252525"/>
                <w:sz w:val="18"/>
              </w:rPr>
              <w:t>Inline Extensible Business Reporting Language</w:t>
            </w:r>
          </w:p>
        </w:tc>
        <w:tc>
          <w:tcPr>
            <w:tcW w:w="109" w:type="dxa"/>
            <w:tcBorders/>
            <w:vAlign w:val="center"/>
          </w:tcPr>
          <w:p>
            <w:pPr>
              <w:pStyle w:val="TableContents"/>
              <w:bidi w:val="0"/>
              <w:spacing w:before="60" w:after="0"/>
              <w:ind w:left="0" w:right="0" w:hanging="0"/>
              <w:jc w:val="both"/>
              <w:rPr/>
            </w:pPr>
            <w:r>
              <w:rPr/>
              <w:t>​</w:t>
            </w:r>
          </w:p>
        </w:tc>
        <w:tc>
          <w:tcPr>
            <w:tcW w:w="2303" w:type="dxa"/>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8"/>
              </w:rPr>
              <w:t>Filed herewith</w:t>
            </w:r>
          </w:p>
        </w:tc>
      </w:tr>
    </w:tbl>
    <w:p>
      <w:pPr>
        <w:pStyle w:val="TextBody"/>
        <w:bidi w:val="0"/>
        <w:spacing w:before="0" w:after="120"/>
        <w:ind w:left="0" w:right="0" w:firstLine="720"/>
        <w:jc w:val="both"/>
        <w:rPr/>
      </w:pPr>
      <w:r>
        <w:rPr/>
        <w:t>​</w:t>
      </w:r>
    </w:p>
    <w:p>
      <w:pPr>
        <w:pStyle w:val="TextBody"/>
        <w:bidi w:val="0"/>
        <w:spacing w:before="60" w:after="120"/>
        <w:ind w:left="0" w:right="0" w:firstLine="720"/>
        <w:jc w:val="both"/>
        <w:rPr/>
      </w:pPr>
      <w:r>
        <w:rPr/>
        <w:t>​</w:t>
      </w:r>
    </w:p>
    <w:p>
      <w:pPr>
        <w:pStyle w:val="TextBody"/>
        <w:bidi w:val="0"/>
        <w:spacing w:before="60" w:after="120"/>
        <w:ind w:left="0" w:right="0" w:firstLine="720"/>
        <w:jc w:val="both"/>
        <w:rPr/>
      </w:pPr>
      <w:r>
        <w:rPr/>
        <w:t>​</w:t>
      </w:r>
    </w:p>
    <w:p>
      <w:pPr>
        <w:pStyle w:val="TextBody"/>
        <w:pBdr/>
        <w:bidi w:val="0"/>
        <w:spacing w:before="0" w:after="120"/>
        <w:ind w:left="0" w:right="0" w:firstLine="720"/>
        <w:jc w:val="both"/>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- 24 -</w:t>
      </w:r>
    </w:p>
    <w:p>
      <w:pPr>
        <w:pStyle w:val="TextBody"/>
        <w:bidi w:val="0"/>
        <w:spacing w:before="0" w:after="120"/>
        <w:ind w:left="0" w:right="0" w:hanging="0"/>
        <w:jc w:val="left"/>
        <w:rPr/>
      </w:pPr>
      <w:hyperlink w:anchor="Toc">
        <w:r>
          <w:rPr>
            <w:rStyle w:val="InternetLink"/>
            <w:rFonts w:ascii="Arial Narrow" w:hAnsi="Arial Narrow"/>
            <w:b w:val="false"/>
            <w:i w:val="false"/>
            <w:caps/>
            <w:sz w:val="18"/>
          </w:rPr>
          <w:t>Table of Contents</w:t>
        </w:r>
      </w:hyperlink>
    </w:p>
    <w:p>
      <w:pPr>
        <w:pStyle w:val="TextBody"/>
        <w:pBdr/>
        <w:shd w:fill="CEDBE0" w:val="clear"/>
        <w:bidi w:val="0"/>
        <w:spacing w:before="0" w:after="60"/>
        <w:ind w:left="0" w:right="0" w:hanging="1080"/>
        <w:jc w:val="both"/>
        <w:rPr>
          <w:rFonts w:ascii="Arial Narrow" w:hAnsi="Arial Narrow"/>
          <w:b/>
          <w:caps/>
          <w:sz w:val="22"/>
        </w:rPr>
      </w:pPr>
      <w:bookmarkStart w:id="971" w:name="_ae99e6b2_92c7_4639_9fb6_628dc775d6af"/>
      <w:bookmarkEnd w:id="971"/>
      <w:r>
        <w:rPr>
          <w:rFonts w:ascii="Arial Narrow" w:hAnsi="Arial Narrow"/>
          <w:b/>
          <w:caps/>
          <w:sz w:val="22"/>
        </w:rPr>
        <w:t>Signatures</w:t>
      </w:r>
    </w:p>
    <w:p>
      <w:pPr>
        <w:pStyle w:val="TextBody"/>
        <w:bidi w:val="0"/>
        <w:spacing w:before="60" w:after="120"/>
        <w:ind w:left="0" w:right="0" w:firstLine="720"/>
        <w:jc w:val="both"/>
        <w:rPr>
          <w:rFonts w:ascii="Arial Narrow" w:hAnsi="Arial Narrow"/>
          <w:sz w:val="20"/>
        </w:rPr>
      </w:pPr>
      <w:r>
        <w:rPr>
          <w:rFonts w:ascii="Arial Narrow" w:hAnsi="Arial Narrow"/>
          <w:sz w:val="20"/>
        </w:rPr>
        <w:t>Pursuant to the requirements of Section 13 or 15(d) of the Securities Exchange Act of 1934, the registrant has duly caused this report to be signed on its behalf by the undersigned thereunto duly authorized, on August 6,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 Narrow" w:hAnsi="Arial Narrow"/>
          <w:sz w:val="20"/>
        </w:rPr>
      </w:pPr>
      <w:r>
        <w:rPr>
          <w:rFonts w:ascii="Arial Narrow" w:hAnsi="Arial Narrow"/>
          <w:sz w:val="20"/>
        </w:rPr>
        <w:t>TRANSOCEAN LTD.</w:t>
      </w:r>
    </w:p>
    <w:tbl>
      <w:tblPr>
        <w:tblW w:w="4156" w:type="dxa"/>
        <w:jc w:val="left"/>
        <w:tblInd w:w="0" w:type="dxa"/>
        <w:tblLayout w:type="fixed"/>
        <w:tblCellMar>
          <w:top w:w="0" w:type="dxa"/>
          <w:left w:w="0" w:type="dxa"/>
          <w:bottom w:w="0" w:type="dxa"/>
          <w:right w:w="0" w:type="dxa"/>
        </w:tblCellMar>
      </w:tblPr>
      <w:tblGrid>
        <w:gridCol w:w="346"/>
        <w:gridCol w:w="3547"/>
        <w:gridCol w:w="263"/>
      </w:tblGrid>
      <w:tr>
        <w:trPr/>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52345" cy="175260"/>
                      <wp:effectExtent l="0" t="0" r="0" b="0"/>
                      <wp:wrapNone/>
                      <wp:docPr id="321" name="Frame320"/>
                      <a:graphic xmlns:a="http://schemas.openxmlformats.org/drawingml/2006/main">
                        <a:graphicData uri="http://schemas.microsoft.com/office/word/2010/wordprocessingShape">
                          <wps:wsp>
                            <wps:cNvSpPr txBox="1"/>
                            <wps:spPr>
                              <a:xfrm>
                                <a:off x="0" y="0"/>
                                <a:ext cx="225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67005" cy="175260"/>
                      <wp:effectExtent l="0" t="0" r="0" b="0"/>
                      <wp:wrapNone/>
                      <wp:docPr id="322" name="Frame32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By:</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Robert Thaddeus Vayda</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Robert Thaddeus Vayda</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Executive Vice President and Chief Financial Officer</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(Principal Financial Officer)</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pPr>
            <w:r>
              <w:rPr/>
              <w:t>​</w:t>
            </w:r>
          </w:p>
        </w:tc>
      </w:tr>
      <w:tr>
        <w:trPr/>
        <w:tc>
          <w:tcPr>
            <w:tcW w:w="346"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both"/>
              <w:rPr/>
            </w:pPr>
            <w:r>
              <w:rPr/>
              <w:t>​</w:t>
            </w:r>
          </w:p>
        </w:tc>
      </w:tr>
      <w:tr>
        <w:trPr/>
        <w:tc>
          <w:tcPr>
            <w:tcW w:w="34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By:</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Jason Pack</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both"/>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Jason Pack</w:t>
            </w:r>
          </w:p>
        </w:tc>
      </w:tr>
      <w:tr>
        <w:trPr/>
        <w:tc>
          <w:tcPr>
            <w:tcW w:w="346" w:type="dxa"/>
            <w:tcBorders/>
            <w:vAlign w:val="center"/>
          </w:tcPr>
          <w:p>
            <w:pPr>
              <w:pStyle w:val="TableContents"/>
              <w:bidi w:val="0"/>
              <w:spacing w:before="0" w:after="0"/>
              <w:ind w:left="0" w:right="0" w:hanging="0"/>
              <w:jc w:val="both"/>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Senior Vice President and Chief Accounting Officer</w:t>
            </w:r>
          </w:p>
        </w:tc>
      </w:tr>
      <w:tr>
        <w:trPr/>
        <w:tc>
          <w:tcPr>
            <w:tcW w:w="346" w:type="dxa"/>
            <w:tcBorders/>
            <w:vAlign w:val="center"/>
          </w:tcPr>
          <w:p>
            <w:pPr>
              <w:pStyle w:val="TableContents"/>
              <w:bidi w:val="0"/>
              <w:spacing w:before="0" w:after="0"/>
              <w:ind w:left="0" w:right="0" w:hanging="0"/>
              <w:jc w:val="both"/>
              <w:rPr/>
            </w:pPr>
            <w:r>
              <w:rPr/>
              <w:t>​</w:t>
            </w:r>
          </w:p>
        </w:tc>
        <w:tc>
          <w:tcPr>
            <w:tcW w:w="3810" w:type="dxa"/>
            <w:gridSpan w:val="2"/>
            <w:tcBorders/>
            <w:vAlign w:val="center"/>
          </w:tcPr>
          <w:p>
            <w:pPr>
              <w:pStyle w:val="TableContents"/>
              <w:bidi w:val="0"/>
              <w:spacing w:before="0" w:after="0"/>
              <w:ind w:left="0" w:right="0" w:hanging="0"/>
              <w:jc w:val="both"/>
              <w:rPr>
                <w:rFonts w:ascii="Arial Narrow" w:hAnsi="Arial Narrow"/>
                <w:sz w:val="20"/>
              </w:rPr>
            </w:pPr>
            <w:r>
              <w:rPr>
                <w:rFonts w:ascii="Arial Narrow" w:hAnsi="Arial Narrow"/>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sz w:val="20"/>
        </w:rPr>
      </w:pPr>
      <w:r>
        <w:rPr>
          <w:rFonts w:ascii="Arial Narrow" w:hAnsi="Arial Narrow"/>
          <w:sz w:val="20"/>
        </w:rPr>
        <w:t>- 25 -</w:t>
      </w:r>
    </w:p>
    <w:p>
      <w:pPr>
        <w:pStyle w:val="TextBody"/>
        <w:bidi w:val="0"/>
        <w:spacing w:before="0" w:after="0"/>
        <w:ind w:left="0" w:right="0" w:hanging="0"/>
        <w:jc w:val="right"/>
        <w:rPr>
          <w:rFonts w:ascii="Arial Narrow" w:hAnsi="Arial Narrow"/>
          <w:b/>
          <w:sz w:val="20"/>
        </w:rPr>
      </w:pPr>
      <w:bookmarkStart w:id="972" w:name="rig-20260630xex31d1.htm"/>
      <w:bookmarkStart w:id="973" w:name="ksrig20260630xex31d1"/>
      <w:bookmarkEnd w:id="972"/>
      <w:bookmarkEnd w:id="973"/>
      <w:r>
        <w:rPr>
          <w:rFonts w:ascii="Arial Narrow" w:hAnsi="Arial Narrow"/>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CEO CERTIFICATION PURSUANT TO SECTION 302 OF THE SARBANES-OXLEY ACT OF 2002</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I, Keelan Adamson, certify that: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1. I have reviewed this report on Form 10-Q of Transocean Ltd.;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71" w:type="dxa"/>
        <w:jc w:val="center"/>
        <w:tblInd w:w="0" w:type="dxa"/>
        <w:tblLayout w:type="fixed"/>
        <w:tblCellMar>
          <w:top w:w="0" w:type="dxa"/>
          <w:left w:w="0" w:type="dxa"/>
          <w:bottom w:w="0" w:type="dxa"/>
          <w:right w:w="0" w:type="dxa"/>
        </w:tblCellMar>
      </w:tblPr>
      <w:tblGrid>
        <w:gridCol w:w="1681"/>
        <w:gridCol w:w="2535"/>
        <w:gridCol w:w="255"/>
      </w:tblGrid>
      <w:tr>
        <w:trPr/>
        <w:tc>
          <w:tcPr>
            <w:tcW w:w="16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August 6, 2026</w:t>
            </w:r>
          </w:p>
        </w:tc>
        <w:tc>
          <w:tcPr>
            <w:tcW w:w="2535"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Keelan Adamson</w:t>
            </w:r>
          </w:p>
        </w:tc>
        <w:tc>
          <w:tcPr>
            <w:tcW w:w="255" w:type="dxa"/>
            <w:tcBorders/>
            <w:vAlign w:val="center"/>
          </w:tcPr>
          <w:p>
            <w:pPr>
              <w:pStyle w:val="TableContents"/>
              <w:bidi w:val="0"/>
              <w:spacing w:before="0" w:after="0"/>
              <w:ind w:left="0" w:right="0" w:hanging="0"/>
              <w:jc w:val="left"/>
              <w:rPr/>
            </w:pPr>
            <w:r>
              <w:rPr/>
              <w:t>​</w:t>
            </w:r>
          </w:p>
        </w:tc>
      </w:tr>
      <w:tr>
        <w:trPr/>
        <w:tc>
          <w:tcPr>
            <w:tcW w:w="447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Keelan Adamson</w:t>
              <w:b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974" w:name="rig-20260630xex31d2.htm"/>
      <w:bookmarkStart w:id="975" w:name="ksrig20260630xex31d2"/>
      <w:bookmarkEnd w:id="974"/>
      <w:bookmarkEnd w:id="975"/>
      <w:r>
        <w:rPr>
          <w:rFonts w:ascii="Arial Narrow" w:hAnsi="Arial Narrow"/>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CFO CERTIFICATION PURSUANT TO SECTION 302 OF THE SARBANES-OXLEY ACT OF 2002</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I, Robert Thaddeus Vayda, certify that: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1. I have reviewed this report on Form 10-Q of Transocean Ltd.;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240" w:after="0"/>
        <w:ind w:left="0" w:right="0" w:hanging="360"/>
        <w:jc w:val="both"/>
        <w:rPr>
          <w:rFonts w:ascii="Arial Narrow" w:hAnsi="Arial Narrow"/>
          <w:sz w:val="20"/>
        </w:rPr>
      </w:pPr>
      <w:r>
        <w:rPr>
          <w:rFonts w:ascii="Arial Narrow" w:hAnsi="Arial Narrow"/>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240" w:after="0"/>
        <w:ind w:left="360" w:right="0" w:hanging="360"/>
        <w:jc w:val="both"/>
        <w:rPr>
          <w:rFonts w:ascii="Arial Narrow" w:hAnsi="Arial Narrow"/>
          <w:sz w:val="20"/>
        </w:rPr>
      </w:pPr>
      <w:r>
        <w:rPr>
          <w:rFonts w:ascii="Arial Narrow" w:hAnsi="Arial Narrow"/>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91" w:type="dxa"/>
        <w:jc w:val="center"/>
        <w:tblInd w:w="0" w:type="dxa"/>
        <w:tblLayout w:type="fixed"/>
        <w:tblCellMar>
          <w:top w:w="0" w:type="dxa"/>
          <w:left w:w="0" w:type="dxa"/>
          <w:bottom w:w="0" w:type="dxa"/>
          <w:right w:w="0" w:type="dxa"/>
        </w:tblCellMar>
      </w:tblPr>
      <w:tblGrid>
        <w:gridCol w:w="1681"/>
        <w:gridCol w:w="3547"/>
        <w:gridCol w:w="263"/>
      </w:tblGrid>
      <w:tr>
        <w:trPr/>
        <w:tc>
          <w:tcPr>
            <w:tcW w:w="168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August 6, 2026</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Robert Thaddeus Vayda</w:t>
            </w:r>
          </w:p>
        </w:tc>
        <w:tc>
          <w:tcPr>
            <w:tcW w:w="263" w:type="dxa"/>
            <w:tcBorders/>
            <w:vAlign w:val="center"/>
          </w:tcPr>
          <w:p>
            <w:pPr>
              <w:pStyle w:val="TableContents"/>
              <w:bidi w:val="0"/>
              <w:spacing w:before="0" w:after="0"/>
              <w:ind w:left="0" w:right="0" w:hanging="0"/>
              <w:jc w:val="left"/>
              <w:rPr/>
            </w:pPr>
            <w:r>
              <w:rPr/>
              <w:t>​</w:t>
            </w:r>
          </w:p>
        </w:tc>
      </w:tr>
      <w:tr>
        <w:trPr/>
        <w:tc>
          <w:tcPr>
            <w:tcW w:w="549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Robert Thaddeus Vayda</w:t>
              <w:b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976" w:name="rig-20260630xex32d1.htm"/>
      <w:bookmarkStart w:id="977" w:name="ksrig20260630xex32d1"/>
      <w:bookmarkEnd w:id="976"/>
      <w:bookmarkEnd w:id="977"/>
      <w:r>
        <w:rPr>
          <w:rFonts w:ascii="Arial Narrow" w:hAnsi="Arial Narrow"/>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 xml:space="preserve">CERTIFICATION PURSUANT TO SECTION 906 OF </w:t>
        <w:br/>
        <w:t xml:space="preserve">THE SARBANES-OXLEY ACT OF 2002 (SUBSECTIONS (a) AND (b) </w:t>
        <w:br/>
        <w:t>OF SECTION 1350, CHAPTER 63 OF TITLE 18, UNITED STATES CODE)</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Pursuant to Section 906 of the Sarbanes-Oxley Act of 2002 (Subsections (a) and (b) of Section 1350, Chapter 63 of Title 18, United States Code), I, Keelan Adamson, President and Chief Executive Officer of Transocean Ltd., a Swiss corporation (the “Company”), hereby certify, to my knowledge, that:</w:t>
      </w:r>
    </w:p>
    <w:p>
      <w:pPr>
        <w:pStyle w:val="TextBody"/>
        <w:bidi w:val="0"/>
        <w:spacing w:before="60" w:after="120"/>
        <w:ind w:left="0" w:right="0" w:firstLine="720"/>
        <w:jc w:val="both"/>
        <w:rPr>
          <w:rFonts w:ascii="Arial Narrow" w:hAnsi="Arial Narrow"/>
          <w:sz w:val="20"/>
        </w:rPr>
      </w:pPr>
      <w:r>
        <w:rPr>
          <w:rFonts w:ascii="Arial Narrow" w:hAnsi="Arial Narrow"/>
          <w:sz w:val="20"/>
        </w:rPr>
        <w:t>(1) the Company’s Quarterly Report on Form 10-Q for the quarter ended June 30, 2026 (the “Report”) fully complies with the requirements of Section 13(a) or 15(d) of the Securities Exchange Act of 1934; and</w:t>
      </w:r>
    </w:p>
    <w:p>
      <w:pPr>
        <w:pStyle w:val="TextBody"/>
        <w:bidi w:val="0"/>
        <w:spacing w:before="60" w:after="120"/>
        <w:ind w:left="0" w:right="0" w:firstLine="720"/>
        <w:jc w:val="both"/>
        <w:rPr>
          <w:rFonts w:ascii="Arial Narrow" w:hAnsi="Arial Narrow"/>
          <w:sz w:val="20"/>
        </w:rPr>
      </w:pPr>
      <w:r>
        <w:rPr>
          <w:rFonts w:ascii="Arial Narrow" w:hAnsi="Arial Narrow"/>
          <w:sz w:val="20"/>
        </w:rPr>
        <w:t>(2) information contained in the Report fairly presents, in all material respects, the financial condition and results of operations of the Company.</w:t>
      </w:r>
    </w:p>
    <w:p>
      <w:pPr>
        <w:pStyle w:val="TextBody"/>
        <w:bidi w:val="0"/>
        <w:spacing w:before="60" w:after="120"/>
        <w:ind w:left="0" w:right="0" w:firstLine="720"/>
        <w:jc w:val="both"/>
        <w:rPr/>
      </w:pPr>
      <w:r>
        <w:rPr/>
        <w:t>​</w:t>
      </w:r>
    </w:p>
    <w:tbl>
      <w:tblPr>
        <w:tblW w:w="4471" w:type="dxa"/>
        <w:jc w:val="center"/>
        <w:tblInd w:w="0" w:type="dxa"/>
        <w:tblLayout w:type="fixed"/>
        <w:tblCellMar>
          <w:top w:w="0" w:type="dxa"/>
          <w:left w:w="0" w:type="dxa"/>
          <w:bottom w:w="0" w:type="dxa"/>
          <w:right w:w="0" w:type="dxa"/>
        </w:tblCellMar>
      </w:tblPr>
      <w:tblGrid>
        <w:gridCol w:w="1681"/>
        <w:gridCol w:w="2535"/>
        <w:gridCol w:w="255"/>
      </w:tblGrid>
      <w:tr>
        <w:trPr/>
        <w:tc>
          <w:tcPr>
            <w:tcW w:w="1681"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August 6, 2026</w:t>
            </w:r>
          </w:p>
        </w:tc>
        <w:tc>
          <w:tcPr>
            <w:tcW w:w="2535"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Keelan Adamson</w:t>
            </w:r>
          </w:p>
        </w:tc>
        <w:tc>
          <w:tcPr>
            <w:tcW w:w="255" w:type="dxa"/>
            <w:tcBorders/>
            <w:vAlign w:val="center"/>
          </w:tcPr>
          <w:p>
            <w:pPr>
              <w:pStyle w:val="TableContents"/>
              <w:bidi w:val="0"/>
              <w:spacing w:before="0" w:after="0"/>
              <w:ind w:left="0" w:right="0" w:hanging="0"/>
              <w:jc w:val="left"/>
              <w:rPr/>
            </w:pPr>
            <w:r>
              <w:rPr/>
              <w:t>​</w:t>
            </w:r>
          </w:p>
        </w:tc>
      </w:tr>
      <w:tr>
        <w:trPr/>
        <w:tc>
          <w:tcPr>
            <w:tcW w:w="447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279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Keelan Adamson</w:t>
              <w:br/>
              <w:t>President and Chief Executive Officer</w:t>
            </w:r>
          </w:p>
        </w:tc>
      </w:tr>
    </w:tbl>
    <w:p>
      <w:pPr>
        <w:pStyle w:val="TextBody"/>
        <w:bidi w:val="0"/>
        <w:spacing w:before="0" w:after="0"/>
        <w:ind w:left="0" w:right="0" w:hanging="0"/>
        <w:jc w:val="left"/>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A signed original of this written statement required by Section 906 has been provided to the Company and will be retained by the Company and furnished to the U.S.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 Narrow" w:hAnsi="Arial Narrow"/>
          <w:b/>
          <w:sz w:val="20"/>
        </w:rPr>
      </w:pPr>
      <w:bookmarkStart w:id="978" w:name="rig-20260630xex32d2.htm"/>
      <w:bookmarkStart w:id="979" w:name="ksrig20260630xex32d2"/>
      <w:bookmarkEnd w:id="978"/>
      <w:bookmarkEnd w:id="979"/>
      <w:r>
        <w:rPr>
          <w:rFonts w:ascii="Arial Narrow" w:hAnsi="Arial Narrow"/>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 Narrow" w:hAnsi="Arial Narrow"/>
          <w:b/>
          <w:sz w:val="20"/>
        </w:rPr>
      </w:pPr>
      <w:r>
        <w:rPr>
          <w:rFonts w:ascii="Arial Narrow" w:hAnsi="Arial Narrow"/>
          <w:b/>
          <w:sz w:val="20"/>
        </w:rPr>
        <w:t xml:space="preserve">CERTIFICATION PURSUANT TO SECTION 906 OF </w:t>
        <w:br/>
        <w:t>THE SARBANES-OXLEY ACT OF 2002 (SUBSECTIONS (a) AND (b)</w:t>
        <w:br/>
        <w:t>OF SECTION 1350, CHAPTER 63 OF TITLE 18, UNITED STATES CODE)</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Pursuant to Section 906 of the Sarbanes-Oxley Act of 2002 (Subsections (a) and (b) of Section 1350, Chapter 63 of Title 18, United States Code), I, Robert Thaddeus Vayda, Executive Vice President and Chief Financial Officer of Transocean Ltd., a Swiss corporation (the “Company”), hereby certify, to my knowledge, that:</w:t>
      </w:r>
    </w:p>
    <w:p>
      <w:pPr>
        <w:pStyle w:val="TextBody"/>
        <w:bidi w:val="0"/>
        <w:spacing w:before="60" w:after="120"/>
        <w:ind w:left="0" w:right="0" w:firstLine="720"/>
        <w:jc w:val="both"/>
        <w:rPr>
          <w:rFonts w:ascii="Arial Narrow" w:hAnsi="Arial Narrow"/>
          <w:sz w:val="20"/>
        </w:rPr>
      </w:pPr>
      <w:r>
        <w:rPr>
          <w:rFonts w:ascii="Arial Narrow" w:hAnsi="Arial Narrow"/>
          <w:sz w:val="20"/>
        </w:rPr>
        <w:t>(1) the Company’s Quarterly Report on Form 10-Q for the quarter ended June 30, 2026 (the “Report”) fully complies with the requirements of Section 13(a) or 15(d) of the Securities Exchange Act of 1934; and</w:t>
      </w:r>
    </w:p>
    <w:p>
      <w:pPr>
        <w:pStyle w:val="TextBody"/>
        <w:bidi w:val="0"/>
        <w:spacing w:before="60" w:after="120"/>
        <w:ind w:left="0" w:right="0" w:firstLine="720"/>
        <w:jc w:val="both"/>
        <w:rPr>
          <w:rFonts w:ascii="Arial Narrow" w:hAnsi="Arial Narrow"/>
          <w:sz w:val="20"/>
        </w:rPr>
      </w:pPr>
      <w:r>
        <w:rPr>
          <w:rFonts w:ascii="Arial Narrow" w:hAnsi="Arial Narrow"/>
          <w:sz w:val="20"/>
        </w:rPr>
        <w:t>(2) information contained in the Report fairly presents, in all material respects, the financial condition and results of operations of the Company.</w:t>
      </w:r>
    </w:p>
    <w:p>
      <w:pPr>
        <w:pStyle w:val="TextBody"/>
        <w:bidi w:val="0"/>
        <w:spacing w:before="60" w:after="120"/>
        <w:ind w:left="0" w:right="0" w:firstLine="720"/>
        <w:jc w:val="both"/>
        <w:rPr/>
      </w:pPr>
      <w:r>
        <w:rPr/>
        <w:t>​</w:t>
      </w:r>
    </w:p>
    <w:tbl>
      <w:tblPr>
        <w:tblW w:w="5491" w:type="dxa"/>
        <w:jc w:val="center"/>
        <w:tblInd w:w="0" w:type="dxa"/>
        <w:tblLayout w:type="fixed"/>
        <w:tblCellMar>
          <w:top w:w="0" w:type="dxa"/>
          <w:left w:w="0" w:type="dxa"/>
          <w:bottom w:w="0" w:type="dxa"/>
          <w:right w:w="0" w:type="dxa"/>
        </w:tblCellMar>
      </w:tblPr>
      <w:tblGrid>
        <w:gridCol w:w="1681"/>
        <w:gridCol w:w="3547"/>
        <w:gridCol w:w="263"/>
      </w:tblGrid>
      <w:tr>
        <w:trPr/>
        <w:tc>
          <w:tcPr>
            <w:tcW w:w="1681"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Arial Narrow" w:hAnsi="Arial Narrow"/>
                <w:sz w:val="20"/>
              </w:rPr>
            </w:pPr>
            <w:r>
              <w:rPr>
                <w:rFonts w:ascii="Arial Narrow" w:hAnsi="Arial Narrow"/>
                <w:sz w:val="20"/>
              </w:rPr>
              <w:t>Chief Financial Officer</w:t>
            </w:r>
          </w:p>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b w:val="false"/>
                <w:i w:val="false"/>
                <w:caps w:val="false"/>
                <w:smallCaps w:val="false"/>
                <w:sz w:val="20"/>
              </w:rPr>
              <w:t>Dated:</w:t>
            </w:r>
            <w:r>
              <w:rPr>
                <w:rFonts w:ascii="Arial Narrow" w:hAnsi="Arial Narrow"/>
                <w:sz w:val="20"/>
              </w:rPr>
              <w:t>August 6, 2026</w:t>
            </w:r>
          </w:p>
        </w:tc>
        <w:tc>
          <w:tcPr>
            <w:tcW w:w="3547"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Robert Thaddeus Vayda</w:t>
            </w:r>
          </w:p>
        </w:tc>
        <w:tc>
          <w:tcPr>
            <w:tcW w:w="263" w:type="dxa"/>
            <w:tcBorders/>
            <w:vAlign w:val="center"/>
          </w:tcPr>
          <w:p>
            <w:pPr>
              <w:pStyle w:val="TableContents"/>
              <w:bidi w:val="0"/>
              <w:spacing w:before="0" w:after="0"/>
              <w:ind w:left="0" w:right="0" w:hanging="0"/>
              <w:jc w:val="left"/>
              <w:rPr/>
            </w:pPr>
            <w:r>
              <w:rPr/>
              <w:t>​</w:t>
            </w:r>
          </w:p>
        </w:tc>
      </w:tr>
      <w:tr>
        <w:trPr/>
        <w:tc>
          <w:tcPr>
            <w:tcW w:w="549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pPr>
            <w:r>
              <w:rPr/>
              <w:t>​</w:t>
            </w:r>
          </w:p>
        </w:tc>
        <w:tc>
          <w:tcPr>
            <w:tcW w:w="3810"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Robert Thaddeus Vayda</w:t>
            </w:r>
          </w:p>
          <w:p>
            <w:pPr>
              <w:pStyle w:val="TableContents"/>
              <w:bidi w:val="0"/>
              <w:spacing w:before="0" w:after="0"/>
              <w:ind w:left="0" w:right="0" w:hanging="0"/>
              <w:jc w:val="left"/>
              <w:rPr>
                <w:rFonts w:ascii="Arial Narrow" w:hAnsi="Arial Narrow"/>
                <w:sz w:val="20"/>
              </w:rPr>
            </w:pPr>
            <w:r>
              <w:rPr>
                <w:rFonts w:ascii="Arial Narrow" w:hAnsi="Arial Narrow"/>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pStyle w:val="TextBody"/>
        <w:bidi w:val="0"/>
        <w:spacing w:before="60" w:after="120"/>
        <w:ind w:left="0" w:right="0" w:firstLine="720"/>
        <w:jc w:val="both"/>
        <w:rPr/>
      </w:pPr>
      <w:r>
        <w:rPr/>
        <w:t>​</w:t>
      </w:r>
    </w:p>
    <w:p>
      <w:pPr>
        <w:pStyle w:val="TextBody"/>
        <w:bidi w:val="0"/>
        <w:spacing w:before="60" w:after="120"/>
        <w:ind w:left="0" w:right="0" w:firstLine="720"/>
        <w:jc w:val="both"/>
        <w:rPr>
          <w:rFonts w:ascii="Arial Narrow" w:hAnsi="Arial Narrow"/>
          <w:sz w:val="20"/>
        </w:rPr>
      </w:pPr>
      <w:r>
        <w:rPr>
          <w:rFonts w:ascii="Arial Narrow" w:hAnsi="Arial Narrow"/>
          <w:sz w:val="20"/>
        </w:rPr>
        <w:t>A signed original of this written statement required by Section 906 has been provided to the Company and will be retained by the Company and furnished to the U.S.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451505/000145150526000018/rig-20251231x10k.htm" TargetMode="External"/><Relationship Id="rId4" Type="http://schemas.openxmlformats.org/officeDocument/2006/relationships/hyperlink" Target="https://www.sec.gov/ix?doc=/Archives/edgar/data/0001451505/000145150526000018/rig-20251231x10k.htm" TargetMode="External"/><Relationship Id="rId5" Type="http://schemas.openxmlformats.org/officeDocument/2006/relationships/hyperlink" Target="https://www.sec.gov/ix?doc=/Archives/edgar/data/0001451505/000145150526000018/rig-20251231x10k.htm" TargetMode="External"/><Relationship Id="rId6" Type="http://schemas.openxmlformats.org/officeDocument/2006/relationships/hyperlink" Target="https://www.sec.gov/ix?doc=/Archives/edgar/data/0001451505/000145150526000018/rig-20251231x10k.htm" TargetMode="External"/><Relationship Id="rId7" Type="http://schemas.openxmlformats.org/officeDocument/2006/relationships/hyperlink" Target="https://www.sec.gov/ix?doc=/Archives/edgar/data/0001451505/000145150526000018/rig-20251231x10k.htm" TargetMode="External"/><Relationship Id="rId8" Type="http://schemas.openxmlformats.org/officeDocument/2006/relationships/hyperlink" Target="https://www.sec.gov/ix?doc=/Archives/edgar/data/0001451505/000145150526000018/rig-20251231x10k.htm" TargetMode="External"/><Relationship Id="rId9" Type="http://schemas.openxmlformats.org/officeDocument/2006/relationships/hyperlink" Target="https://www.sec.gov/ix?doc=/Archives/edgar/data/0001451505/000145150526000018/rig-20251231x10k.htm" TargetMode="External"/><Relationship Id="rId10" Type="http://schemas.openxmlformats.org/officeDocument/2006/relationships/hyperlink" Target="https://www.sec.gov/ix?doc=/Archives/edgar/data/0001451505/000145150526000018/rig-20251231x10k.htm" TargetMode="External"/><Relationship Id="rId11" Type="http://schemas.openxmlformats.org/officeDocument/2006/relationships/hyperlink" Target="https://www.sec.gov/ix?doc=/Archives/edgar/data/0001451505/000145150526000018/rig-20251231x10k.htm" TargetMode="External"/><Relationship Id="rId12" Type="http://schemas.openxmlformats.org/officeDocument/2006/relationships/hyperlink" Target="https://www.sec.gov/Archives/edgar/data/1451505/000110465926012387/tm265550d3_ex2-1.htm" TargetMode="External"/><Relationship Id="rId13" Type="http://schemas.openxmlformats.org/officeDocument/2006/relationships/hyperlink" Target="https://www.sec.gov/Archives/edgar/data/1451505/000145150526000049/rig-20260522xex3d1.htm" TargetMode="External"/><Relationship Id="rId14" Type="http://schemas.openxmlformats.org/officeDocument/2006/relationships/hyperlink" Target="https://www.sec.gov/Archives/edgar/data/1451505/000145150526000049/rig-20260522xex3d2.htm" TargetMode="External"/><Relationship Id="rId15" Type="http://schemas.openxmlformats.org/officeDocument/2006/relationships/hyperlink" Target="https://www.sec.gov/Archives/edgar/data/1451505/000110465926063883/tm269762d8_ex10-1.htm" TargetMode="External"/><Relationship Id="rId16" Type="http://schemas.openxmlformats.org/officeDocument/2006/relationships/hyperlink" Target="https://www.sec.gov/Archives/edgar/data/1451505/000110465926063883/tm269762d8_ex10-1.htm" TargetMode="External"/><Relationship Id="rId17" Type="http://schemas.openxmlformats.org/officeDocument/2006/relationships/hyperlink" Target="https://www.sec.gov/Archives/edgar/data/1451505/000110465926063883/tm269762d8_ex10-1.htm" TargetMode="External"/><Relationship Id="rId18" Type="http://schemas.openxmlformats.org/officeDocument/2006/relationships/hyperlink" Target="https://www.sec.gov/Archives/edgar/data/1451505/000110465926063883/tm269762d8_ex10-1.htm" TargetMode="External"/><Relationship Id="rId19" Type="http://schemas.openxmlformats.org/officeDocument/2006/relationships/hyperlink" Target="https://www.sec.gov/Archives/edgar/data/1451505/000110465926063883/tm269762d8_ex10-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17902</Words>
  <Characters>97230</Characters>
  <CharactersWithSpaces>117428</CharactersWithSpaces>
  <Paragraphs>5997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