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2" w:lineRule="exact"/>
        <w:rPr>
          <w:sz w:val="24"/>
          <w:szCs w:val="24"/>
          <w:color w:val="auto"/>
        </w:rPr>
      </w:pPr>
    </w:p>
    <w:p>
      <w:pPr>
        <w:ind w:left="340" w:right="8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-224790</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7" w:lineRule="exact"/>
        <w:rPr>
          <w:sz w:val="24"/>
          <w:szCs w:val="24"/>
          <w:color w:val="auto"/>
        </w:rPr>
      </w:pPr>
    </w:p>
    <w:p>
      <w:pPr>
        <w:ind w:left="340"/>
        <w:spacing w:after="0" w:line="228"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-657860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260" w:type="dxa"/>
            <w:vAlign w:val="bottom"/>
          </w:tcPr>
          <w:p>
            <w:pPr>
              <w:jc w:val="center"/>
              <w:ind w:right="177"/>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260" w:type="dxa"/>
            <w:vAlign w:val="bottom"/>
            <w:vMerge w:val="restart"/>
          </w:tcPr>
          <w:p>
            <w:pPr>
              <w:jc w:val="center"/>
              <w:ind w:right="17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5241925</wp:posOffset>
            </wp:positionH>
            <wp:positionV relativeFrom="paragraph">
              <wp:posOffset>-623570</wp:posOffset>
            </wp:positionV>
            <wp:extent cx="57785" cy="636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6905"/>
                    </a:xfrm>
                    <a:prstGeom prst="rect">
                      <a:avLst/>
                    </a:prstGeom>
                    <a:noFill/>
                  </pic:spPr>
                </pic:pic>
              </a:graphicData>
            </a:graphic>
          </wp:anchor>
        </w:drawing>
        <w:drawing>
          <wp:anchor simplePos="0" relativeHeight="251657728" behindDoc="1" locked="0" layoutInCell="0" allowOverlap="1">
            <wp:simplePos x="0" y="0"/>
            <wp:positionH relativeFrom="column">
              <wp:posOffset>3961765</wp:posOffset>
            </wp:positionH>
            <wp:positionV relativeFrom="paragraph">
              <wp:posOffset>-623570</wp:posOffset>
            </wp:positionV>
            <wp:extent cx="57785" cy="636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690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-1661160</wp:posOffset>
            </wp:positionH>
            <wp:positionV relativeFrom="paragraph">
              <wp:posOffset>739775</wp:posOffset>
            </wp:positionV>
            <wp:extent cx="7046595" cy="44107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410710"/>
                    </a:xfrm>
                    <a:prstGeom prst="rect">
                      <a:avLst/>
                    </a:prstGeom>
                    <a:noFill/>
                  </pic:spPr>
                </pic:pic>
              </a:graphicData>
            </a:graphic>
          </wp:anchor>
        </w:drawing>
      </w:r>
    </w:p>
    <w:p>
      <w:pPr>
        <w:spacing w:after="0" w:line="1235" w:lineRule="exact"/>
        <w:rPr>
          <w:sz w:val="24"/>
          <w:szCs w:val="24"/>
          <w:color w:val="auto"/>
        </w:rPr>
      </w:pPr>
    </w:p>
    <w:p>
      <w:pPr>
        <w:sectPr>
          <w:pgSz w:w="11900" w:h="16838" w:orient="portrait"/>
          <w:cols w:equalWidth="0" w:num="2">
            <w:col w:w="2320" w:space="280"/>
            <w:col w:w="848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INTRIERI VINCENT J</w:t>
        </w:r>
      </w:hyperlink>
    </w:p>
    <w:p>
      <w:pPr>
        <w:spacing w:after="0" w:line="28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TURMSTRASSE 30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Transocean Ltd.</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RIG</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5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05/22/2026</w:t>
      </w:r>
    </w:p>
    <w:p>
      <w:pPr>
        <w:spacing w:after="0" w:line="20" w:lineRule="exact"/>
        <w:rPr>
          <w:sz w:val="24"/>
          <w:szCs w:val="24"/>
          <w:color w:val="auto"/>
        </w:rPr>
      </w:pPr>
      <w:r>
        <w:rPr>
          <w:sz w:val="24"/>
          <w:szCs w:val="24"/>
          <w:color w:val="auto"/>
        </w:rPr>
        <w:br w:type="column"/>
      </w:r>
    </w:p>
    <w:p>
      <w:pPr>
        <w:ind w:left="-10" w:right="640" w:firstLine="10"/>
        <w:spacing w:after="0" w:line="256" w:lineRule="auto"/>
        <w:tabs>
          <w:tab w:leader="none" w:pos="13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8" w:lineRule="exact"/>
        <w:rPr>
          <w:sz w:val="24"/>
          <w:szCs w:val="24"/>
          <w:color w:val="auto"/>
        </w:rPr>
      </w:pPr>
    </w:p>
    <w:p>
      <w:pPr>
        <w:ind w:left="530"/>
        <w:spacing w:after="0"/>
        <w:tabs>
          <w:tab w:leader="none" w:pos="2090"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9"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4" w:lineRule="exact"/>
        <w:rPr>
          <w:sz w:val="24"/>
          <w:szCs w:val="24"/>
          <w:color w:val="auto"/>
        </w:rPr>
      </w:pPr>
    </w:p>
    <w:p>
      <w:pPr>
        <w:ind w:left="530"/>
        <w:spacing w:after="0"/>
        <w:tabs>
          <w:tab w:leader="none" w:pos="2090"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03" w:lineRule="exact"/>
        <w:rPr>
          <w:sz w:val="24"/>
          <w:szCs w:val="24"/>
          <w:color w:val="auto"/>
        </w:rPr>
      </w:pPr>
    </w:p>
    <w:p>
      <w:pPr>
        <w:sectPr>
          <w:pgSz w:w="11900" w:h="16838" w:orient="portrait"/>
          <w:cols w:equalWidth="0" w:num="3">
            <w:col w:w="3180" w:space="720"/>
            <w:col w:w="3110" w:space="720"/>
            <w:col w:w="3350"/>
          </w:cols>
          <w:pgMar w:left="460" w:top="217" w:right="359" w:bottom="1440" w:gutter="0" w:footer="0" w:header="0"/>
          <w:type w:val="continuous"/>
        </w:sectPr>
      </w:pPr>
    </w:p>
    <w:p>
      <w:pPr>
        <w:spacing w:after="0" w:line="231" w:lineRule="exact"/>
        <w:rPr>
          <w:sz w:val="24"/>
          <w:szCs w:val="24"/>
          <w:color w:val="auto"/>
        </w:rPr>
      </w:pPr>
    </w:p>
    <w:tbl>
      <w:tblPr>
        <w:tblLayout w:type="fixed"/>
        <w:tblInd w:w="80" w:type="dxa"/>
        <w:tblCellMar>
          <w:top w:w="0" w:type="dxa"/>
          <w:left w:w="0" w:type="dxa"/>
          <w:bottom w:w="0" w:type="dxa"/>
          <w:right w:w="0" w:type="dxa"/>
        </w:tblCellMar>
      </w:tblPr>
      <w:tr>
        <w:trPr>
          <w:trHeight w:val="168"/>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8"/>
        </w:trPr>
        <w:tc>
          <w:tcPr>
            <w:tcW w:w="20" w:type="dxa"/>
            <w:vAlign w:val="bottom"/>
          </w:tcPr>
          <w:p>
            <w:pPr>
              <w:spacing w:after="0"/>
              <w:rPr>
                <w:sz w:val="19"/>
                <w:szCs w:val="19"/>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STEINHAUSEN V8</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6312</w:t>
            </w:r>
          </w:p>
        </w:tc>
      </w:tr>
      <w:tr>
        <w:trPr>
          <w:trHeight w:val="148"/>
        </w:trPr>
        <w:tc>
          <w:tcPr>
            <w:tcW w:w="20" w:type="dxa"/>
            <w:vAlign w:val="bottom"/>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7"/>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4"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69"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89" w:lineRule="exact"/>
        <w:rPr>
          <w:sz w:val="24"/>
          <w:szCs w:val="24"/>
          <w:color w:val="auto"/>
        </w:rPr>
      </w:pPr>
    </w:p>
    <w:p>
      <w:pPr>
        <w:sectPr>
          <w:pgSz w:w="11900" w:h="16838" w:orient="portrait"/>
          <w:cols w:equalWidth="0" w:num="2">
            <w:col w:w="3760" w:space="140"/>
            <w:col w:w="718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vMerge w:val="restart"/>
          </w:tcPr>
          <w:p>
            <w:pPr>
              <w:ind w:left="10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3"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9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r>
      <w:tr>
        <w:trPr>
          <w:trHeight w:val="128"/>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4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8"/>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8"/>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8"/>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4)</w:t>
            </w:r>
          </w:p>
        </w:tc>
      </w:tr>
      <w:tr>
        <w:trPr>
          <w:trHeight w:val="128"/>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r>
      <w:tr>
        <w:trPr>
          <w:trHeight w:val="166"/>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6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r>
      <w:tr>
        <w:trPr>
          <w:trHeight w:val="23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ind w:left="3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1080" w:type="dxa"/>
            <w:vAlign w:val="bottom"/>
          </w:tcPr>
          <w:p>
            <w:pPr>
              <w:jc w:val="right"/>
              <w:ind w:right="181"/>
              <w:spacing w:after="0"/>
              <w:rPr>
                <w:sz w:val="20"/>
                <w:szCs w:val="20"/>
                <w:color w:val="auto"/>
              </w:rPr>
            </w:pPr>
            <w:r>
              <w:rPr>
                <w:rFonts w:ascii="Times New Roman" w:cs="Times New Roman" w:eastAsia="Times New Roman" w:hAnsi="Times New Roman"/>
                <w:sz w:val="13"/>
                <w:szCs w:val="13"/>
                <w:color w:val="0000FF"/>
              </w:rPr>
              <w:t>05/22/2026</w:t>
            </w:r>
          </w:p>
        </w:tc>
        <w:tc>
          <w:tcPr>
            <w:tcW w:w="1080" w:type="dxa"/>
            <w:vAlign w:val="bottom"/>
          </w:tcPr>
          <w:p>
            <w:pPr>
              <w:spacing w:after="0"/>
              <w:rPr>
                <w:sz w:val="20"/>
                <w:szCs w:val="20"/>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30,435</w:t>
            </w:r>
          </w:p>
        </w:tc>
        <w:tc>
          <w:tcPr>
            <w:tcW w:w="280" w:type="dxa"/>
            <w:vAlign w:val="bottom"/>
          </w:tcPr>
          <w:p>
            <w:pPr>
              <w:spacing w:after="0"/>
              <w:rPr>
                <w:sz w:val="20"/>
                <w:szCs w:val="20"/>
                <w:color w:val="auto"/>
              </w:rPr>
            </w:pPr>
          </w:p>
        </w:tc>
        <w:tc>
          <w:tcPr>
            <w:tcW w:w="78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tcPr>
          <w:p>
            <w:pPr>
              <w:jc w:val="right"/>
              <w:ind w:right="224"/>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Registered</w:t>
            </w:r>
          </w:p>
        </w:tc>
        <w:tc>
          <w:tcPr>
            <w:tcW w:w="5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30,435</w:t>
            </w:r>
          </w:p>
        </w:tc>
        <w:tc>
          <w:tcPr>
            <w:tcW w:w="70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20" w:type="dxa"/>
            <w:vAlign w:val="bottom"/>
          </w:tcPr>
          <w:p>
            <w:pPr>
              <w:ind w:left="280"/>
              <w:spacing w:after="0"/>
              <w:rPr>
                <w:sz w:val="20"/>
                <w:szCs w:val="20"/>
                <w:color w:val="auto"/>
              </w:rPr>
            </w:pPr>
            <w:r>
              <w:rPr>
                <w:rFonts w:ascii="Times New Roman" w:cs="Times New Roman" w:eastAsia="Times New Roman" w:hAnsi="Times New Roman"/>
                <w:sz w:val="13"/>
                <w:szCs w:val="13"/>
                <w:color w:val="0000FF"/>
              </w:rPr>
              <w:t>30,435</w:t>
            </w:r>
          </w:p>
        </w:tc>
        <w:tc>
          <w:tcPr>
            <w:tcW w:w="7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20"/>
                <w:szCs w:val="20"/>
                <w:color w:val="auto"/>
              </w:rPr>
            </w:pPr>
          </w:p>
        </w:tc>
      </w:tr>
      <w:tr>
        <w:trPr>
          <w:trHeight w:val="166"/>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Shares</w:t>
            </w: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4"/>
          <w:szCs w:val="24"/>
          <w:color w:val="auto"/>
        </w:rPr>
      </w:pPr>
    </w:p>
    <w:p>
      <w:pPr>
        <w:jc w:val="both"/>
        <w:ind w:left="40" w:right="160" w:firstLine="1"/>
        <w:spacing w:after="0"/>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Units, which are 1-for-1 registered share equivalents, were acquired on May 22, 2026, pursuant to the Issuer's long-term incentive plan. Restricted Units vest on the earlier of: (i) May 22, 2027, or (ii) the date of the next Annual General Meeting of the Company's shareholders following the May 22, 2026 grant date. Such Restricted Units will be payable in registered shares of the Issuer following the applicable vesting date, pursuant to the terms and conditions of the award.</w:t>
      </w:r>
    </w:p>
    <w:p>
      <w:pPr>
        <w:ind w:left="6600"/>
        <w:spacing w:after="0" w:line="185" w:lineRule="auto"/>
        <w:rPr>
          <w:sz w:val="20"/>
          <w:szCs w:val="20"/>
          <w:color w:val="auto"/>
        </w:rPr>
      </w:pPr>
      <w:r>
        <w:rPr>
          <w:rFonts w:ascii="Times New Roman" w:cs="Times New Roman" w:eastAsia="Times New Roman" w:hAnsi="Times New Roman"/>
          <w:sz w:val="16"/>
          <w:szCs w:val="16"/>
          <w:color w:val="0000FF"/>
        </w:rPr>
        <w:t xml:space="preserve">/s/ Debra Kupferman by Power  </w:t>
      </w:r>
      <w:r>
        <w:rPr>
          <w:rFonts w:ascii="Times New Roman" w:cs="Times New Roman" w:eastAsia="Times New Roman" w:hAnsi="Times New Roman"/>
          <w:sz w:val="31"/>
          <w:szCs w:val="31"/>
          <w:color w:val="0000FF"/>
          <w:vertAlign w:val="subscript"/>
        </w:rPr>
        <w:t>05/27/2026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-26670</wp:posOffset>
            </wp:positionV>
            <wp:extent cx="13239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397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of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-20955</wp:posOffset>
            </wp:positionV>
            <wp:extent cx="4914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91490" cy="8255"/>
                    </a:xfrm>
                    <a:prstGeom prst="rect">
                      <a:avLst/>
                    </a:prstGeom>
                    <a:noFill/>
                  </pic:spPr>
                </pic:pic>
              </a:graphicData>
            </a:graphic>
          </wp:anchor>
        </w:drawing>
        <w:drawing>
          <wp:anchor simplePos="0" relativeHeight="251657728" behindDoc="1" locked="0" layoutInCell="0" allowOverlap="1">
            <wp:simplePos x="0" y="0"/>
            <wp:positionH relativeFrom="column">
              <wp:posOffset>5584825</wp:posOffset>
            </wp:positionH>
            <wp:positionV relativeFrom="paragraph">
              <wp:posOffset>-86360</wp:posOffset>
            </wp:positionV>
            <wp:extent cx="4826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2600" cy="8255"/>
                    </a:xfrm>
                    <a:prstGeom prst="rect">
                      <a:avLst/>
                    </a:prstGeom>
                    <a:noFill/>
                  </pic:spPr>
                </pic:pic>
              </a:graphicData>
            </a:graphic>
          </wp:anchor>
        </w:drawing>
      </w:r>
    </w:p>
    <w:p>
      <w:pPr>
        <w:spacing w:after="0" w:line="23"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40" w:firstLine="1"/>
        <w:spacing w:after="0" w:line="334"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7" w:right="359" w:bottom="1440" w:gutter="0" w:footer="0" w:header="0"/>
          <w:type w:val="continuous"/>
        </w:sectPr>
      </w:pPr>
    </w:p>
    <w:bookmarkStart w:id="1" w:name="page2"/>
    <w:bookmarkEnd w:id="1"/>
    <w:p>
      <w:pPr>
        <w:ind w:left="60"/>
        <w:spacing w:after="0"/>
        <w:rPr>
          <w:sz w:val="20"/>
          <w:szCs w:val="20"/>
          <w:color w:val="auto"/>
        </w:rPr>
      </w:pPr>
      <w:r>
        <w:rPr>
          <w:rFonts w:ascii="Times New Roman" w:cs="Times New Roman" w:eastAsia="Times New Roman" w:hAnsi="Times New Roman"/>
          <w:sz w:val="21"/>
          <w:szCs w:val="21"/>
          <w:b w:val="1"/>
          <w:bCs w:val="1"/>
          <w:color w:val="auto"/>
        </w:rPr>
        <w:t>LIMITED POWER OF ATTORNEY FOR SECTION 16 REPORTING OBLIGATIONS</w:t>
      </w:r>
    </w:p>
    <w:p>
      <w:pPr>
        <w:spacing w:after="0" w:line="122" w:lineRule="exact"/>
        <w:rPr>
          <w:sz w:val="20"/>
          <w:szCs w:val="20"/>
          <w:color w:val="auto"/>
        </w:rPr>
      </w:pPr>
    </w:p>
    <w:p>
      <w:pPr>
        <w:jc w:val="both"/>
        <w:ind w:firstLine="308"/>
        <w:spacing w:after="0" w:line="242" w:lineRule="auto"/>
        <w:rPr>
          <w:sz w:val="20"/>
          <w:szCs w:val="20"/>
          <w:color w:val="auto"/>
        </w:rPr>
      </w:pPr>
      <w:r>
        <w:rPr>
          <w:rFonts w:ascii="Times New Roman" w:cs="Times New Roman" w:eastAsia="Times New Roman" w:hAnsi="Times New Roman"/>
          <w:sz w:val="21"/>
          <w:szCs w:val="21"/>
          <w:color w:val="auto"/>
        </w:rPr>
        <w:t>Know all by these presents, that the undersigned hereby constitutes and appoints each of Brady Long, Debra Kupferman, Daniel Ro-Trock, Sandro Thoma, Kyle Vento, Kristina Mays and Jason Bersch acting individually and with full power of substitution, the undersigned’s true and lawful attorney-in-fact to:</w:t>
      </w:r>
    </w:p>
    <w:p>
      <w:pPr>
        <w:spacing w:after="0" w:line="104" w:lineRule="exact"/>
        <w:rPr>
          <w:sz w:val="20"/>
          <w:szCs w:val="20"/>
          <w:color w:val="auto"/>
        </w:rPr>
      </w:pPr>
    </w:p>
    <w:p>
      <w:pPr>
        <w:jc w:val="both"/>
        <w:ind w:left="620" w:hanging="309"/>
        <w:spacing w:after="0" w:line="242" w:lineRule="auto"/>
        <w:tabs>
          <w:tab w:leader="none" w:pos="594"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execute for and on behalf of the undersigned, in the undersigned’s capacity as an officer and/or director of Transocean Ltd. (the “</w:t>
      </w:r>
      <w:r>
        <w:rPr>
          <w:rFonts w:ascii="Times New Roman" w:cs="Times New Roman" w:eastAsia="Times New Roman" w:hAnsi="Times New Roman"/>
          <w:sz w:val="21"/>
          <w:szCs w:val="21"/>
          <w:b w:val="1"/>
          <w:bCs w:val="1"/>
          <w:color w:val="auto"/>
        </w:rPr>
        <w:t>Company</w:t>
      </w:r>
      <w:r>
        <w:rPr>
          <w:rFonts w:ascii="Times New Roman" w:cs="Times New Roman" w:eastAsia="Times New Roman" w:hAnsi="Times New Roman"/>
          <w:sz w:val="21"/>
          <w:szCs w:val="21"/>
          <w:color w:val="auto"/>
        </w:rPr>
        <w:t>”), Forms 3, 4 and 5 (and any amendments thereto) in accordance with Section 16(a) of the Securities Exchange Act of 1934, as amended (the “</w:t>
      </w:r>
      <w:r>
        <w:rPr>
          <w:rFonts w:ascii="Times New Roman" w:cs="Times New Roman" w:eastAsia="Times New Roman" w:hAnsi="Times New Roman"/>
          <w:sz w:val="21"/>
          <w:szCs w:val="21"/>
          <w:b w:val="1"/>
          <w:bCs w:val="1"/>
          <w:color w:val="auto"/>
        </w:rPr>
        <w:t>Exchange Act</w:t>
      </w:r>
      <w:r>
        <w:rPr>
          <w:rFonts w:ascii="Times New Roman" w:cs="Times New Roman" w:eastAsia="Times New Roman" w:hAnsi="Times New Roman"/>
          <w:sz w:val="21"/>
          <w:szCs w:val="21"/>
          <w:color w:val="auto"/>
        </w:rPr>
        <w:t>”), and the rules thereunder;</w:t>
      </w:r>
    </w:p>
    <w:p>
      <w:pPr>
        <w:spacing w:after="0" w:line="334" w:lineRule="exact"/>
        <w:rPr>
          <w:rFonts w:ascii="Times New Roman" w:cs="Times New Roman" w:eastAsia="Times New Roman" w:hAnsi="Times New Roman"/>
          <w:sz w:val="21"/>
          <w:szCs w:val="21"/>
          <w:color w:val="auto"/>
        </w:rPr>
      </w:pPr>
    </w:p>
    <w:p>
      <w:pPr>
        <w:jc w:val="both"/>
        <w:ind w:left="620" w:hanging="309"/>
        <w:spacing w:after="0" w:line="242" w:lineRule="auto"/>
        <w:tabs>
          <w:tab w:leader="none" w:pos="594"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do and perform any and all acts for and on behalf of the undersigned which may be necessary or desirable to complete and execute any such Form 3, 4 or 5, complete and execute any amendments thereto, and timely file such form with the United States Securities and Exchange Commission and any securities exchange or similar authority; and</w:t>
      </w:r>
    </w:p>
    <w:p>
      <w:pPr>
        <w:spacing w:after="0" w:line="322" w:lineRule="exact"/>
        <w:rPr>
          <w:rFonts w:ascii="Times New Roman" w:cs="Times New Roman" w:eastAsia="Times New Roman" w:hAnsi="Times New Roman"/>
          <w:sz w:val="21"/>
          <w:szCs w:val="21"/>
          <w:color w:val="auto"/>
        </w:rPr>
      </w:pPr>
    </w:p>
    <w:p>
      <w:pPr>
        <w:jc w:val="both"/>
        <w:ind w:left="620" w:hanging="309"/>
        <w:spacing w:after="0" w:line="253" w:lineRule="auto"/>
        <w:tabs>
          <w:tab w:leader="none" w:pos="594"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Limited Power of Attorney shall be in such form and shall contain such terms and conditions as such attorney-in-fact may approve in such attorney-in-fact’s discretion.</w:t>
      </w:r>
    </w:p>
    <w:p>
      <w:pPr>
        <w:spacing w:after="0" w:line="327" w:lineRule="exact"/>
        <w:rPr>
          <w:sz w:val="20"/>
          <w:szCs w:val="20"/>
          <w:color w:val="auto"/>
        </w:rPr>
      </w:pPr>
    </w:p>
    <w:p>
      <w:pPr>
        <w:jc w:val="both"/>
        <w:ind w:firstLine="308"/>
        <w:spacing w:after="0" w:line="234" w:lineRule="auto"/>
        <w:rPr>
          <w:sz w:val="20"/>
          <w:szCs w:val="20"/>
          <w:color w:val="auto"/>
        </w:rPr>
      </w:pPr>
      <w:r>
        <w:rPr>
          <w:rFonts w:ascii="Times New Roman" w:cs="Times New Roman" w:eastAsia="Times New Roman" w:hAnsi="Times New Roman"/>
          <w:sz w:val="21"/>
          <w:szCs w:val="21"/>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Limited Power of Attorney and the rights and powers herein granted. The undersigned acknowledges that the foregoing attorneys-in-fact, in serving in such capacity at the request and on the behalf of the undersigned, are not assuming, nor is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461010</wp:posOffset>
            </wp:positionV>
            <wp:extent cx="6969125" cy="895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6969125" cy="89535"/>
                    </a:xfrm>
                    <a:prstGeom prst="rect">
                      <a:avLst/>
                    </a:prstGeom>
                    <a:noFill/>
                  </pic:spPr>
                </pic:pic>
              </a:graphicData>
            </a:graphic>
          </wp:anchor>
        </w:drawing>
      </w:r>
    </w:p>
    <w:p>
      <w:pPr>
        <w:sectPr>
          <w:pgSz w:w="11900" w:h="16838" w:orient="portrait"/>
          <w:cols w:equalWidth="0" w:num="1">
            <w:col w:w="10980"/>
          </w:cols>
          <w:pgMar w:left="460" w:top="482" w:right="459" w:bottom="1440" w:gutter="0" w:footer="0" w:header="0"/>
        </w:sectPr>
      </w:pPr>
    </w:p>
    <w:bookmarkStart w:id="2" w:name="page3"/>
    <w:bookmarkEnd w:id="2"/>
    <w:p>
      <w:pPr>
        <w:jc w:val="both"/>
        <w:ind w:firstLine="308"/>
        <w:spacing w:after="0" w:line="255" w:lineRule="auto"/>
        <w:rPr>
          <w:sz w:val="20"/>
          <w:szCs w:val="20"/>
          <w:color w:val="auto"/>
        </w:rPr>
      </w:pPr>
      <w:r>
        <w:rPr>
          <w:rFonts w:ascii="Times New Roman" w:cs="Times New Roman" w:eastAsia="Times New Roman" w:hAnsi="Times New Roman"/>
          <w:sz w:val="21"/>
          <w:szCs w:val="21"/>
          <w:color w:val="auto"/>
        </w:rPr>
        <w:t>assuming, any of the undersigned’s responsibilities to comply with, or any liability for the failure to comply with, any provision of Section 16 of the Exchange Act.</w:t>
      </w:r>
    </w:p>
    <w:p>
      <w:pPr>
        <w:spacing w:after="0" w:line="91" w:lineRule="exact"/>
        <w:rPr>
          <w:sz w:val="20"/>
          <w:szCs w:val="20"/>
          <w:color w:val="auto"/>
        </w:rPr>
      </w:pPr>
    </w:p>
    <w:p>
      <w:pPr>
        <w:jc w:val="both"/>
        <w:ind w:firstLine="308"/>
        <w:spacing w:after="0" w:line="235" w:lineRule="auto"/>
        <w:rPr>
          <w:sz w:val="20"/>
          <w:szCs w:val="20"/>
          <w:color w:val="auto"/>
        </w:rPr>
      </w:pPr>
      <w:r>
        <w:rPr>
          <w:rFonts w:ascii="Times New Roman" w:cs="Times New Roman" w:eastAsia="Times New Roman" w:hAnsi="Times New Roman"/>
          <w:sz w:val="21"/>
          <w:szCs w:val="21"/>
          <w:color w:val="auto"/>
        </w:rPr>
        <w:t>This Limited Power of Attorney shall remain in full force and effect until the undersigned is no longer required to file Forms 3, 4 or 5 with respect to the undersigned’s holdings of and transactions in securities issued by the Company, unless earlier revoked by the undersigned in a signed writing delivered to each of the foregoing attorneys-in-fact. The authority granted to any individual attorney-in-fact hereunder shall automatically terminate with immediate effect upon such attorney-in-fact ceasing to be employed by or affiliated with the Company or any of its subsidiaries. This Limited Power of Attorney revokes all prior powers of attorney granted by the undersigned with respect to the subject matter hereof.</w:t>
      </w:r>
    </w:p>
    <w:p>
      <w:pPr>
        <w:spacing w:after="0" w:line="3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0"/>
          <w:szCs w:val="20"/>
          <w:b w:val="1"/>
          <w:bCs w:val="1"/>
          <w:color w:val="auto"/>
        </w:rPr>
        <w:t>IN WITNESS WHEREOF</w:t>
      </w:r>
      <w:r>
        <w:rPr>
          <w:rFonts w:ascii="Times New Roman" w:cs="Times New Roman" w:eastAsia="Times New Roman" w:hAnsi="Times New Roman"/>
          <w:sz w:val="20"/>
          <w:szCs w:val="20"/>
          <w:color w:val="auto"/>
        </w:rPr>
        <w:t>, the undersigned has executed this Limited Power of Attorney as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12</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day of November 2025.</w:t>
      </w:r>
    </w:p>
    <w:p>
      <w:pPr>
        <w:spacing w:after="0" w:line="146"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1"/>
          <w:szCs w:val="21"/>
          <w:color w:val="auto"/>
        </w:rPr>
        <w:t>Signed and acknowledged:</w:t>
      </w:r>
    </w:p>
    <w:p>
      <w:pPr>
        <w:spacing w:after="0" w:line="131"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1"/>
          <w:szCs w:val="21"/>
          <w:color w:val="auto"/>
        </w:rPr>
        <w:t>/s/ Vincent J. Intrieri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2740660</wp:posOffset>
            </wp:positionH>
            <wp:positionV relativeFrom="paragraph">
              <wp:posOffset>-14605</wp:posOffset>
            </wp:positionV>
            <wp:extent cx="118999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189990" cy="8255"/>
                    </a:xfrm>
                    <a:prstGeom prst="rect">
                      <a:avLst/>
                    </a:prstGeom>
                    <a:noFill/>
                  </pic:spPr>
                </pic:pic>
              </a:graphicData>
            </a:graphic>
          </wp:anchor>
        </w:drawing>
      </w:r>
    </w:p>
    <w:p>
      <w:pPr>
        <w:spacing w:after="0" w:line="98"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1"/>
          <w:szCs w:val="21"/>
          <w:color w:val="auto"/>
        </w:rPr>
        <w:t>Name: Vincent J. Intrieri</w:t>
      </w:r>
    </w:p>
    <w:sectPr>
      <w:pgSz w:w="11900" w:h="16838" w:orient="portrait"/>
      <w:cols w:equalWidth="0" w:num="1">
        <w:col w:w="10980"/>
      </w:cols>
      <w:pgMar w:left="460" w:top="114"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350114" TargetMode="External"/><Relationship Id="rId14" Type="http://schemas.openxmlformats.org/officeDocument/2006/relationships/hyperlink" Target="http://www.sec.gov/cgi-bin/browse-edgar?action=getcompany&amp;CIK=000145150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2026-05-27T17:43:11Z</dcterms:created>
  <dcterms:modified xsi:type="dcterms:W3CDTF">2026-05-27T17:43:11Z</dcterms:modified>
</cp:coreProperties>
</file>