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ig-20260820x8k.htm"/>
      <w:bookmarkStart w:id="1" w:name="ksrig20260820x8k"/>
      <w:bookmarkEnd w:id="0"/>
      <w:bookmarkEnd w:id="1"/>
      <w:r>
        <w:rPr/>
        <w:t>​</w:t>
      </w:r>
    </w:p>
    <w:p>
      <w:pPr>
        <w:pStyle w:val="TextBody"/>
        <w:bidi w:val="0"/>
        <w:spacing w:before="0" w:after="0"/>
        <w:ind w:left="0" w:right="0" w:hanging="0"/>
        <w:jc w:val="center"/>
        <w:rPr>
          <w:rFonts w:ascii="Times New Roman;Times;serif" w:hAnsi="Times New Roman;Times;serif"/>
          <w:b/>
          <w:sz w:val="24"/>
        </w:rPr>
      </w:pPr>
      <w:bookmarkStart w:id="2" w:name="_1173a2be_98ec_49f0_8be3_b4630e6cbdf4"/>
      <w:bookmarkEnd w:id="2"/>
      <w:r>
        <w:rPr>
          <w:rFonts w:ascii="Times New Roman;Times;serif" w:hAnsi="Times New Roman;Times;serif"/>
          <w:b/>
          <w:sz w:val="24"/>
        </w:rPr>
        <w:t>UNITED STATES</w:t>
        <w:b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CURRENT REPORT</w:t>
        <w:br/>
        <w:t xml:space="preserve">Pursuant to Section 13 or 15(d) of </w:t>
        <w:br/>
        <w:t xml:space="preserve">the Securities Exchange Act of 1934 </w:t>
        <w:br/>
        <w:br/>
        <w:t>Date of report (date of earliest event reported): August 20, 2026</w:t>
      </w:r>
      <w:r>
        <w:rPr>
          <w:rFonts w:ascii="Times New Roman;Times;serif" w:hAnsi="Times New Roman;Times;serif"/>
          <w:sz w:val="2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TRANSOCEAN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RQJQ2dWRbUGyJpSq2B0n-w_3_4"/>
      <w:bookmarkStart w:id="4" w:name="Tc_wtzniqVLdEWii6UpK2zslg_3_2"/>
      <w:bookmarkStart w:id="5" w:name="Tc_LBVppP1-5U-1_AUkUPy7jw_3_0"/>
      <w:bookmarkStart w:id="6" w:name="Tc_ZEvAgA3GQEatTU3MiMP9Mw_2_4"/>
      <w:bookmarkStart w:id="7" w:name="Tc_hB3Oa95Jr0KRb4HenAToXA_2_2"/>
      <w:bookmarkStart w:id="8" w:name="Tc_-1HVTZAk6kaKa1DUUMMBpA_2_0"/>
      <w:bookmarkStart w:id="9" w:name="_97099f8b_6d91_4212_ac39_f0329140466e"/>
      <w:bookmarkStart w:id="10" w:name="Tc_RQJQ2dWRbUGyJpSq2B0n-w_3_4"/>
      <w:bookmarkStart w:id="11" w:name="Tc_wtzniqVLdEWii6UpK2zslg_3_2"/>
      <w:bookmarkStart w:id="12" w:name="Tc_LBVppP1-5U-1_AUkUPy7jw_3_0"/>
      <w:bookmarkStart w:id="13" w:name="Tc_ZEvAgA3GQEatTU3MiMP9Mw_2_4"/>
      <w:bookmarkStart w:id="14" w:name="Tc_hB3Oa95Jr0KRb4HenAToXA_2_2"/>
      <w:bookmarkStart w:id="15" w:name="Tc_-1HVTZAk6kaKa1DUUMMBpA_2_0"/>
      <w:bookmarkStart w:id="16" w:name="_97099f8b_6d91_4212_ac39_f0329140466e"/>
      <w:bookmarkEnd w:id="10"/>
      <w:bookmarkEnd w:id="11"/>
      <w:bookmarkEnd w:id="12"/>
      <w:bookmarkEnd w:id="13"/>
      <w:bookmarkEnd w:id="14"/>
      <w:bookmarkEnd w:id="15"/>
      <w:bookmarkEnd w:id="16"/>
    </w:p>
    <w:tbl>
      <w:tblPr>
        <w:tblW w:w="6110" w:type="dxa"/>
        <w:jc w:val="left"/>
        <w:tblInd w:w="0" w:type="dxa"/>
        <w:tblLayout w:type="fixed"/>
        <w:tblCellMar>
          <w:top w:w="0" w:type="dxa"/>
          <w:left w:w="0" w:type="dxa"/>
          <w:bottom w:w="0" w:type="dxa"/>
          <w:right w:w="0" w:type="dxa"/>
        </w:tblCellMar>
      </w:tblPr>
      <w:tblGrid>
        <w:gridCol w:w="2581"/>
        <w:gridCol w:w="346"/>
        <w:gridCol w:w="1186"/>
        <w:gridCol w:w="34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Switzerland</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001-38373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98-0599916</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lIrfOaahx06oNR22Gnn3XA_4_2"/>
      <w:bookmarkStart w:id="18" w:name="Tc_sFE42PEt80qQ3RL7r_XT9A_4_0"/>
      <w:bookmarkStart w:id="19" w:name="Tc_0BaBsqY3kUuMmBf15vst9A_2_0"/>
      <w:bookmarkStart w:id="20" w:name="_9471b4bf_9661_43a6_adc8_d44ad8e8b2df"/>
      <w:bookmarkStart w:id="21" w:name="Tc_lIrfOaahx06oNR22Gnn3XA_4_2"/>
      <w:bookmarkStart w:id="22" w:name="Tc_sFE42PEt80qQ3RL7r_XT9A_4_0"/>
      <w:bookmarkStart w:id="23" w:name="Tc_0BaBsqY3kUuMmBf15vst9A_2_0"/>
      <w:bookmarkStart w:id="24" w:name="_9471b4bf_9661_43a6_adc8_d44ad8e8b2df"/>
      <w:bookmarkEnd w:id="21"/>
      <w:bookmarkEnd w:id="22"/>
      <w:bookmarkEnd w:id="23"/>
      <w:bookmarkEnd w:id="24"/>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Turmstrasse 30</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Steinhausen, Switzerland</w:t>
            </w:r>
            <w:r>
              <w:rPr>
                <w:rFonts w:ascii="Times New Roman;Times;serif" w:hAnsi="Times New Roman;Times;serif"/>
                <w:sz w:val="24"/>
              </w:rPr>
              <w:t xml:space="preserve"> </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CH-6312</w:t>
            </w:r>
          </w:p>
        </w:tc>
      </w:tr>
      <w:tr>
        <w:trPr/>
        <w:tc>
          <w:tcPr>
            <w:tcW w:w="33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w:t>
      </w:r>
      <w:r>
        <w:rPr>
          <w:rFonts w:ascii="Times New Roman;Times;serif" w:hAnsi="Times New Roman;Times;serif"/>
          <w:sz w:val="24"/>
        </w:rPr>
        <w:t xml:space="preserve"> </w:t>
      </w:r>
      <w:r>
        <w:rPr>
          <w:rFonts w:ascii="Times New Roman;Times;serif" w:hAnsi="Times New Roman;Times;serif"/>
          <w:b/>
          <w:sz w:val="20"/>
        </w:rPr>
        <w:t>(41) 749-0500</w:t>
      </w:r>
    </w:p>
    <w:p>
      <w:pPr>
        <w:pStyle w:val="TextBody"/>
        <w:bidi w:val="0"/>
        <w:spacing w:before="0" w:after="120"/>
        <w:ind w:left="0" w:right="0" w:hanging="0"/>
        <w:jc w:val="both"/>
        <w:rPr/>
      </w:pPr>
      <w:r>
        <w:rPr>
          <w:u w:val="single"/>
        </w:rPr>
        <w:t>​ ​</w:t>
      </w: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Soliciting material pursuant to Rule 14a-12 under the Exchange Act (17 CFR 240.14a-12) </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360" w:right="0" w:hanging="0"/>
        <w:jc w:val="left"/>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 xml:space="preserve">Pre-commencement communications pursuant to Rule 13e-4(c) under the Exchange Act (17 CFR 240.13e-4(c)) </w:t>
      </w:r>
    </w:p>
    <w:p>
      <w:pPr>
        <w:pStyle w:val="Normal"/>
        <w:bidi w:val="0"/>
        <w:spacing w:before="0" w:after="0"/>
        <w:jc w:val="left"/>
        <w:rPr>
          <w:sz w:val="4"/>
          <w:szCs w:val="4"/>
        </w:rPr>
      </w:pPr>
      <w:r>
        <w:rPr>
          <w:sz w:val="4"/>
          <w:szCs w:val="4"/>
        </w:rPr>
      </w:r>
      <w:bookmarkStart w:id="25" w:name="Tc_mKruLXlfIkS7clQLT4ELgA_3_0"/>
      <w:bookmarkStart w:id="26" w:name="Tc_z9EJ8lDumkiHw1HPI4NNTA_2_2"/>
      <w:bookmarkStart w:id="27" w:name="Tc_7mP8kxNl0kuMO6VkiDd-DA_2_1"/>
      <w:bookmarkStart w:id="28" w:name="Tc_nUQGdCC8bUOlsaff8Wuvyg_2_0"/>
      <w:bookmarkStart w:id="29" w:name="Tc_yqEx_Sju30mDbbiKt0TgrA_1_0"/>
      <w:bookmarkStart w:id="30" w:name="_8dd5d2dc_c168_404c_b78e_10bd7467f0ed"/>
      <w:bookmarkStart w:id="31" w:name="Tc_mKruLXlfIkS7clQLT4ELgA_3_0"/>
      <w:bookmarkStart w:id="32" w:name="Tc_z9EJ8lDumkiHw1HPI4NNTA_2_2"/>
      <w:bookmarkStart w:id="33" w:name="Tc_7mP8kxNl0kuMO6VkiDd-DA_2_1"/>
      <w:bookmarkStart w:id="34" w:name="Tc_nUQGdCC8bUOlsaff8Wuvyg_2_0"/>
      <w:bookmarkStart w:id="35" w:name="Tc_yqEx_Sju30mDbbiKt0TgrA_1_0"/>
      <w:bookmarkStart w:id="36" w:name="_8dd5d2dc_c168_404c_b78e_10bd7467f0ed"/>
      <w:bookmarkEnd w:id="31"/>
      <w:bookmarkEnd w:id="32"/>
      <w:bookmarkEnd w:id="33"/>
      <w:bookmarkEnd w:id="34"/>
      <w:bookmarkEnd w:id="35"/>
      <w:bookmarkEnd w:id="36"/>
    </w:p>
    <w:tbl>
      <w:tblPr>
        <w:tblW w:w="7188" w:type="dxa"/>
        <w:jc w:val="left"/>
        <w:tblInd w:w="0" w:type="dxa"/>
        <w:tblLayout w:type="fixed"/>
        <w:tblCellMar>
          <w:top w:w="0" w:type="dxa"/>
          <w:left w:w="0" w:type="dxa"/>
          <w:bottom w:w="0" w:type="dxa"/>
          <w:right w:w="0" w:type="dxa"/>
        </w:tblCellMar>
      </w:tblPr>
      <w:tblGrid>
        <w:gridCol w:w="1996"/>
        <w:gridCol w:w="1426"/>
        <w:gridCol w:w="3766"/>
      </w:tblGrid>
      <w:tr>
        <w:trPr/>
        <w:tc>
          <w:tcPr>
            <w:tcW w:w="199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7188" w:type="dxa"/>
            <w:gridSpan w:val="3"/>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Shares, $0.10 par value</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RIG</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bookmarkStart w:id="37" w:name="_720414cf_8f6d_48ff_9109_605ed16fce45"/>
      <w:bookmarkEnd w:id="37"/>
      <w:r>
        <w:rPr>
          <w:rFonts w:ascii="Times New Roman;Times;serif" w:hAnsi="Times New Roman;Times;serif"/>
          <w:b/>
          <w:i w:val="false"/>
          <w:caps w:val="false"/>
          <w:smallCaps w:val="false"/>
          <w:sz w:val="22"/>
        </w:rPr>
        <w:t>Item 7.01</w:t>
      </w:r>
      <w:r>
        <w:rPr>
          <w:rFonts w:ascii="Times New Roman;Times;serif" w:hAnsi="Times New Roman;Times;serif"/>
          <w:b/>
          <w:sz w:val="22"/>
        </w:rPr>
        <w:t xml:space="preserve">Regulation FD Disclosure.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Transocean Ltd. (NYSE: RIG) (“Transocean”) today announced a two-year binding Letter of Award for the </w:t>
      </w:r>
      <w:r>
        <w:rPr>
          <w:rFonts w:ascii="Times New Roman;Times;serif" w:hAnsi="Times New Roman;Times;serif"/>
          <w:i/>
          <w:sz w:val="22"/>
        </w:rPr>
        <w:t>Dhirubhai Deepwater KG2</w:t>
      </w:r>
      <w:r>
        <w:rPr>
          <w:rFonts w:ascii="Times New Roman;Times;serif" w:hAnsi="Times New Roman;Times;serif"/>
          <w:sz w:val="22"/>
        </w:rPr>
        <w:t xml:space="preserve"> with ONGC in India. The campaign is expected to commence in the first quarter of 2027 and contribute approximately $300 million in contract value, inclusive of additional services and mobilization fees. The contract includes two years of priced options that, if fully exercised, would result in the drillship working in India into early 2031. </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2"/>
        </w:rPr>
        <w:t xml:space="preserve">A copy of the press release announcing the fixture referred to above is attached hereto and incorporated herein by reference as </w:t>
      </w:r>
      <w:hyperlink w:anchor="rig-20260820xex99d1.htm">
        <w:r>
          <w:rPr>
            <w:rStyle w:val="InternetLink"/>
            <w:rFonts w:ascii="Times New Roman;Times;serif" w:hAnsi="Times New Roman;Times;serif"/>
            <w:b w:val="false"/>
            <w:i w:val="false"/>
            <w:caps w:val="false"/>
            <w:smallCaps w:val="false"/>
            <w:sz w:val="22"/>
          </w:rPr>
          <w:t>Exhibit 99.1</w:t>
        </w:r>
      </w:hyperlink>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sz w:val="16"/>
              </w:rPr>
            </w:pPr>
            <w:r>
              <w:rPr>
                <w:rFonts w:ascii="Times New Roman;Times;serif" w:hAnsi="Times New Roman;Times;serif"/>
                <w:b/>
                <w:sz w:val="16"/>
              </w:rPr>
              <w:t>Exhibit No</w:t>
            </w:r>
            <w:r>
              <w:rPr>
                <w:rFonts w:ascii="Times New Roman;Times;serif" w:hAnsi="Times New Roman;Times;serif"/>
                <w:sz w:val="16"/>
              </w:rPr>
              <w:t>.</w:t>
            </w:r>
          </w:p>
        </w:tc>
        <w:tc>
          <w:tcPr>
            <w:tcW w:w="346" w:type="dxa"/>
            <w:tcBorders/>
            <w:vAlign w:val="center"/>
          </w:tcPr>
          <w:p>
            <w:pPr>
              <w:pStyle w:val="TableContents"/>
              <w:bidi w:val="0"/>
              <w:spacing w:lineRule="atLeast" w:line="180" w:before="0" w:after="0"/>
              <w:ind w:left="0" w:right="0" w:hanging="0"/>
              <w:jc w:val="left"/>
              <w:rPr/>
            </w:pPr>
            <w:r>
              <w:rPr/>
              <w:t>  ​ ​ ​</w:t>
            </w:r>
          </w:p>
        </w:tc>
        <w:tc>
          <w:tcPr>
            <w:tcW w:w="8913"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rig-20260820xex99d1.htm">
              <w:r>
                <w:rPr>
                  <w:rStyle w:val="InternetLink"/>
                  <w:rFonts w:ascii="Times New Roman;Times;serif" w:hAnsi="Times New Roman;Times;serif"/>
                  <w:b w:val="false"/>
                  <w:i w:val="false"/>
                  <w:caps w:val="false"/>
                  <w:smallCaps w:val="false"/>
                  <w:sz w:val="24"/>
                </w:rPr>
                <w:t>Transocean Ltd. Announces $300 Million Contract For Ultra-Deepwater Drillship</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Interactive data files pursuant to Rule 405 of Regulation S-T formatted in Inline Extensible Business Reporting Language</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(formatted as inline XBRL).</w:t>
            </w:r>
          </w:p>
        </w:tc>
      </w:tr>
    </w:tbl>
    <w:p>
      <w:pPr>
        <w:pStyle w:val="TextBody"/>
        <w:bidi w:val="0"/>
        <w:spacing w:before="225" w:after="225"/>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480"/>
        <w:ind w:left="0" w:right="0" w:firstLine="741"/>
        <w:jc w:val="both"/>
        <w:rPr>
          <w:rFonts w:ascii="Times New Roman;Times;serif" w:hAnsi="Times New Roman;Times;serif"/>
          <w:sz w:val="22"/>
        </w:rPr>
      </w:pPr>
      <w:r>
        <w:rPr>
          <w:rFonts w:ascii="Times New Roman;Times;serif" w:hAnsi="Times New Roman;Times;serif"/>
          <w:sz w:val="22"/>
        </w:rPr>
        <w:t xml:space="preserve">Pursuant to the requirements of the Securities Exchange Act of 1934, the Registrant has duly caused this report to be signed on its behalf by the undersigned hereunto duly authorized. </w:t>
      </w:r>
    </w:p>
    <w:tbl>
      <w:tblPr>
        <w:tblW w:w="4803" w:type="dxa"/>
        <w:jc w:val="left"/>
        <w:tblInd w:w="0" w:type="dxa"/>
        <w:tblLayout w:type="fixed"/>
        <w:tblCellMar>
          <w:top w:w="0" w:type="dxa"/>
          <w:left w:w="0" w:type="dxa"/>
          <w:bottom w:w="0" w:type="dxa"/>
          <w:right w:w="0" w:type="dxa"/>
        </w:tblCellMar>
      </w:tblPr>
      <w:tblGrid>
        <w:gridCol w:w="2251"/>
        <w:gridCol w:w="436"/>
        <w:gridCol w:w="211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tc>
      </w:tr>
      <w:tr>
        <w:trPr/>
        <w:tc>
          <w:tcPr>
            <w:tcW w:w="2251"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August 20, 2026</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Debra Kupferman</w:t>
            </w:r>
          </w:p>
        </w:tc>
      </w:tr>
      <w:tr>
        <w:trPr/>
        <w:tc>
          <w:tcPr>
            <w:tcW w:w="225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Debra Kupferman</w:t>
            </w:r>
          </w:p>
        </w:tc>
      </w:tr>
      <w:tr>
        <w:trPr/>
        <w:tc>
          <w:tcPr>
            <w:tcW w:w="225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bookmarkStart w:id="38" w:name="rig-20260820xex99d1.htm"/>
      <w:bookmarkStart w:id="39" w:name="ksrig20260820xex99d1"/>
      <w:bookmarkEnd w:id="38"/>
      <w:bookmarkEnd w:id="39"/>
      <w:r>
        <w:rPr>
          <w:rFonts w:ascii="Times New Roman;Times;serif" w:hAnsi="Times New Roman;Times;serif"/>
          <w:sz w:val="20"/>
        </w:rPr>
        <w:t>EXHIBIT 99.1</w:t>
      </w:r>
      <w:r>
        <w:br w:type="page"/>
      </w:r>
    </w:p>
    <w:p>
      <w:pPr>
        <w:pStyle w:val="TextBody"/>
        <w:bidi w:val="0"/>
        <w:jc w:val="left"/>
        <w:rPr/>
      </w:pPr>
      <w:r>
        <w:rPr/>
        <w:drawing>
          <wp:inline distT="0" distB="0" distL="0" distR="0">
            <wp:extent cx="1790700" cy="39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393700"/>
                    </a:xfrm>
                    <a:prstGeom prst="rect">
                      <a:avLst/>
                    </a:prstGeom>
                  </pic:spPr>
                </pic:pic>
              </a:graphicData>
            </a:graphic>
          </wp:inline>
        </w:drawing>
      </w:r>
    </w:p>
    <w:p>
      <w:pPr>
        <w:pStyle w:val="TextBody"/>
        <w:bidi w:val="0"/>
        <w:spacing w:before="0" w:after="0"/>
        <w:ind w:left="0" w:right="0" w:hanging="0"/>
        <w:jc w:val="both"/>
        <w:rPr/>
      </w:pPr>
      <w:bookmarkStart w:id="40" w:name="OLE_LINK1"/>
      <w:bookmarkEnd w:id="40"/>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Transocean Ltd. Announces $300 Million Contract For Ultra-Deepwater Drillship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41" w:name="_Hlk14176730"/>
      <w:bookmarkEnd w:id="41"/>
      <w:r>
        <w:rPr>
          <w:rFonts w:ascii="Times New Roman;Times;serif" w:hAnsi="Times New Roman;Times;serif"/>
          <w:sz w:val="24"/>
        </w:rPr>
        <w:t xml:space="preserve">STEINHAUSEN, Switzerland, August 20, 2026 (GLOBE NEWSWIRE) – Transocean Ltd. (NYSE: RIG) (“Transocean”) today announced a two-year binding Letter of Award for the </w:t>
      </w:r>
      <w:r>
        <w:rPr>
          <w:rFonts w:ascii="Times New Roman;Times;serif" w:hAnsi="Times New Roman;Times;serif"/>
          <w:i/>
          <w:sz w:val="24"/>
        </w:rPr>
        <w:t>Dhirubhai Deepwater KG2</w:t>
      </w:r>
      <w:r>
        <w:rPr>
          <w:rFonts w:ascii="Times New Roman;Times;serif" w:hAnsi="Times New Roman;Times;serif"/>
          <w:sz w:val="20"/>
        </w:rPr>
        <w:t xml:space="preserve"> </w:t>
      </w:r>
      <w:r>
        <w:rPr>
          <w:rFonts w:ascii="Times New Roman;Times;serif" w:hAnsi="Times New Roman;Times;serif"/>
          <w:sz w:val="24"/>
        </w:rPr>
        <w:t>with ONGC in India. The campaign is expected to commence in the first quarter of 2027 and contribute approximately $300 million in contract value, inclusive of additional services and mobilization fees. The contract includes two years of priced options that, if fully exercised, would result in the drillship working in India into early 2031.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About Transocean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owns or has partial ownership interests in and operates a fleet of 27 mobile offshore drilling units, consisting of 20 ultra-deepwater floaters and seven harsh environment floaters.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“approximately,” “if,”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GAAP financial measure reconciliations to the most comparative GAAP measure are displayed in quantitative schedules on the Company’s website at www.deepwater.com.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Analyst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Sarah Davidson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+1 713-232-7217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Media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Kristina Mays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+1 713-232-7734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1162</Words>
  <Characters>6690</Characters>
  <CharactersWithSpaces>7895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