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762d12_defa14a.htm"/>
      <w:bookmarkStart w:id="1" w:name="kstm269762d12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14, 2026 (October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TRANSOCEAN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855"/>
        <w:gridCol w:w="60"/>
        <w:gridCol w:w="1295"/>
        <w:gridCol w:w="60"/>
        <w:gridCol w:w="1775"/>
      </w:tblGrid>
      <w:tr>
        <w:trPr/>
        <w:tc>
          <w:tcPr>
            <w:tcW w:w="2855" w:type="dxa"/>
            <w:tcBorders/>
            <w:vAlign w:val="center"/>
          </w:tcPr>
          <w:p>
            <w:pPr>
              <w:pStyle w:val="TableContents"/>
              <w:bidi w:val="0"/>
              <w:spacing w:before="0" w:after="283"/>
              <w:jc w:val="center"/>
              <w:rPr>
                <w:b/>
              </w:rPr>
            </w:pPr>
            <w:r>
              <w:rPr>
                <w:b/>
              </w:rPr>
              <w:t>Switzerland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r>
              <w:rPr>
                <w:b/>
              </w:rPr>
              <w:t>001-38373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98-0599916</w:t>
            </w:r>
          </w:p>
        </w:tc>
      </w:tr>
      <w:tr>
        <w:trPr/>
        <w:tc>
          <w:tcPr>
            <w:tcW w:w="2855" w:type="dxa"/>
            <w:tcBorders/>
            <w:vAlign w:val="center"/>
          </w:tcPr>
          <w:p>
            <w:pPr>
              <w:pStyle w:val="TableContents"/>
              <w:bidi w:val="0"/>
              <w:spacing w:before="0" w:after="283"/>
              <w:jc w:val="center"/>
              <w:rPr/>
            </w:pPr>
            <w:r>
              <w:rPr/>
              <w:t>(State or other jurisdiction of</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r>
          </w:p>
        </w:tc>
      </w:tr>
      <w:tr>
        <w:trPr/>
        <w:tc>
          <w:tcPr>
            <w:tcW w:w="2855" w:type="dxa"/>
            <w:tcBorders/>
            <w:vAlign w:val="center"/>
          </w:tcPr>
          <w:p>
            <w:pPr>
              <w:pStyle w:val="TableContents"/>
              <w:bidi w:val="0"/>
              <w:spacing w:before="0" w:after="283"/>
              <w:jc w:val="center"/>
              <w:rPr/>
            </w:pPr>
            <w:r>
              <w:rPr/>
              <w:t>incorporation or organization)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755"/>
        <w:gridCol w:w="60"/>
        <w:gridCol w:w="980"/>
      </w:tblGrid>
      <w:tr>
        <w:trPr/>
        <w:tc>
          <w:tcPr>
            <w:tcW w:w="3755" w:type="dxa"/>
            <w:tcBorders/>
            <w:vAlign w:val="center"/>
          </w:tcPr>
          <w:p>
            <w:pPr>
              <w:pStyle w:val="TableContents"/>
              <w:bidi w:val="0"/>
              <w:spacing w:before="0" w:after="283"/>
              <w:jc w:val="center"/>
              <w:rPr>
                <w:b/>
              </w:rPr>
            </w:pPr>
            <w:r>
              <w:rPr>
                <w:b/>
              </w:rPr>
              <w:t>Turmstrasse 30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b/>
              </w:rPr>
            </w:pPr>
            <w:r>
              <w:rPr>
                <w:b/>
              </w:rPr>
              <w:t xml:space="preserve">Steinhausen, Switzerland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CH-6312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+41 (41) 749-0500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060" w:type="dxa"/>
        <w:jc w:val="left"/>
        <w:tblInd w:w="0" w:type="dxa"/>
        <w:tblLayout w:type="fixed"/>
        <w:tblCellMar>
          <w:top w:w="0" w:type="dxa"/>
          <w:left w:w="0" w:type="dxa"/>
          <w:bottom w:w="28" w:type="dxa"/>
          <w:right w:w="0" w:type="dxa"/>
        </w:tblCellMar>
      </w:tblPr>
      <w:tblGrid>
        <w:gridCol w:w="2255"/>
        <w:gridCol w:w="60"/>
        <w:gridCol w:w="1025"/>
        <w:gridCol w:w="60"/>
        <w:gridCol w:w="2660"/>
      </w:tblGrid>
      <w:tr>
        <w:trPr/>
        <w:tc>
          <w:tcPr>
            <w:tcW w:w="225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Ticker</w:t>
              <w:b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2255" w:type="dxa"/>
            <w:tcBorders/>
            <w:tcMar>
              <w:bottom w:w="0" w:type="dxa"/>
            </w:tcMar>
            <w:vAlign w:val="center"/>
          </w:tcPr>
          <w:p>
            <w:pPr>
              <w:pStyle w:val="TableContents"/>
              <w:bidi w:val="0"/>
              <w:spacing w:before="0" w:after="283"/>
              <w:jc w:val="center"/>
              <w:rPr/>
            </w:pPr>
            <w:r>
              <w:rPr/>
              <w:t>Shares, $0.10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r>
              <w:rPr/>
              <w:t>RIG</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pPr>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announced, on February 9, 2026, </w:t>
      </w:r>
      <w:r>
        <w:rPr>
          <w:rFonts w:ascii="Times New Roman;Times;Serif" w:hAnsi="Times New Roman;Times;Serif"/>
          <w:b w:val="false"/>
          <w:i w:val="false"/>
          <w:caps w:val="false"/>
          <w:smallCaps w:val="false"/>
          <w:color w:val="030303"/>
          <w:sz w:val="20"/>
        </w:rPr>
        <w:t>Transocean Ltd., a Swiss corporation (“</w:t>
      </w:r>
      <w:r>
        <w:rPr>
          <w:rFonts w:ascii="Times New Roman;Times;Serif" w:hAnsi="Times New Roman;Times;Serif"/>
          <w:b/>
          <w:i w:val="false"/>
          <w:caps w:val="false"/>
          <w:smallCaps w:val="false"/>
          <w:color w:val="030303"/>
          <w:sz w:val="20"/>
        </w:rPr>
        <w:t>Transocean</w:t>
      </w:r>
      <w:r>
        <w:rPr>
          <w:rFonts w:ascii="Times New Roman;Times;Serif" w:hAnsi="Times New Roman;Times;Serif"/>
          <w:b w:val="false"/>
          <w:i w:val="false"/>
          <w:caps w:val="false"/>
          <w:smallCaps w:val="false"/>
          <w:color w:val="030303"/>
          <w:sz w:val="20"/>
        </w:rPr>
        <w:t xml:space="preserve">”), and </w:t>
      </w:r>
      <w:r>
        <w:rPr>
          <w:rFonts w:ascii="Times New Roman;Times;Serif" w:hAnsi="Times New Roman;Times;Serif"/>
          <w:b w:val="false"/>
          <w:i w:val="false"/>
          <w:caps w:val="false"/>
          <w:smallCaps w:val="false"/>
          <w:sz w:val="20"/>
        </w:rPr>
        <w:t>Valaris Limited</w:t>
      </w:r>
      <w:r>
        <w:rPr>
          <w:rFonts w:ascii="Times New Roman;Times;Serif" w:hAnsi="Times New Roman;Times;Serif"/>
          <w:b w:val="false"/>
          <w:i w:val="false"/>
          <w:caps w:val="false"/>
          <w:smallCaps w:val="false"/>
          <w:color w:val="030303"/>
          <w:sz w:val="20"/>
        </w:rPr>
        <w:t>, an exempted company limited by shares incorporated under the laws of Bermuda (“</w:t>
      </w:r>
      <w:r>
        <w:rPr>
          <w:rFonts w:ascii="Times New Roman;Times;Serif" w:hAnsi="Times New Roman;Times;Serif"/>
          <w:b/>
          <w:i w:val="false"/>
          <w:caps w:val="false"/>
          <w:smallCaps w:val="false"/>
          <w:color w:val="030303"/>
          <w:sz w:val="20"/>
        </w:rPr>
        <w:t>Valaris</w:t>
      </w:r>
      <w:r>
        <w:rPr>
          <w:rFonts w:ascii="Times New Roman;Times;Serif" w:hAnsi="Times New Roman;Times;Serif"/>
          <w:b w:val="false"/>
          <w:i w:val="false"/>
          <w:caps w:val="false"/>
          <w:smallCaps w:val="false"/>
          <w:color w:val="030303"/>
          <w:sz w:val="20"/>
        </w:rPr>
        <w:t xml:space="preserve">”), </w:t>
      </w:r>
      <w:r>
        <w:rPr>
          <w:rFonts w:ascii="Times New Roman;Times;Serif" w:hAnsi="Times New Roman;Times;Serif"/>
          <w:b w:val="false"/>
          <w:i w:val="false"/>
          <w:caps w:val="false"/>
          <w:smallCaps w:val="false"/>
          <w:sz w:val="20"/>
        </w:rPr>
        <w:t>entered into a Business Combination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The Agreement provides that, among other things and upon the terms and subject to the conditions thereof, Transocean will acquire all of the issued and outstanding common shares of Valaris (the “</w:t>
      </w:r>
      <w:r>
        <w:rPr>
          <w:rFonts w:ascii="Times New Roman;Times;Serif" w:hAnsi="Times New Roman;Times;Serif"/>
          <w:b/>
          <w:i w:val="false"/>
          <w:caps w:val="false"/>
          <w:smallCaps w:val="false"/>
          <w:sz w:val="20"/>
        </w:rPr>
        <w:t>Valaris Shares</w:t>
      </w:r>
      <w:r>
        <w:rPr>
          <w:rFonts w:ascii="Times New Roman;Times;Serif" w:hAnsi="Times New Roman;Times;Serif"/>
          <w:b w:val="false"/>
          <w:i w:val="false"/>
          <w:caps w:val="false"/>
          <w:smallCaps w:val="false"/>
          <w:sz w:val="20"/>
        </w:rPr>
        <w:t>”) in exchange for 15.235 shares of Transocean per Valaris Share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Brazilian competition authorities (“</w:t>
      </w:r>
      <w:r>
        <w:rPr>
          <w:rFonts w:ascii="Times New Roman;Times;Serif" w:hAnsi="Times New Roman;Times;Serif"/>
          <w:b/>
          <w:i w:val="false"/>
          <w:caps w:val="false"/>
          <w:smallCaps w:val="false"/>
          <w:sz w:val="20"/>
        </w:rPr>
        <w:t>CADE</w:t>
      </w:r>
      <w:r>
        <w:rPr>
          <w:rFonts w:ascii="Times New Roman;Times;Serif" w:hAnsi="Times New Roman;Times;Serif"/>
          <w:b w:val="false"/>
          <w:i w:val="false"/>
          <w:caps w:val="false"/>
          <w:smallCaps w:val="false"/>
          <w:sz w:val="20"/>
        </w:rPr>
        <w:t>”) issued a decision determining that the Business Combination may be put into effect without restrictions. Transocean and Valaris expect this decision to be published in Brazil’s Official Journal on October 15, 2026 or October 16, 2026, which will trigger the start of a fifteen-day waiting period before the decision becomes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CADE’s decision becomes final, all regulatory approval conditions to the closing of the Business Combination will be satisfied. Transocean and Valaris currently anticipate that the closing of the Business Combination will occur in the fourth quarter of 2026, subject to the satisfaction or waiver of the remaining conditions to closing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 (iv) 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proposed transaction will be completed, or if it is completed, that it will close within the anticipated time period. While the list of factors presented here is, and the list of factors presented in the joint proxy statement will be,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definitive proxy statement on Schedule 14A with the SEC on October 14, 2026. The joint definitive proxy statement was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 statement and other documents filed with the SEC by Transocean or Valaris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Copies of the documents filed with the SEC by Transocean will be available free of charge on Transocean’s website at </w:t>
      </w:r>
      <w:r>
        <w:rPr>
          <w:rFonts w:ascii="Times New Roman;Times;Serif" w:hAnsi="Times New Roman;Times;Serif"/>
          <w:b w:val="false"/>
          <w:i w:val="false"/>
          <w:caps w:val="false"/>
          <w:smallCaps w:val="false"/>
          <w:sz w:val="20"/>
          <w:u w:val="single"/>
        </w:rPr>
        <w:t>www.deepwater.com</w:t>
      </w:r>
      <w:r>
        <w:rPr>
          <w:rFonts w:ascii="Times New Roman;Times;Serif" w:hAnsi="Times New Roman;Times;Serif"/>
          <w:b w:val="false"/>
          <w:i w:val="false"/>
          <w:caps w:val="false"/>
          <w:smallCaps w:val="false"/>
          <w:sz w:val="20"/>
        </w:rPr>
        <w:t> under the tab “Investors” and under the heading “SEC Filings.” Copies of the documents filed with the SEC by Valaris will be available free of charge on Valaris’ website at </w:t>
      </w:r>
      <w:r>
        <w:rPr>
          <w:rFonts w:ascii="Times New Roman;Times;Serif" w:hAnsi="Times New Roman;Times;Serif"/>
          <w:b w:val="false"/>
          <w:i w:val="false"/>
          <w:caps w:val="false"/>
          <w:smallCaps w:val="false"/>
          <w:sz w:val="20"/>
          <w:u w:val="single"/>
        </w:rPr>
        <w:t>www.valaris.com</w:t>
      </w:r>
      <w:r>
        <w:rPr>
          <w:rFonts w:ascii="Times New Roman;Times;Serif" w:hAnsi="Times New Roman;Times;Serif"/>
          <w:b w:val="false"/>
          <w:i w:val="false"/>
          <w:caps w:val="false"/>
          <w:smallCaps w:val="false"/>
          <w:sz w:val="20"/>
        </w:rPr>
        <w:t xml:space="preserve"> under the tab “Investors” and under the heading “Financials” and subheading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“FinSA”), or advertising within the meaning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925"/>
        <w:gridCol w:w="320"/>
        <w:gridCol w:w="2090"/>
      </w:tblGrid>
      <w:tr>
        <w:trPr/>
        <w:tc>
          <w:tcPr>
            <w:tcW w:w="1925"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LTD.</w:t>
            </w:r>
          </w:p>
        </w:tc>
      </w:tr>
      <w:tr>
        <w:trPr/>
        <w:tc>
          <w:tcPr>
            <w:tcW w:w="1925"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tcMar>
              <w:bottom w:w="28" w:type="dxa"/>
            </w:tcMar>
            <w:vAlign w:val="center"/>
          </w:tcPr>
          <w:p>
            <w:pPr>
              <w:pStyle w:val="TableContents"/>
              <w:bidi w:val="0"/>
              <w:spacing w:before="0" w:after="283"/>
              <w:jc w:val="left"/>
              <w:rPr/>
            </w:pPr>
            <w:r>
              <w:rPr/>
              <w:t> </w:t>
            </w:r>
            <w:r>
              <w:rPr/>
              <w:t>/s/ Debra Kupferman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Debra Kupferman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2575</Words>
  <Characters>15056</Characters>
  <CharactersWithSpaces>17652</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