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pPr>
      <w:bookmarkStart w:id="0" w:name="rig-20260915x8k.htm"/>
      <w:bookmarkStart w:id="1" w:name="ksrig20260915x8k"/>
      <w:bookmarkEnd w:id="0"/>
      <w:bookmarkEnd w:id="1"/>
      <w:r>
        <w:rPr/>
        <w:t>​</w:t>
      </w:r>
    </w:p>
    <w:p>
      <w:pPr>
        <w:pStyle w:val="TextBody"/>
        <w:bidi w:val="0"/>
        <w:spacing w:before="0" w:after="0"/>
        <w:ind w:left="0" w:right="0" w:hanging="0"/>
        <w:jc w:val="center"/>
        <w:rPr>
          <w:rFonts w:ascii="Times New Roman;Times;serif" w:hAnsi="Times New Roman;Times;serif"/>
          <w:b/>
          <w:sz w:val="24"/>
        </w:rPr>
      </w:pPr>
      <w:bookmarkStart w:id="2" w:name="_1173a2be_98ec_49f0_8be3_b4630e6cbdf4"/>
      <w:bookmarkEnd w:id="2"/>
      <w:r>
        <w:rPr>
          <w:rFonts w:ascii="Times New Roman;Times;serif" w:hAnsi="Times New Roman;Times;serif"/>
          <w:b/>
          <w:sz w:val="24"/>
        </w:rPr>
        <w:t>UNITED STATES</w:t>
        <w:br/>
        <w:t>SECURITIES AND EXCHANGE COMMISSION</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b/>
          <w:sz w:val="24"/>
        </w:rPr>
        <w:t>CURRENT REPORT</w:t>
        <w:br/>
        <w:t xml:space="preserve">Pursuant to Section 13 or 15(d) of </w:t>
        <w:br/>
        <w:t xml:space="preserve">the Securities Exchange Act of 1934 </w:t>
        <w:br/>
        <w:br/>
        <w:t>Date of report (date of earliest event reported): September 15, 2026</w:t>
      </w:r>
      <w:r>
        <w:rPr>
          <w:rFonts w:ascii="Times New Roman;Times;serif" w:hAnsi="Times New Roman;Times;serif"/>
          <w:sz w:val="24"/>
        </w:rPr>
        <w:t xml:space="preserve"> </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40"/>
        </w:rPr>
      </w:pPr>
      <w:r>
        <w:rPr>
          <w:rFonts w:ascii="Times New Roman;Times;serif" w:hAnsi="Times New Roman;Times;serif"/>
          <w:b/>
          <w:sz w:val="40"/>
        </w:rPr>
        <w:t>TRANSOCEAN LTD.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(Exact name of Registrant as specified in its charter) </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ehm9IhcK3kylr3E4un9wNw_3_4"/>
      <w:bookmarkStart w:id="4" w:name="Tc_7pWZyhJTSEWf2C0XLYQy2A_3_2"/>
      <w:bookmarkStart w:id="5" w:name="Tc_rFCkS15OJkGIh0gqNl3veQ_3_0"/>
      <w:bookmarkStart w:id="6" w:name="Tc_EEWDSg6QsUm7AwVu1SEr5w_2_4"/>
      <w:bookmarkStart w:id="7" w:name="Tc_8rYpGltnE0qtvOi92z7bAw_2_2"/>
      <w:bookmarkStart w:id="8" w:name="Tc_EVIaj5tTzkKNzyA1KtyC3g_2_0"/>
      <w:bookmarkStart w:id="9" w:name="_97099f8b_6d91_4212_ac39_f0329140466e"/>
      <w:bookmarkStart w:id="10" w:name="Tc_ehm9IhcK3kylr3E4un9wNw_3_4"/>
      <w:bookmarkStart w:id="11" w:name="Tc_7pWZyhJTSEWf2C0XLYQy2A_3_2"/>
      <w:bookmarkStart w:id="12" w:name="Tc_rFCkS15OJkGIh0gqNl3veQ_3_0"/>
      <w:bookmarkStart w:id="13" w:name="Tc_EEWDSg6QsUm7AwVu1SEr5w_2_4"/>
      <w:bookmarkStart w:id="14" w:name="Tc_8rYpGltnE0qtvOi92z7bAw_2_2"/>
      <w:bookmarkStart w:id="15" w:name="Tc_EVIaj5tTzkKNzyA1KtyC3g_2_0"/>
      <w:bookmarkStart w:id="16" w:name="_97099f8b_6d91_4212_ac39_f0329140466e"/>
      <w:bookmarkEnd w:id="10"/>
      <w:bookmarkEnd w:id="11"/>
      <w:bookmarkEnd w:id="12"/>
      <w:bookmarkEnd w:id="13"/>
      <w:bookmarkEnd w:id="14"/>
      <w:bookmarkEnd w:id="15"/>
      <w:bookmarkEnd w:id="16"/>
    </w:p>
    <w:tbl>
      <w:tblPr>
        <w:tblW w:w="6110" w:type="dxa"/>
        <w:jc w:val="left"/>
        <w:tblInd w:w="0" w:type="dxa"/>
        <w:tblLayout w:type="fixed"/>
        <w:tblCellMar>
          <w:top w:w="0" w:type="dxa"/>
          <w:left w:w="0" w:type="dxa"/>
          <w:bottom w:w="0" w:type="dxa"/>
          <w:right w:w="0" w:type="dxa"/>
        </w:tblCellMar>
      </w:tblPr>
      <w:tblGrid>
        <w:gridCol w:w="2581"/>
        <w:gridCol w:w="346"/>
        <w:gridCol w:w="1186"/>
        <w:gridCol w:w="346"/>
        <w:gridCol w:w="1651"/>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8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651" w:type="dxa"/>
            <w:tcBorders/>
            <w:vAlign w:val="center"/>
          </w:tcPr>
          <w:p>
            <w:pPr>
              <w:pStyle w:val="TableContents"/>
              <w:bidi w:val="0"/>
              <w:spacing w:before="0" w:after="283"/>
              <w:ind w:left="0" w:right="0" w:hanging="0"/>
              <w:jc w:val="left"/>
              <w:rPr>
                <w:sz w:val="4"/>
                <w:szCs w:val="4"/>
              </w:rPr>
            </w:pPr>
            <w:r>
              <w:rPr>
                <w:sz w:val="4"/>
                <w:szCs w:val="4"/>
              </w:rPr>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Switzerland</w:t>
            </w:r>
          </w:p>
        </w:tc>
        <w:tc>
          <w:tcPr>
            <w:tcW w:w="346" w:type="dxa"/>
            <w:tcBorders/>
            <w:vAlign w:val="center"/>
          </w:tcPr>
          <w:p>
            <w:pPr>
              <w:pStyle w:val="TableContents"/>
              <w:bidi w:val="0"/>
              <w:spacing w:before="0" w:after="0"/>
              <w:ind w:left="0" w:right="0" w:hanging="0"/>
              <w:jc w:val="left"/>
              <w:rPr/>
            </w:pPr>
            <w:r>
              <w:rPr/>
              <w:t>  ​ ​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001-38373</w:t>
            </w:r>
          </w:p>
        </w:tc>
        <w:tc>
          <w:tcPr>
            <w:tcW w:w="346" w:type="dxa"/>
            <w:tcBorders/>
            <w:vAlign w:val="center"/>
          </w:tcPr>
          <w:p>
            <w:pPr>
              <w:pStyle w:val="TableContents"/>
              <w:bidi w:val="0"/>
              <w:spacing w:before="0" w:after="0"/>
              <w:ind w:left="0" w:right="0" w:hanging="0"/>
              <w:jc w:val="left"/>
              <w:rPr/>
            </w:pPr>
            <w:r>
              <w:rPr/>
              <w:t>  ​ ​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98-0599916</w:t>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incorporation or organization)</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 w:name="Tc_6X16swwwsE2TKl8Jno2vRw_4_2"/>
      <w:bookmarkStart w:id="18" w:name="Tc_BBVijSsoDUKk7HCMn5uH4w_4_0"/>
      <w:bookmarkStart w:id="19" w:name="Tc_8wOfQjZrnE-K9EaVHaIPtg_2_0"/>
      <w:bookmarkStart w:id="20" w:name="_9471b4bf_9661_43a6_adc8_d44ad8e8b2df"/>
      <w:bookmarkStart w:id="21" w:name="Tc_6X16swwwsE2TKl8Jno2vRw_4_2"/>
      <w:bookmarkStart w:id="22" w:name="Tc_BBVijSsoDUKk7HCMn5uH4w_4_0"/>
      <w:bookmarkStart w:id="23" w:name="Tc_8wOfQjZrnE-K9EaVHaIPtg_2_0"/>
      <w:bookmarkStart w:id="24" w:name="_9471b4bf_9661_43a6_adc8_d44ad8e8b2df"/>
      <w:bookmarkEnd w:id="21"/>
      <w:bookmarkEnd w:id="22"/>
      <w:bookmarkEnd w:id="23"/>
      <w:bookmarkEnd w:id="24"/>
    </w:p>
    <w:tbl>
      <w:tblPr>
        <w:tblW w:w="4548" w:type="dxa"/>
        <w:jc w:val="left"/>
        <w:tblInd w:w="0" w:type="dxa"/>
        <w:tblLayout w:type="fixed"/>
        <w:tblCellMar>
          <w:top w:w="0" w:type="dxa"/>
          <w:left w:w="0" w:type="dxa"/>
          <w:bottom w:w="0" w:type="dxa"/>
          <w:right w:w="0" w:type="dxa"/>
        </w:tblCellMar>
      </w:tblPr>
      <w:tblGrid>
        <w:gridCol w:w="3301"/>
        <w:gridCol w:w="286"/>
        <w:gridCol w:w="961"/>
      </w:tblGrid>
      <w:tr>
        <w:trPr/>
        <w:tc>
          <w:tcPr>
            <w:tcW w:w="330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Turmstrasse 30</w:t>
            </w:r>
          </w:p>
        </w:tc>
        <w:tc>
          <w:tcPr>
            <w:tcW w:w="286" w:type="dxa"/>
            <w:tcBorders/>
            <w:vAlign w:val="center"/>
          </w:tcPr>
          <w:p>
            <w:pPr>
              <w:pStyle w:val="TableContents"/>
              <w:bidi w:val="0"/>
              <w:spacing w:before="0" w:after="0"/>
              <w:ind w:left="0" w:right="0" w:hanging="0"/>
              <w:jc w:val="left"/>
              <w:rPr/>
            </w:pPr>
            <w:r>
              <w:rPr/>
              <w:t>  ​ ​</w:t>
            </w:r>
          </w:p>
        </w:tc>
        <w:tc>
          <w:tcPr>
            <w:tcW w:w="961" w:type="dxa"/>
            <w:tcBorders/>
            <w:vAlign w:val="center"/>
          </w:tcPr>
          <w:p>
            <w:pPr>
              <w:pStyle w:val="TableContents"/>
              <w:bidi w:val="0"/>
              <w:spacing w:before="0" w:after="0"/>
              <w:ind w:left="0" w:right="0" w:hanging="0"/>
              <w:jc w:val="center"/>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b/>
                <w:sz w:val="20"/>
              </w:rPr>
              <w:t>Steinhausen, Switzerland</w:t>
            </w:r>
            <w:r>
              <w:rPr>
                <w:rFonts w:ascii="Times New Roman;Times;serif" w:hAnsi="Times New Roman;Times;serif"/>
                <w:sz w:val="24"/>
              </w:rPr>
              <w:t xml:space="preserve"> </w:t>
            </w:r>
          </w:p>
        </w:tc>
        <w:tc>
          <w:tcPr>
            <w:tcW w:w="28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CH-6312</w:t>
            </w:r>
          </w:p>
        </w:tc>
      </w:tr>
      <w:tr>
        <w:trPr/>
        <w:tc>
          <w:tcPr>
            <w:tcW w:w="330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28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+41</w:t>
      </w:r>
      <w:r>
        <w:rPr>
          <w:rFonts w:ascii="Times New Roman;Times;serif" w:hAnsi="Times New Roman;Times;serif"/>
          <w:sz w:val="24"/>
        </w:rPr>
        <w:t xml:space="preserve"> </w:t>
      </w:r>
      <w:r>
        <w:rPr>
          <w:rFonts w:ascii="Times New Roman;Times;serif" w:hAnsi="Times New Roman;Times;serif"/>
          <w:b/>
          <w:sz w:val="20"/>
        </w:rPr>
        <w:t>(41) 749-0500</w:t>
      </w:r>
    </w:p>
    <w:p>
      <w:pPr>
        <w:pStyle w:val="TextBody"/>
        <w:bidi w:val="0"/>
        <w:spacing w:before="0" w:after="120"/>
        <w:ind w:left="0" w:right="0" w:hanging="0"/>
        <w:jc w:val="both"/>
        <w:rPr/>
      </w:pPr>
      <w:r>
        <w:rPr>
          <w:u w:val="single"/>
        </w:rPr>
        <w:t>​ ​</w:t>
      </w: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Written communications pursuant to Rule 425 under the Securities Act (17 CFR 230.425)</w:t>
      </w:r>
    </w:p>
    <w:p>
      <w:pPr>
        <w:pStyle w:val="TextBody"/>
        <w:bidi w:val="0"/>
        <w:spacing w:before="0" w:after="0"/>
        <w:ind w:left="360" w:right="0" w:hanging="0"/>
        <w:jc w:val="left"/>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 xml:space="preserve">Soliciting material pursuant to Rule 14a-12 under the Exchange Act (17 CFR 240.14a-12) </w:t>
      </w:r>
    </w:p>
    <w:p>
      <w:pPr>
        <w:pStyle w:val="TextBody"/>
        <w:bidi w:val="0"/>
        <w:spacing w:before="0" w:after="0"/>
        <w:ind w:left="360" w:right="0" w:hanging="0"/>
        <w:jc w:val="left"/>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Pre-commencement communications pursuant to Rule 14d-2(b) under the Exchange Act (17 CFR 240.14d-2(b))</w:t>
      </w:r>
    </w:p>
    <w:p>
      <w:pPr>
        <w:pStyle w:val="TextBody"/>
        <w:bidi w:val="0"/>
        <w:spacing w:before="0" w:after="0"/>
        <w:ind w:left="360" w:right="0" w:hanging="0"/>
        <w:jc w:val="left"/>
        <w:rPr/>
      </w:pPr>
      <w:r>
        <w:rPr/>
        <w:t>​</w:t>
      </w:r>
    </w:p>
    <w:p>
      <w:pPr>
        <w:pStyle w:val="TextBody"/>
        <w:bidi w:val="0"/>
        <w:spacing w:before="0" w:after="240"/>
        <w:ind w:left="0" w:right="0" w:hanging="0"/>
        <w:jc w:val="left"/>
        <w:rPr/>
      </w:pPr>
      <w:r>
        <w:rPr>
          <w:caps w:val="false"/>
          <w:smallCaps w:val="false"/>
        </w:rPr>
        <w:t>☐</w:t>
      </w:r>
      <w:r>
        <w:rPr>
          <w:rFonts w:ascii="Times New Roman;Times;serif" w:hAnsi="Times New Roman;Times;serif"/>
          <w:sz w:val="20"/>
        </w:rPr>
        <w:t xml:space="preserve">Pre-commencement communications pursuant to Rule 13e-4(c) under the Exchange Act (17 CFR 240.13e-4(c)) </w:t>
      </w:r>
    </w:p>
    <w:p>
      <w:pPr>
        <w:pStyle w:val="Normal"/>
        <w:bidi w:val="0"/>
        <w:spacing w:before="0" w:after="0"/>
        <w:jc w:val="left"/>
        <w:rPr>
          <w:sz w:val="4"/>
          <w:szCs w:val="4"/>
        </w:rPr>
      </w:pPr>
      <w:r>
        <w:rPr>
          <w:sz w:val="4"/>
          <w:szCs w:val="4"/>
        </w:rPr>
      </w:r>
      <w:bookmarkStart w:id="25" w:name="Tc_i6m994tgbES3DKBTN6y6Tg_3_0"/>
      <w:bookmarkStart w:id="26" w:name="Tc_KwaBmb7BikWnRbjTunXIUw_2_2"/>
      <w:bookmarkStart w:id="27" w:name="Tc_3Uu1hXAv2kSfuSKy6rUngQ_2_1"/>
      <w:bookmarkStart w:id="28" w:name="Tc_7OIAaOkBL0mWwjFeUyeTxg_2_0"/>
      <w:bookmarkStart w:id="29" w:name="Tc_Q51GZmW0k0GObz917wqJBQ_1_0"/>
      <w:bookmarkStart w:id="30" w:name="_8dd5d2dc_c168_404c_b78e_10bd7467f0ed"/>
      <w:bookmarkStart w:id="31" w:name="Tc_i6m994tgbES3DKBTN6y6Tg_3_0"/>
      <w:bookmarkStart w:id="32" w:name="Tc_KwaBmb7BikWnRbjTunXIUw_2_2"/>
      <w:bookmarkStart w:id="33" w:name="Tc_3Uu1hXAv2kSfuSKy6rUngQ_2_1"/>
      <w:bookmarkStart w:id="34" w:name="Tc_7OIAaOkBL0mWwjFeUyeTxg_2_0"/>
      <w:bookmarkStart w:id="35" w:name="Tc_Q51GZmW0k0GObz917wqJBQ_1_0"/>
      <w:bookmarkStart w:id="36" w:name="_8dd5d2dc_c168_404c_b78e_10bd7467f0ed"/>
      <w:bookmarkEnd w:id="31"/>
      <w:bookmarkEnd w:id="32"/>
      <w:bookmarkEnd w:id="33"/>
      <w:bookmarkEnd w:id="34"/>
      <w:bookmarkEnd w:id="35"/>
      <w:bookmarkEnd w:id="36"/>
    </w:p>
    <w:tbl>
      <w:tblPr>
        <w:tblW w:w="7188" w:type="dxa"/>
        <w:jc w:val="left"/>
        <w:tblInd w:w="0" w:type="dxa"/>
        <w:tblLayout w:type="fixed"/>
        <w:tblCellMar>
          <w:top w:w="0" w:type="dxa"/>
          <w:left w:w="0" w:type="dxa"/>
          <w:bottom w:w="0" w:type="dxa"/>
          <w:right w:w="0" w:type="dxa"/>
        </w:tblCellMar>
      </w:tblPr>
      <w:tblGrid>
        <w:gridCol w:w="1996"/>
        <w:gridCol w:w="1426"/>
        <w:gridCol w:w="3766"/>
      </w:tblGrid>
      <w:tr>
        <w:trPr/>
        <w:tc>
          <w:tcPr>
            <w:tcW w:w="199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7188" w:type="dxa"/>
            <w:gridSpan w:val="3"/>
            <w:tcBorders/>
            <w:vAlign w:val="center"/>
          </w:tcPr>
          <w:p>
            <w:pPr>
              <w:pStyle w:val="TableContents"/>
              <w:bidi w:val="0"/>
              <w:spacing w:before="0" w:after="6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tc>
      </w:tr>
      <w:tr>
        <w:trPr/>
        <w:tc>
          <w:tcPr>
            <w:tcW w:w="199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42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Trading Symbol</w:t>
            </w:r>
          </w:p>
        </w:tc>
        <w:tc>
          <w:tcPr>
            <w:tcW w:w="376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99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Shares, $0.10 par value</w:t>
            </w:r>
          </w:p>
        </w:tc>
        <w:tc>
          <w:tcPr>
            <w:tcW w:w="142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RIG</w:t>
            </w:r>
          </w:p>
        </w:tc>
        <w:tc>
          <w:tcPr>
            <w:tcW w:w="376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r>
    </w:tbl>
    <w:p>
      <w:pPr>
        <w:pStyle w:val="TextBody"/>
        <w:bidi w:val="0"/>
        <w:spacing w:before="20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 xml:space="preserve">Emerging growth company </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bookmarkStart w:id="37" w:name="_720414cf_8f6d_48ff_9109_605ed16fce45"/>
      <w:bookmarkEnd w:id="37"/>
      <w:r>
        <w:rPr>
          <w:rFonts w:ascii="Times New Roman;Times;serif" w:hAnsi="Times New Roman;Times;serif"/>
          <w:b/>
          <w:i w:val="false"/>
          <w:caps w:val="false"/>
          <w:smallCaps w:val="false"/>
          <w:sz w:val="22"/>
        </w:rPr>
        <w:t>Item 7.01</w:t>
      </w:r>
      <w:r>
        <w:rPr>
          <w:rFonts w:ascii="Times New Roman;Times;serif" w:hAnsi="Times New Roman;Times;serif"/>
          <w:b/>
          <w:sz w:val="22"/>
        </w:rPr>
        <w:t xml:space="preserve">Regulation FD Disclosure.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Transocean Ltd. (NYSE: RIG) (“Transocean”) today announced that the </w:t>
      </w:r>
      <w:r>
        <w:rPr>
          <w:rFonts w:ascii="Times New Roman;Times;serif" w:hAnsi="Times New Roman;Times;serif"/>
          <w:i/>
          <w:sz w:val="22"/>
        </w:rPr>
        <w:t>Deepwater Conqueror</w:t>
      </w:r>
      <w:r>
        <w:rPr>
          <w:rFonts w:ascii="Times New Roman;Times;serif" w:hAnsi="Times New Roman;Times;serif"/>
          <w:sz w:val="22"/>
        </w:rPr>
        <w:t xml:space="preserve"> was awarded a two-well contract for work in Equatorial Guinea with an undisclosed operator. The estimated 170-day campaign is expected to commence in 2027 in direct continuation of the rig’s current contract in the U.S Gulf and contribute approximately $80 million in backlog, excluding additional services and compensation for mobilization and demobilization.</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2"/>
        </w:rPr>
        <w:t xml:space="preserve">A copy of the press release announcing the fixture referred to above is attached hereto and incorporated herein by reference as </w:t>
      </w:r>
      <w:hyperlink w:anchor="rig-20260915xex99d1.htm">
        <w:r>
          <w:rPr>
            <w:rStyle w:val="InternetLink"/>
            <w:rFonts w:ascii="Times New Roman;Times;serif" w:hAnsi="Times New Roman;Times;serif"/>
            <w:b w:val="false"/>
            <w:i w:val="false"/>
            <w:caps w:val="false"/>
            <w:smallCaps w:val="false"/>
            <w:sz w:val="22"/>
          </w:rPr>
          <w:t>Exhibit 99.1</w:t>
        </w:r>
      </w:hyperlink>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Item 9.01  Financial Statements and Exhibits.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(d)  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46"/>
        <w:gridCol w:w="346"/>
        <w:gridCol w:w="8913"/>
      </w:tblGrid>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r>
      <w:tr>
        <w:trPr/>
        <w:tc>
          <w:tcPr>
            <w:tcW w:w="946" w:type="dxa"/>
            <w:tcBorders>
              <w:bottom w:val="single" w:sz="2" w:space="0" w:color="000000"/>
            </w:tcBorders>
            <w:tcMar>
              <w:bottom w:w="28" w:type="dxa"/>
            </w:tcMar>
            <w:vAlign w:val="center"/>
          </w:tcPr>
          <w:p>
            <w:pPr>
              <w:pStyle w:val="TableContents"/>
              <w:bidi w:val="0"/>
              <w:spacing w:lineRule="atLeast" w:line="180" w:before="0" w:after="0"/>
              <w:ind w:left="0" w:right="0" w:hanging="0"/>
              <w:jc w:val="left"/>
              <w:rPr>
                <w:rFonts w:ascii="Times New Roman;Times;serif" w:hAnsi="Times New Roman;Times;serif"/>
                <w:sz w:val="16"/>
              </w:rPr>
            </w:pPr>
            <w:r>
              <w:rPr>
                <w:rFonts w:ascii="Times New Roman;Times;serif" w:hAnsi="Times New Roman;Times;serif"/>
                <w:b/>
                <w:sz w:val="16"/>
              </w:rPr>
              <w:t>Exhibit No</w:t>
            </w:r>
            <w:r>
              <w:rPr>
                <w:rFonts w:ascii="Times New Roman;Times;serif" w:hAnsi="Times New Roman;Times;serif"/>
                <w:sz w:val="16"/>
              </w:rPr>
              <w:t>.</w:t>
            </w:r>
          </w:p>
        </w:tc>
        <w:tc>
          <w:tcPr>
            <w:tcW w:w="346" w:type="dxa"/>
            <w:tcBorders/>
            <w:vAlign w:val="center"/>
          </w:tcPr>
          <w:p>
            <w:pPr>
              <w:pStyle w:val="TableContents"/>
              <w:bidi w:val="0"/>
              <w:spacing w:lineRule="atLeast" w:line="180" w:before="0" w:after="0"/>
              <w:ind w:left="0" w:right="0" w:hanging="0"/>
              <w:jc w:val="left"/>
              <w:rPr/>
            </w:pPr>
            <w:r>
              <w:rPr/>
              <w:t>  ​ ​ ​</w:t>
            </w:r>
          </w:p>
        </w:tc>
        <w:tc>
          <w:tcPr>
            <w:tcW w:w="8913" w:type="dxa"/>
            <w:tcBorders>
              <w:bottom w:val="single" w:sz="2" w:space="0" w:color="000000"/>
            </w:tcBorders>
            <w:tcMar>
              <w:bottom w:w="28" w:type="dxa"/>
            </w:tcMar>
            <w:vAlign w:val="center"/>
          </w:tcPr>
          <w:p>
            <w:pPr>
              <w:pStyle w:val="TableContents"/>
              <w:bidi w:val="0"/>
              <w:spacing w:lineRule="atLeast" w:line="180"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r>
      <w:tr>
        <w:trPr/>
        <w:tc>
          <w:tcPr>
            <w:tcW w:w="9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13"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99.1</w:t>
            </w:r>
          </w:p>
        </w:tc>
        <w:tc>
          <w:tcPr>
            <w:tcW w:w="346"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rig-20260915xex99d1.htm">
              <w:r>
                <w:rPr>
                  <w:rStyle w:val="InternetLink"/>
                  <w:rFonts w:ascii="Times New Roman;Times;serif" w:hAnsi="Times New Roman;Times;serif"/>
                  <w:b w:val="false"/>
                  <w:i w:val="false"/>
                  <w:caps w:val="false"/>
                  <w:smallCaps w:val="false"/>
                  <w:sz w:val="24"/>
                </w:rPr>
                <w:t>Transocean Ltd. Announces $80 Million Contract For Ultra-Deepwater Drillship</w:t>
              </w:r>
            </w:hyperlink>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101</w:t>
            </w:r>
          </w:p>
        </w:tc>
        <w:tc>
          <w:tcPr>
            <w:tcW w:w="346"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shd w:fill="FFFFFF" w:val="clear"/>
              </w:rPr>
            </w:pPr>
            <w:r>
              <w:rPr>
                <w:rFonts w:ascii="Times New Roman;Times;serif" w:hAnsi="Times New Roman;Times;serif"/>
                <w:sz w:val="22"/>
                <w:shd w:fill="FFFFFF" w:val="clear"/>
              </w:rPr>
              <w:t>Interactive data files pursuant to Rule 405 of Regulation S-T formatted in Inline Extensible Business Reporting Language</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104</w:t>
            </w:r>
          </w:p>
        </w:tc>
        <w:tc>
          <w:tcPr>
            <w:tcW w:w="346"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shd w:fill="FFFFFF" w:val="clear"/>
              </w:rPr>
            </w:pPr>
            <w:r>
              <w:rPr>
                <w:rFonts w:ascii="Times New Roman;Times;serif" w:hAnsi="Times New Roman;Times;serif"/>
                <w:sz w:val="22"/>
                <w:shd w:fill="FFFFFF" w:val="clear"/>
              </w:rPr>
              <w:t>Cover Page Interactive Data File (formatted as inline XBRL).</w:t>
            </w:r>
          </w:p>
        </w:tc>
      </w:tr>
    </w:tbl>
    <w:p>
      <w:pPr>
        <w:pStyle w:val="TextBody"/>
        <w:bidi w:val="0"/>
        <w:spacing w:before="225" w:after="225"/>
        <w:ind w:left="0" w:right="0" w:hanging="0"/>
        <w:jc w:val="left"/>
        <w:rPr/>
      </w:pPr>
      <w:r>
        <w:rPr/>
        <w:t>​</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SIGNATURES</w:t>
      </w:r>
    </w:p>
    <w:p>
      <w:pPr>
        <w:pStyle w:val="TextBody"/>
        <w:bidi w:val="0"/>
        <w:spacing w:before="0" w:after="480"/>
        <w:ind w:left="0" w:right="0" w:firstLine="741"/>
        <w:jc w:val="both"/>
        <w:rPr>
          <w:rFonts w:ascii="Times New Roman;Times;serif" w:hAnsi="Times New Roman;Times;serif"/>
          <w:sz w:val="22"/>
        </w:rPr>
      </w:pPr>
      <w:r>
        <w:rPr>
          <w:rFonts w:ascii="Times New Roman;Times;serif" w:hAnsi="Times New Roman;Times;serif"/>
          <w:sz w:val="22"/>
        </w:rPr>
        <w:t xml:space="preserve">Pursuant to the requirements of the Securities Exchange Act of 1934, the Registrant has duly caused this report to be signed on its behalf by the undersigned hereunto duly authorized. </w:t>
      </w:r>
    </w:p>
    <w:tbl>
      <w:tblPr>
        <w:tblW w:w="5118" w:type="dxa"/>
        <w:jc w:val="left"/>
        <w:tblInd w:w="0" w:type="dxa"/>
        <w:tblLayout w:type="fixed"/>
        <w:tblCellMar>
          <w:top w:w="0" w:type="dxa"/>
          <w:left w:w="0" w:type="dxa"/>
          <w:bottom w:w="0" w:type="dxa"/>
          <w:right w:w="0" w:type="dxa"/>
        </w:tblCellMar>
      </w:tblPr>
      <w:tblGrid>
        <w:gridCol w:w="2566"/>
        <w:gridCol w:w="436"/>
        <w:gridCol w:w="2116"/>
      </w:tblGrid>
      <w:tr>
        <w:trPr/>
        <w:tc>
          <w:tcPr>
            <w:tcW w:w="2566" w:type="dxa"/>
            <w:tcBorders/>
            <w:vAlign w:val="center"/>
          </w:tcPr>
          <w:p>
            <w:pPr>
              <w:pStyle w:val="TableContents"/>
              <w:bidi w:val="0"/>
              <w:spacing w:before="0" w:after="283"/>
              <w:ind w:left="0" w:right="0" w:hanging="0"/>
              <w:jc w:val="left"/>
              <w:rPr>
                <w:sz w:val="4"/>
                <w:szCs w:val="4"/>
              </w:rPr>
            </w:pPr>
            <w:r>
              <w:rPr>
                <w:sz w:val="4"/>
                <w:szCs w:val="4"/>
              </w:rPr>
            </w:r>
          </w:p>
        </w:tc>
        <w:tc>
          <w:tcPr>
            <w:tcW w:w="436" w:type="dxa"/>
            <w:tcBorders/>
            <w:vAlign w:val="center"/>
          </w:tcPr>
          <w:p>
            <w:pPr>
              <w:pStyle w:val="TableContents"/>
              <w:bidi w:val="0"/>
              <w:spacing w:before="0" w:after="283"/>
              <w:ind w:left="0" w:right="0" w:hanging="0"/>
              <w:jc w:val="left"/>
              <w:rPr>
                <w:sz w:val="4"/>
                <w:szCs w:val="4"/>
              </w:rPr>
            </w:pPr>
            <w:r>
              <w:rPr>
                <w:sz w:val="4"/>
                <w:szCs w:val="4"/>
              </w:rPr>
            </w:r>
          </w:p>
        </w:tc>
        <w:tc>
          <w:tcPr>
            <w:tcW w:w="2116" w:type="dxa"/>
            <w:tcBorders/>
            <w:vAlign w:val="center"/>
          </w:tcPr>
          <w:p>
            <w:pPr>
              <w:pStyle w:val="TableContents"/>
              <w:bidi w:val="0"/>
              <w:spacing w:before="0" w:after="283"/>
              <w:ind w:left="0" w:right="0" w:hanging="0"/>
              <w:jc w:val="left"/>
              <w:rPr>
                <w:sz w:val="4"/>
                <w:szCs w:val="4"/>
              </w:rPr>
            </w:pPr>
            <w:r>
              <w:rPr>
                <w:sz w:val="4"/>
                <w:szCs w:val="4"/>
              </w:rPr>
            </w:r>
          </w:p>
        </w:tc>
      </w:tr>
      <w:tr>
        <w:trPr/>
        <w:tc>
          <w:tcPr>
            <w:tcW w:w="2566" w:type="dxa"/>
            <w:tcBorders/>
            <w:vAlign w:val="center"/>
          </w:tcPr>
          <w:p>
            <w:pPr>
              <w:pStyle w:val="TableContents"/>
              <w:bidi w:val="0"/>
              <w:spacing w:before="0" w:after="0"/>
              <w:ind w:left="0" w:right="0" w:hanging="0"/>
              <w:jc w:val="left"/>
              <w:rPr/>
            </w:pPr>
            <w:r>
              <w:rPr/>
              <w:t>​</w:t>
            </w:r>
          </w:p>
        </w:tc>
        <w:tc>
          <w:tcPr>
            <w:tcW w:w="2552"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TRANSOCEAN LTD.</w:t>
            </w:r>
          </w:p>
        </w:tc>
      </w:tr>
      <w:tr>
        <w:trPr/>
        <w:tc>
          <w:tcPr>
            <w:tcW w:w="2566" w:type="dxa"/>
            <w:tcBorders/>
            <w:vAlign w:val="center"/>
          </w:tcPr>
          <w:p>
            <w:pPr>
              <w:pStyle w:val="TableContents"/>
              <w:bidi w:val="0"/>
              <w:spacing w:before="0" w:after="0"/>
              <w:ind w:left="0" w:right="0" w:hanging="0"/>
              <w:jc w:val="left"/>
              <w:rPr/>
            </w:pPr>
            <w:r>
              <w:rPr/>
              <w:t>​</w:t>
            </w:r>
          </w:p>
        </w:tc>
        <w:tc>
          <w:tcPr>
            <w:tcW w:w="2552" w:type="dxa"/>
            <w:gridSpan w:val="2"/>
            <w:tcBorders/>
            <w:vAlign w:val="center"/>
          </w:tcPr>
          <w:p>
            <w:pPr>
              <w:pStyle w:val="TableContents"/>
              <w:bidi w:val="0"/>
              <w:spacing w:before="0" w:after="0"/>
              <w:ind w:left="0" w:right="0" w:hanging="0"/>
              <w:jc w:val="left"/>
              <w:rPr/>
            </w:pPr>
            <w:r>
              <w:rPr/>
              <w:t>​</w:t>
            </w:r>
          </w:p>
        </w:tc>
      </w:tr>
      <w:tr>
        <w:trPr/>
        <w:tc>
          <w:tcPr>
            <w:tcW w:w="2566" w:type="dxa"/>
            <w:tcBorders/>
            <w:vAlign w:val="center"/>
          </w:tcPr>
          <w:p>
            <w:pPr>
              <w:pStyle w:val="TableContents"/>
              <w:bidi w:val="0"/>
              <w:spacing w:before="0" w:after="0"/>
              <w:ind w:left="0" w:right="0" w:hanging="0"/>
              <w:jc w:val="left"/>
              <w:rPr/>
            </w:pPr>
            <w:r>
              <w:rPr/>
              <w:t>​</w:t>
            </w:r>
          </w:p>
        </w:tc>
        <w:tc>
          <w:tcPr>
            <w:tcW w:w="2552" w:type="dxa"/>
            <w:gridSpan w:val="2"/>
            <w:tcBorders/>
            <w:vAlign w:val="center"/>
          </w:tcPr>
          <w:p>
            <w:pPr>
              <w:pStyle w:val="TableContents"/>
              <w:bidi w:val="0"/>
              <w:spacing w:before="0" w:after="0"/>
              <w:ind w:left="0" w:right="0" w:hanging="0"/>
              <w:jc w:val="left"/>
              <w:rPr/>
            </w:pPr>
            <w:r>
              <w:rPr/>
              <w:t>​</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Date: September 15, 2026</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21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Debra Kupferman</w:t>
            </w:r>
          </w:p>
        </w:tc>
      </w:tr>
      <w:tr>
        <w:trPr/>
        <w:tc>
          <w:tcPr>
            <w:tcW w:w="25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21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Debra Kupferman</w:t>
            </w:r>
          </w:p>
        </w:tc>
      </w:tr>
      <w:tr>
        <w:trPr/>
        <w:tc>
          <w:tcPr>
            <w:tcW w:w="25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21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Authorized Person</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20"/>
        </w:rPr>
      </w:pPr>
      <w:bookmarkStart w:id="38" w:name="rig-20260915xex99d1.htm"/>
      <w:bookmarkStart w:id="39" w:name="ksrig20260915xex99d1"/>
      <w:bookmarkEnd w:id="38"/>
      <w:bookmarkEnd w:id="39"/>
      <w:r>
        <w:rPr>
          <w:rFonts w:ascii="Times New Roman;Times;serif" w:hAnsi="Times New Roman;Times;serif"/>
          <w:sz w:val="20"/>
        </w:rPr>
        <w:t>EXHIBIT 99.1</w:t>
      </w:r>
      <w:r>
        <w:br w:type="page"/>
      </w:r>
    </w:p>
    <w:p>
      <w:pPr>
        <w:pStyle w:val="TextBody"/>
        <w:bidi w:val="0"/>
        <w:jc w:val="left"/>
        <w:rPr/>
      </w:pPr>
      <w:r>
        <w:rPr/>
        <w:drawing>
          <wp:inline distT="0" distB="0" distL="0" distR="0">
            <wp:extent cx="1790700" cy="393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90700" cy="393700"/>
                    </a:xfrm>
                    <a:prstGeom prst="rect">
                      <a:avLst/>
                    </a:prstGeom>
                  </pic:spPr>
                </pic:pic>
              </a:graphicData>
            </a:graphic>
          </wp:inline>
        </w:drawing>
      </w:r>
    </w:p>
    <w:p>
      <w:pPr>
        <w:pStyle w:val="TextBody"/>
        <w:bidi w:val="0"/>
        <w:spacing w:before="0" w:after="0"/>
        <w:ind w:left="0" w:right="0" w:hanging="0"/>
        <w:jc w:val="both"/>
        <w:rPr/>
      </w:pPr>
      <w:bookmarkStart w:id="40" w:name="OLE_LINK1"/>
      <w:bookmarkEnd w:id="40"/>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8"/>
        </w:rPr>
      </w:pPr>
      <w:r>
        <w:rPr>
          <w:rFonts w:ascii="Times New Roman;Times;serif" w:hAnsi="Times New Roman;Times;serif"/>
          <w:b/>
          <w:sz w:val="28"/>
        </w:rPr>
        <w:t>Transocean Ltd. Announces $80 Million Contract For Ultra-Deepwater Drillship</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bookmarkStart w:id="41" w:name="_Hlk14176730"/>
      <w:bookmarkEnd w:id="41"/>
      <w:r>
        <w:rPr>
          <w:rFonts w:ascii="Times New Roman;Times;serif" w:hAnsi="Times New Roman;Times;serif"/>
          <w:sz w:val="24"/>
        </w:rPr>
        <w:t xml:space="preserve">STEINHAUSEN, Switzerland, September 15, 2026 (GLOBE NEWSWIRE) – Transocean Ltd. (NYSE: RIG) (“Transocean”) today announced that the </w:t>
      </w:r>
      <w:r>
        <w:rPr>
          <w:rFonts w:ascii="Times New Roman;Times;serif" w:hAnsi="Times New Roman;Times;serif"/>
          <w:i/>
          <w:sz w:val="24"/>
        </w:rPr>
        <w:t>Deepwater Conqueror</w:t>
      </w:r>
      <w:r>
        <w:rPr>
          <w:rFonts w:ascii="Times New Roman;Times;serif" w:hAnsi="Times New Roman;Times;serif"/>
          <w:sz w:val="20"/>
        </w:rPr>
        <w:t xml:space="preserve"> </w:t>
      </w:r>
      <w:r>
        <w:rPr>
          <w:rFonts w:ascii="Times New Roman;Times;serif" w:hAnsi="Times New Roman;Times;serif"/>
          <w:sz w:val="24"/>
        </w:rPr>
        <w:t>was awarded a two-well contract for work in Equatorial Guinea with an undisclosed operator. The estimated 170-day campaign is expected to commence in 2027 in direct continuation of the rig’s current contract in the U.S Gulf and contribute approximately $80 million in backlog, excluding additional services and compensation for mobilization and demobilization.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 xml:space="preserve">About Transocean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Transocean is a leading international provider of offshore contract drilling services for oil and gas wells. The Company specializes in technically demanding sectors of the global offshore drilling business with a particular focus on ultra-deepwater and harsh environment drilling services and operates the highest specification floating offshore drilling fleet in the world.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Transocean owns or has partial ownership interests in and operates a fleet of 27 mobile offshore drilling units, consisting of 20 ultra-deepwater floaters and seven harsh environment floaters.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Forward-Looking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The statements described herein that are not historical facts are forward-looking statements within the meaning of Section 27A of the Securities Act of 1933, as amended, and Section 21E of the Securities Exchange Act of 1934, as amended. These statements could contain words such as “expected,” “estimated,” “approximately,” or other similar expressions. Forward-looking statements are based on management’s current expectations and assumptions, and are subject to inherent uncertainties, risks and changes in circumstances that are beyond our control, and in many cases, cannot be predicted. Should one or more of these risks or uncertainties materialize, or should underlying assumptions prove incorrect, actual results may vary materially from those indicated. Factors that could cause actual results to differ materially include, but are not limited to, the level of activity in offshore oil and gas exploration and development, exploration success by producers, operating hazards and delays, risks associated with international operations, actions by customers and other third parties, the fluctuation of current and future prices of oil and gas, the global and regional supply and demand for oil and gas, the intention to scrap certain drilling rigs, the effects of the spread of and mitigation efforts by governments, businesses and individuals related to contagious illnesses, and other factors, including our expectations regarding the timing, completion and anticipated benefits of the proposed business combination with Valaris Limited, an exempted company limited by shares incorporated under the laws of Bermuda, and other risks discussed in the Company's most recent Annual Report on Form 10-K for the year ended December 31, 2025, and in the Company's other filings with the SEC, which are available free of charge on the SEC's website at: www.sec.gov. 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 speaks only as of the date of the particular statement. We expressly disclaim any obligations or undertaking to release publicly any updates or revisions to any forward-looking statement to reflect any change in our expectations or beliefs with regard to the statement or any change in events, conditions or circumstances on which any forward-looking statement is based, except as required by law. All non-</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GAAP financial measure reconciliations to the most comparative GAAP measure are displayed in quantitative schedules on the Company’s website at www.deepwater.com.</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This press release, or referenced documents, do not constitute an offer to sell, or a solicitation of an offer to buy, any securities, and do not constitute an offering prospectus within the meaning of the Swiss Financial Services Act (“FinSA”) or advertising within the meaning of the FinSA. Nothing contained herein is, or shall be relied on as, a promise or representation as to the future performance of Transocean. Investors must rely on their own evaluation of Transocean and its securities, including the merits and risks involved, when making any investment decision involving Transocean securities.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Analyst Contact: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 xml:space="preserve">Sarah Davidson </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+1 713-232-7217</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Media Contact: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Kristina Mays</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+1 713-232-7734</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1144</Words>
  <Characters>6682</Characters>
  <CharactersWithSpaces>7868</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