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0"/>
        <w:ind w:left="0" w:right="0" w:hanging="0"/>
        <w:jc w:val="center"/>
        <w:rPr>
          <w:rFonts w:ascii="Arial Narrow" w:hAnsi="Arial Narrow"/>
          <w:b/>
          <w:sz w:val="20"/>
        </w:rPr>
      </w:pPr>
      <w:bookmarkStart w:id="0" w:name="_56f25720_46fc_4c31_aa91_8744c1c756c9"/>
      <w:bookmarkStart w:id="1" w:name="rig-20260805x8k.htm"/>
      <w:bookmarkStart w:id="2" w:name="ksrig20260805x8k"/>
      <w:bookmarkEnd w:id="0"/>
      <w:bookmarkEnd w:id="1"/>
      <w:bookmarkEnd w:id="2"/>
      <w:r>
        <w:rPr>
          <w:rFonts w:ascii="Arial Narrow" w:hAnsi="Arial Narrow"/>
          <w:b/>
          <w:sz w:val="20"/>
        </w:rPr>
        <w:t>UNITED STATES</w:t>
      </w:r>
    </w:p>
    <w:p>
      <w:pPr>
        <w:pStyle w:val="TextBody"/>
        <w:bidi w:val="0"/>
        <w:spacing w:before="0" w:after="0"/>
        <w:ind w:left="0" w:right="0" w:hanging="0"/>
        <w:jc w:val="center"/>
        <w:rPr>
          <w:rFonts w:ascii="Arial Narrow" w:hAnsi="Arial Narrow"/>
          <w:b/>
          <w:sz w:val="20"/>
        </w:rPr>
      </w:pPr>
      <w:r>
        <w:rPr>
          <w:rFonts w:ascii="Arial Narrow" w:hAnsi="Arial Narrow"/>
          <w:b/>
          <w:sz w:val="20"/>
        </w:rPr>
        <w:t>SECURITIES AND EXCHANGE COMMISSION</w:t>
      </w:r>
    </w:p>
    <w:p>
      <w:pPr>
        <w:pStyle w:val="TextBody"/>
        <w:bidi w:val="0"/>
        <w:spacing w:before="0" w:after="0"/>
        <w:ind w:left="0" w:right="0" w:hanging="0"/>
        <w:jc w:val="center"/>
        <w:rPr>
          <w:rFonts w:ascii="Arial Narrow" w:hAnsi="Arial Narrow"/>
          <w:b/>
          <w:sz w:val="20"/>
        </w:rPr>
      </w:pPr>
      <w:r>
        <w:rPr>
          <w:rFonts w:ascii="Arial Narrow" w:hAnsi="Arial Narrow"/>
          <w:b/>
          <w:sz w:val="20"/>
        </w:rPr>
        <w:t>Washington, D.C. 20549</w:t>
      </w:r>
    </w:p>
    <w:p>
      <w:pPr>
        <w:pStyle w:val="TextBody"/>
        <w:bidi w:val="0"/>
        <w:spacing w:before="0" w:after="0"/>
        <w:ind w:left="0" w:right="0" w:hanging="0"/>
        <w:jc w:val="center"/>
        <w:rPr>
          <w:rFonts w:ascii="Arial Narrow" w:hAnsi="Arial Narrow"/>
          <w:b/>
          <w:sz w:val="28"/>
        </w:rPr>
      </w:pPr>
      <w:r>
        <w:rPr>
          <w:rFonts w:ascii="Arial Narrow" w:hAnsi="Arial Narrow"/>
          <w:b/>
          <w:sz w:val="28"/>
        </w:rPr>
        <w:t>FORM 8-K</w:t>
      </w:r>
    </w:p>
    <w:p>
      <w:pPr>
        <w:pStyle w:val="TextBody"/>
        <w:bidi w:val="0"/>
        <w:spacing w:before="0" w:after="0"/>
        <w:ind w:left="0" w:right="0" w:hanging="0"/>
        <w:jc w:val="center"/>
        <w:rPr/>
      </w:pPr>
      <w:r>
        <w:rPr/>
        <w:t>​</w:t>
      </w:r>
    </w:p>
    <w:p>
      <w:pPr>
        <w:pStyle w:val="TextBody"/>
        <w:bidi w:val="0"/>
        <w:spacing w:before="80" w:after="0"/>
        <w:ind w:left="0" w:right="0" w:hanging="0"/>
        <w:jc w:val="center"/>
        <w:rPr>
          <w:rFonts w:ascii="Arial Narrow" w:hAnsi="Arial Narrow"/>
          <w:b/>
          <w:sz w:val="28"/>
        </w:rPr>
      </w:pPr>
      <w:r>
        <w:rPr>
          <w:rFonts w:ascii="Arial Narrow" w:hAnsi="Arial Narrow"/>
          <w:b/>
          <w:sz w:val="28"/>
        </w:rPr>
        <w:t>CURRENT REPORT</w:t>
      </w:r>
    </w:p>
    <w:p>
      <w:pPr>
        <w:pStyle w:val="TextBody"/>
        <w:bidi w:val="0"/>
        <w:spacing w:before="80" w:after="0"/>
        <w:ind w:left="0" w:right="0" w:hanging="0"/>
        <w:jc w:val="center"/>
        <w:rPr>
          <w:rFonts w:ascii="Arial Narrow" w:hAnsi="Arial Narrow"/>
          <w:sz w:val="20"/>
        </w:rPr>
      </w:pPr>
      <w:r>
        <w:rPr>
          <w:rFonts w:ascii="Arial Narrow" w:hAnsi="Arial Narrow"/>
          <w:sz w:val="20"/>
        </w:rPr>
        <w:t>PURSUANT TO SECTION 13 OR 15(d) OF THE SECURITIES EXCHANGE ACT OF 1934</w:t>
      </w:r>
    </w:p>
    <w:p>
      <w:pPr>
        <w:pStyle w:val="TextBody"/>
        <w:bidi w:val="0"/>
        <w:spacing w:before="0" w:after="0"/>
        <w:ind w:left="0" w:right="0" w:hanging="0"/>
        <w:jc w:val="center"/>
        <w:rPr>
          <w:rFonts w:ascii="Arial Narrow" w:hAnsi="Arial Narrow"/>
          <w:sz w:val="20"/>
        </w:rPr>
      </w:pPr>
      <w:r>
        <w:rPr>
          <w:rFonts w:ascii="Arial Narrow" w:hAnsi="Arial Narrow"/>
          <w:sz w:val="20"/>
        </w:rPr>
        <w:t xml:space="preserve">Date of report (date of earliest event reported): </w:t>
      </w:r>
      <w:r>
        <w:rPr>
          <w:rFonts w:ascii="Arial Narrow" w:hAnsi="Arial Narrow"/>
          <w:b/>
          <w:sz w:val="20"/>
        </w:rPr>
        <w:t>August 5, 2026</w:t>
      </w:r>
    </w:p>
    <w:p>
      <w:pPr>
        <w:pStyle w:val="TextBody"/>
        <w:bidi w:val="0"/>
        <w:spacing w:before="160" w:after="0"/>
        <w:ind w:left="0" w:right="0" w:hanging="0"/>
        <w:jc w:val="center"/>
        <w:rPr/>
      </w:pPr>
      <w:r>
        <w:rPr/>
        <w:drawing>
          <wp:inline distT="0" distB="0" distL="0" distR="0">
            <wp:extent cx="2422525" cy="5486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2525" cy="548640"/>
                    </a:xfrm>
                    <a:prstGeom prst="rect">
                      <a:avLst/>
                    </a:prstGeom>
                  </pic:spPr>
                </pic:pic>
              </a:graphicData>
            </a:graphic>
          </wp:inline>
        </w:drawing>
      </w:r>
    </w:p>
    <w:p>
      <w:pPr>
        <w:pStyle w:val="TextBody"/>
        <w:bidi w:val="0"/>
        <w:spacing w:before="120" w:after="0"/>
        <w:ind w:left="0" w:right="0" w:hanging="0"/>
        <w:jc w:val="center"/>
        <w:rPr>
          <w:rFonts w:ascii="Arial Narrow" w:hAnsi="Arial Narrow"/>
          <w:b/>
          <w:sz w:val="30"/>
        </w:rPr>
      </w:pPr>
      <w:r>
        <w:rPr>
          <w:rFonts w:ascii="Arial Narrow" w:hAnsi="Arial Narrow"/>
          <w:b/>
          <w:sz w:val="30"/>
        </w:rPr>
        <w:t>TRANSOCEAN LTD.</w:t>
      </w:r>
    </w:p>
    <w:p>
      <w:pPr>
        <w:pStyle w:val="TextBody"/>
        <w:bidi w:val="0"/>
        <w:spacing w:before="0" w:after="0"/>
        <w:ind w:left="0" w:right="0" w:hanging="0"/>
        <w:jc w:val="center"/>
        <w:rPr>
          <w:rFonts w:ascii="Arial Narrow" w:hAnsi="Arial Narrow"/>
          <w:sz w:val="18"/>
        </w:rPr>
      </w:pPr>
      <w:r>
        <w:rPr>
          <w:rFonts w:ascii="Arial Narrow" w:hAnsi="Arial Narrow"/>
          <w:sz w:val="18"/>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5a1gq8giPUa4bGoke3BXzg_8_0"/>
      <w:bookmarkStart w:id="4" w:name="Tc_aFRFjIu6hEGKGamj4f88Xg_7_0"/>
      <w:bookmarkStart w:id="5" w:name="Tc_HNoIgXXqW0SVkg-HK69Vvw_5_2"/>
      <w:bookmarkStart w:id="6" w:name="Tc_RDD5la5S9kSyLPnt0REYqw_5_0"/>
      <w:bookmarkStart w:id="7" w:name="Tc_iAYCwqK9Z0yW5jaGgzPgcA_4_0"/>
      <w:bookmarkStart w:id="8" w:name="Tc_BT6xSvEq5EWyRce5AXZWsg_2_2"/>
      <w:bookmarkStart w:id="9" w:name="Tc_HVx1iPkPEEGnRzftiYNg5w_2_1"/>
      <w:bookmarkStart w:id="10" w:name="Tc_j_PcHD9RsEuFYpnC5fRNhg_2_0"/>
      <w:bookmarkStart w:id="11" w:name="_1dd49224_3099_4561_bb8d_9ad4d657118b"/>
      <w:bookmarkStart w:id="12" w:name="Tc_5a1gq8giPUa4bGoke3BXzg_8_0"/>
      <w:bookmarkStart w:id="13" w:name="Tc_aFRFjIu6hEGKGamj4f88Xg_7_0"/>
      <w:bookmarkStart w:id="14" w:name="Tc_HNoIgXXqW0SVkg-HK69Vvw_5_2"/>
      <w:bookmarkStart w:id="15" w:name="Tc_RDD5la5S9kSyLPnt0REYqw_5_0"/>
      <w:bookmarkStart w:id="16" w:name="Tc_iAYCwqK9Z0yW5jaGgzPgcA_4_0"/>
      <w:bookmarkStart w:id="17" w:name="Tc_BT6xSvEq5EWyRce5AXZWsg_2_2"/>
      <w:bookmarkStart w:id="18" w:name="Tc_HVx1iPkPEEGnRzftiYNg5w_2_1"/>
      <w:bookmarkStart w:id="19" w:name="Tc_j_PcHD9RsEuFYpnC5fRNhg_2_0"/>
      <w:bookmarkStart w:id="20" w:name="_1dd49224_3099_4561_bb8d_9ad4d657118b"/>
      <w:bookmarkEnd w:id="12"/>
      <w:bookmarkEnd w:id="13"/>
      <w:bookmarkEnd w:id="14"/>
      <w:bookmarkEnd w:id="15"/>
      <w:bookmarkEnd w:id="16"/>
      <w:bookmarkEnd w:id="17"/>
      <w:bookmarkEnd w:id="18"/>
      <w:bookmarkEnd w:id="19"/>
      <w:bookmarkEnd w:id="20"/>
    </w:p>
    <w:tbl>
      <w:tblPr>
        <w:tblW w:w="7848" w:type="dxa"/>
        <w:jc w:val="left"/>
        <w:tblInd w:w="0" w:type="dxa"/>
        <w:tblLayout w:type="fixed"/>
        <w:tblCellMar>
          <w:top w:w="0" w:type="dxa"/>
          <w:left w:w="0" w:type="dxa"/>
          <w:bottom w:w="0" w:type="dxa"/>
          <w:right w:w="0" w:type="dxa"/>
        </w:tblCellMar>
      </w:tblPr>
      <w:tblGrid>
        <w:gridCol w:w="3751"/>
        <w:gridCol w:w="1711"/>
        <w:gridCol w:w="2386"/>
      </w:tblGrid>
      <w:tr>
        <w:trPr/>
        <w:tc>
          <w:tcPr>
            <w:tcW w:w="3751" w:type="dxa"/>
            <w:tcBorders/>
            <w:vAlign w:val="center"/>
          </w:tcPr>
          <w:p>
            <w:pPr>
              <w:pStyle w:val="TableContents"/>
              <w:bidi w:val="0"/>
              <w:spacing w:before="0" w:after="0"/>
              <w:ind w:left="0" w:right="0" w:hanging="0"/>
              <w:jc w:val="both"/>
              <w:rPr/>
            </w:pPr>
            <w:r>
              <w:rPr/>
              <w:t>​</w:t>
            </w:r>
          </w:p>
        </w:tc>
        <w:tc>
          <w:tcPr>
            <w:tcW w:w="1711" w:type="dxa"/>
            <w:tcBorders/>
            <w:vAlign w:val="center"/>
          </w:tcPr>
          <w:p>
            <w:pPr>
              <w:pStyle w:val="TableContents"/>
              <w:bidi w:val="0"/>
              <w:spacing w:before="0" w:after="0"/>
              <w:ind w:left="0" w:right="0" w:hanging="0"/>
              <w:jc w:val="both"/>
              <w:rPr/>
            </w:pPr>
            <w:r>
              <w:rPr/>
              <w:t>​</w:t>
            </w:r>
          </w:p>
        </w:tc>
        <w:tc>
          <w:tcPr>
            <w:tcW w:w="2386" w:type="dxa"/>
            <w:tcBorders/>
            <w:vAlign w:val="center"/>
          </w:tcPr>
          <w:p>
            <w:pPr>
              <w:pStyle w:val="TableContents"/>
              <w:bidi w:val="0"/>
              <w:spacing w:before="0" w:after="0"/>
              <w:ind w:left="0" w:right="0" w:hanging="0"/>
              <w:jc w:val="both"/>
              <w:rPr/>
            </w:pPr>
            <w:r>
              <w:rPr/>
              <w:t>​</w:t>
            </w:r>
          </w:p>
        </w:tc>
      </w:tr>
      <w:tr>
        <w:trPr/>
        <w:tc>
          <w:tcPr>
            <w:tcW w:w="3751"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Switzerland</w:t>
            </w:r>
          </w:p>
        </w:tc>
        <w:tc>
          <w:tcPr>
            <w:tcW w:w="1711"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001-38373</w:t>
            </w:r>
          </w:p>
        </w:tc>
        <w:tc>
          <w:tcPr>
            <w:tcW w:w="2386"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98-0599916</w:t>
            </w:r>
          </w:p>
        </w:tc>
      </w:tr>
      <w:tr>
        <w:trPr/>
        <w:tc>
          <w:tcPr>
            <w:tcW w:w="3751" w:type="dxa"/>
            <w:tcBorders/>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(State or other jurisdiction of incorporation or organization)</w:t>
            </w:r>
          </w:p>
        </w:tc>
        <w:tc>
          <w:tcPr>
            <w:tcW w:w="1711" w:type="dxa"/>
            <w:tcBorders/>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(Commission file number)</w:t>
            </w:r>
          </w:p>
        </w:tc>
        <w:tc>
          <w:tcPr>
            <w:tcW w:w="2386" w:type="dxa"/>
            <w:tcBorders/>
            <w:vAlign w:val="center"/>
          </w:tcPr>
          <w:p>
            <w:pPr>
              <w:pStyle w:val="TableContents"/>
              <w:bidi w:val="0"/>
              <w:spacing w:before="0" w:after="0"/>
              <w:ind w:left="0" w:right="0" w:hanging="0"/>
              <w:jc w:val="center"/>
              <w:rPr>
                <w:rFonts w:ascii="Arial Narrow" w:hAnsi="Arial Narrow"/>
                <w:sz w:val="18"/>
              </w:rPr>
            </w:pPr>
            <w:r>
              <w:rPr>
                <w:rFonts w:ascii="Arial Narrow" w:hAnsi="Arial Narrow"/>
                <w:sz w:val="18"/>
              </w:rPr>
              <w:t>(I.R.S. Employer Identification No.)</w:t>
            </w:r>
          </w:p>
        </w:tc>
      </w:tr>
      <w:tr>
        <w:trPr/>
        <w:tc>
          <w:tcPr>
            <w:tcW w:w="3751" w:type="dxa"/>
            <w:tcBorders/>
            <w:vAlign w:val="center"/>
          </w:tcPr>
          <w:p>
            <w:pPr>
              <w:pStyle w:val="TableContents"/>
              <w:bidi w:val="0"/>
              <w:spacing w:before="0" w:after="0"/>
              <w:ind w:left="0" w:right="0" w:hanging="0"/>
              <w:jc w:val="center"/>
              <w:rPr/>
            </w:pPr>
            <w:r>
              <w:rPr/>
              <w:t>​</w:t>
            </w:r>
          </w:p>
        </w:tc>
        <w:tc>
          <w:tcPr>
            <w:tcW w:w="1711"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r>
      <w:tr>
        <w:trPr/>
        <w:tc>
          <w:tcPr>
            <w:tcW w:w="3751"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Turmstrasse 30</w:t>
            </w:r>
          </w:p>
          <w:p>
            <w:pPr>
              <w:pStyle w:val="TableContents"/>
              <w:bidi w:val="0"/>
              <w:spacing w:before="0" w:after="0"/>
              <w:ind w:left="0" w:right="0" w:hanging="0"/>
              <w:jc w:val="center"/>
              <w:rPr>
                <w:rFonts w:ascii="Arial Narrow" w:hAnsi="Arial Narrow"/>
                <w:b/>
                <w:sz w:val="20"/>
              </w:rPr>
            </w:pPr>
            <w:r>
              <w:rPr>
                <w:rFonts w:ascii="Arial Narrow" w:hAnsi="Arial Narrow"/>
                <w:b/>
                <w:sz w:val="20"/>
              </w:rPr>
              <w:t>Steinhausen, Switzerland</w:t>
            </w:r>
          </w:p>
        </w:tc>
        <w:tc>
          <w:tcPr>
            <w:tcW w:w="1711"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rFonts w:ascii="Arial Narrow" w:hAnsi="Arial Narrow"/>
                <w:b/>
                <w:sz w:val="20"/>
              </w:rPr>
            </w:pPr>
            <w:r>
              <w:rPr>
                <w:rFonts w:ascii="Arial Narrow" w:hAnsi="Arial Narrow"/>
                <w:b/>
                <w:sz w:val="20"/>
              </w:rPr>
              <w:t>CH-6312</w:t>
            </w:r>
          </w:p>
        </w:tc>
      </w:tr>
      <w:tr>
        <w:trPr/>
        <w:tc>
          <w:tcPr>
            <w:tcW w:w="3751" w:type="dxa"/>
            <w:tcBorders/>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(Address of principal executive offices)</w:t>
            </w:r>
          </w:p>
        </w:tc>
        <w:tc>
          <w:tcPr>
            <w:tcW w:w="1711"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rFonts w:ascii="Arial Narrow" w:hAnsi="Arial Narrow"/>
                <w:sz w:val="16"/>
              </w:rPr>
            </w:pPr>
            <w:r>
              <w:rPr>
                <w:rFonts w:ascii="Arial Narrow" w:hAnsi="Arial Narrow"/>
                <w:sz w:val="16"/>
              </w:rPr>
              <w:t>(Zip Code)</w:t>
            </w:r>
          </w:p>
        </w:tc>
      </w:tr>
      <w:tr>
        <w:trPr/>
        <w:tc>
          <w:tcPr>
            <w:tcW w:w="3751" w:type="dxa"/>
            <w:tcBorders/>
            <w:vAlign w:val="center"/>
          </w:tcPr>
          <w:p>
            <w:pPr>
              <w:pStyle w:val="TableContents"/>
              <w:bidi w:val="0"/>
              <w:spacing w:before="0" w:after="0"/>
              <w:ind w:left="0" w:right="0" w:hanging="0"/>
              <w:jc w:val="center"/>
              <w:rPr/>
            </w:pPr>
            <w:r>
              <w:rPr/>
              <w:t>​</w:t>
            </w:r>
          </w:p>
        </w:tc>
        <w:tc>
          <w:tcPr>
            <w:tcW w:w="1711" w:type="dxa"/>
            <w:tcBorders/>
            <w:vAlign w:val="center"/>
          </w:tcPr>
          <w:p>
            <w:pPr>
              <w:pStyle w:val="TableContents"/>
              <w:bidi w:val="0"/>
              <w:spacing w:before="0" w:after="0"/>
              <w:ind w:left="0" w:right="0" w:hanging="0"/>
              <w:jc w:val="center"/>
              <w:rPr/>
            </w:pPr>
            <w:r>
              <w:rPr/>
              <w:t>​</w:t>
            </w:r>
          </w:p>
        </w:tc>
        <w:tc>
          <w:tcPr>
            <w:tcW w:w="2386" w:type="dxa"/>
            <w:tcBorders/>
            <w:vAlign w:val="center"/>
          </w:tcPr>
          <w:p>
            <w:pPr>
              <w:pStyle w:val="TableContents"/>
              <w:bidi w:val="0"/>
              <w:spacing w:before="0" w:after="0"/>
              <w:ind w:left="0" w:right="0" w:hanging="0"/>
              <w:jc w:val="center"/>
              <w:rPr/>
            </w:pPr>
            <w:r>
              <w:rPr/>
              <w:t>​</w:t>
            </w:r>
          </w:p>
        </w:tc>
      </w:tr>
      <w:tr>
        <w:trPr/>
        <w:tc>
          <w:tcPr>
            <w:tcW w:w="7848" w:type="dxa"/>
            <w:gridSpan w:val="3"/>
            <w:tcBorders/>
            <w:vAlign w:val="center"/>
          </w:tcPr>
          <w:p>
            <w:pPr>
              <w:pStyle w:val="TableContents"/>
              <w:bidi w:val="0"/>
              <w:spacing w:before="0" w:after="0"/>
              <w:ind w:left="0" w:right="0" w:hanging="0"/>
              <w:jc w:val="center"/>
              <w:rPr>
                <w:rFonts w:ascii="Arial Narrow" w:hAnsi="Arial Narrow"/>
                <w:sz w:val="20"/>
              </w:rPr>
            </w:pPr>
            <w:r>
              <w:rPr>
                <w:rFonts w:ascii="Arial Narrow" w:hAnsi="Arial Narrow"/>
                <w:b/>
                <w:sz w:val="20"/>
              </w:rPr>
              <w:t>+41</w:t>
            </w:r>
            <w:r>
              <w:rPr>
                <w:rFonts w:ascii="Arial Narrow" w:hAnsi="Arial Narrow"/>
                <w:sz w:val="20"/>
              </w:rPr>
              <w:t xml:space="preserve"> </w:t>
            </w:r>
            <w:r>
              <w:rPr>
                <w:rFonts w:ascii="Arial Narrow" w:hAnsi="Arial Narrow"/>
                <w:b/>
                <w:sz w:val="20"/>
              </w:rPr>
              <w:t>(41) 749-0500</w:t>
            </w:r>
          </w:p>
        </w:tc>
      </w:tr>
      <w:tr>
        <w:trPr/>
        <w:tc>
          <w:tcPr>
            <w:tcW w:w="7848" w:type="dxa"/>
            <w:gridSpan w:val="3"/>
            <w:tcBorders/>
            <w:vAlign w:val="center"/>
          </w:tcPr>
          <w:p>
            <w:pPr>
              <w:pStyle w:val="TableContents"/>
              <w:bidi w:val="0"/>
              <w:spacing w:before="0" w:after="0"/>
              <w:ind w:left="0" w:right="0" w:hanging="0"/>
              <w:jc w:val="center"/>
              <w:rPr>
                <w:rFonts w:ascii="Arial Narrow" w:hAnsi="Arial Narrow"/>
                <w:b/>
                <w:sz w:val="16"/>
              </w:rPr>
            </w:pPr>
            <w:r>
              <w:rPr>
                <w:rFonts w:ascii="Arial Narrow" w:hAnsi="Arial Narrow"/>
                <w:b/>
                <w:sz w:val="16"/>
              </w:rPr>
              <w:t>(Registrant’s telephone number, including area code)</w:t>
            </w:r>
          </w:p>
        </w:tc>
      </w:tr>
    </w:tbl>
    <w:p>
      <w:pPr>
        <w:pStyle w:val="TextBody"/>
        <w:bidi w:val="0"/>
        <w:spacing w:before="0" w:after="0"/>
        <w:ind w:left="0" w:right="0" w:firstLine="360"/>
        <w:jc w:val="left"/>
        <w:rPr>
          <w:rFonts w:ascii="Arial Narrow" w:hAnsi="Arial Narrow"/>
          <w:sz w:val="18"/>
        </w:rPr>
      </w:pPr>
      <w:r>
        <w:rPr>
          <w:rFonts w:ascii="Arial Narrow" w:hAnsi="Arial Narrow"/>
          <w:sz w:val="18"/>
        </w:rPr>
        <w:t>Check the appropriate box below if the Form 8-K filing is intended to simultaneously satisfy the filing obligation of the registrant under any of the following provisions (</w:t>
      </w:r>
      <w:r>
        <w:rPr>
          <w:rFonts w:ascii="Arial Narrow" w:hAnsi="Arial Narrow"/>
          <w:i/>
          <w:sz w:val="18"/>
        </w:rPr>
        <w:t xml:space="preserve">see </w:t>
      </w:r>
      <w:r>
        <w:rPr>
          <w:rFonts w:ascii="Arial Narrow" w:hAnsi="Arial Narrow"/>
          <w:sz w:val="18"/>
        </w:rPr>
        <w:t>General Instruction A.2. below):</w:t>
      </w:r>
    </w:p>
    <w:p>
      <w:pPr>
        <w:pStyle w:val="TextBody"/>
        <w:bidi w:val="0"/>
        <w:spacing w:before="80" w:after="0"/>
        <w:ind w:left="0" w:right="0" w:firstLine="360"/>
        <w:jc w:val="left"/>
        <w:rPr/>
      </w:pPr>
      <w:r>
        <w:rPr/>
        <w:t xml:space="preserve">☐ </w:t>
      </w:r>
      <w:r>
        <w:rPr>
          <w:rFonts w:ascii="Arial Narrow" w:hAnsi="Arial Narrow"/>
          <w:sz w:val="18"/>
        </w:rPr>
        <w:t>Written communications pursuant to Rule 425 under the Securities Act (17 CFR 230.425)</w:t>
      </w:r>
    </w:p>
    <w:p>
      <w:pPr>
        <w:pStyle w:val="TextBody"/>
        <w:bidi w:val="0"/>
        <w:spacing w:before="80" w:after="0"/>
        <w:ind w:left="0" w:right="0" w:firstLine="360"/>
        <w:jc w:val="left"/>
        <w:rPr/>
      </w:pPr>
      <w:r>
        <w:rPr/>
        <w:t xml:space="preserve">☐ </w:t>
      </w:r>
      <w:r>
        <w:rPr>
          <w:rFonts w:ascii="Arial Narrow" w:hAnsi="Arial Narrow"/>
          <w:sz w:val="18"/>
        </w:rPr>
        <w:t>Soliciting material pursuant to Rule 14a-12 under the Securities Act (17 CFR 240.14a-12)</w:t>
      </w:r>
    </w:p>
    <w:p>
      <w:pPr>
        <w:pStyle w:val="TextBody"/>
        <w:bidi w:val="0"/>
        <w:spacing w:before="80" w:after="0"/>
        <w:ind w:left="0" w:right="0" w:firstLine="360"/>
        <w:jc w:val="left"/>
        <w:rPr/>
      </w:pPr>
      <w:r>
        <w:rPr/>
        <w:t xml:space="preserve">☐ </w:t>
      </w:r>
      <w:r>
        <w:rPr>
          <w:rFonts w:ascii="Arial Narrow" w:hAnsi="Arial Narrow"/>
          <w:sz w:val="18"/>
        </w:rPr>
        <w:t>Pre-commencement communications pursuant to Rule 14d-2(b) under the Exchange Act (17 CFR 240.14d-2(b))</w:t>
      </w:r>
    </w:p>
    <w:p>
      <w:pPr>
        <w:pStyle w:val="TextBody"/>
        <w:bidi w:val="0"/>
        <w:spacing w:before="80" w:after="0"/>
        <w:ind w:left="0" w:right="0" w:firstLine="360"/>
        <w:jc w:val="left"/>
        <w:rPr/>
      </w:pPr>
      <w:r>
        <w:rPr/>
        <w:t xml:space="preserve">☐ </w:t>
      </w:r>
      <w:r>
        <w:rPr>
          <w:rFonts w:ascii="Arial Narrow" w:hAnsi="Arial Narrow"/>
          <w:sz w:val="18"/>
        </w:rPr>
        <w:t>Pre-commencement communications pursuant to Rule 13e-4(c) under the Exchange Act (17 CFR 240.13e-4(c))</w:t>
      </w:r>
    </w:p>
    <w:p>
      <w:pPr>
        <w:pStyle w:val="TextBody"/>
        <w:bidi w:val="0"/>
        <w:spacing w:before="0" w:after="0"/>
        <w:ind w:left="0" w:right="0" w:firstLine="360"/>
        <w:jc w:val="left"/>
        <w:rPr/>
      </w:pPr>
      <w:r>
        <w:rPr/>
        <w:t>​</w:t>
      </w:r>
    </w:p>
    <w:p>
      <w:pPr>
        <w:pStyle w:val="TextBody"/>
        <w:bidi w:val="0"/>
        <w:spacing w:before="80" w:after="0"/>
        <w:ind w:left="0" w:right="0" w:firstLine="360"/>
        <w:jc w:val="left"/>
        <w:rPr>
          <w:rFonts w:ascii="Arial Narrow" w:hAnsi="Arial Narrow"/>
          <w:sz w:val="18"/>
        </w:rPr>
      </w:pPr>
      <w:r>
        <w:rPr>
          <w:rFonts w:ascii="Arial Narrow" w:hAnsi="Arial Narrow"/>
          <w:sz w:val="18"/>
        </w:rPr>
        <w:t>Securities registered pursuant to Section 12(b) of the Act:</w:t>
      </w:r>
    </w:p>
    <w:p>
      <w:pPr>
        <w:pStyle w:val="Normal"/>
        <w:bidi w:val="0"/>
        <w:spacing w:before="0" w:after="0"/>
        <w:jc w:val="left"/>
        <w:rPr>
          <w:sz w:val="4"/>
          <w:szCs w:val="4"/>
        </w:rPr>
      </w:pPr>
      <w:r>
        <w:rPr>
          <w:sz w:val="4"/>
          <w:szCs w:val="4"/>
        </w:rPr>
      </w:r>
      <w:bookmarkStart w:id="21" w:name="Tc_A-TkbIzzy0WtckNYae0OkA_2_0"/>
      <w:bookmarkStart w:id="22" w:name="Tc_Prz0OLM-4kWRu6838KFe2w_1_2"/>
      <w:bookmarkStart w:id="23" w:name="Tc_N7yAkDLPuEyv1gNhxDt0gQ_1_1"/>
      <w:bookmarkStart w:id="24" w:name="Tc_-sQrfSiuxkKD1_B9pi9c7g_1_0"/>
      <w:bookmarkStart w:id="25" w:name="_b5acb9c8_7683_49ff_8157_db2d5400321a"/>
      <w:bookmarkStart w:id="26" w:name="Tc_A-TkbIzzy0WtckNYae0OkA_2_0"/>
      <w:bookmarkStart w:id="27" w:name="Tc_Prz0OLM-4kWRu6838KFe2w_1_2"/>
      <w:bookmarkStart w:id="28" w:name="Tc_N7yAkDLPuEyv1gNhxDt0gQ_1_1"/>
      <w:bookmarkStart w:id="29" w:name="Tc_-sQrfSiuxkKD1_B9pi9c7g_1_0"/>
      <w:bookmarkStart w:id="30" w:name="_b5acb9c8_7683_49ff_8157_db2d5400321a"/>
      <w:bookmarkEnd w:id="26"/>
      <w:bookmarkEnd w:id="27"/>
      <w:bookmarkEnd w:id="28"/>
      <w:bookmarkEnd w:id="29"/>
      <w:bookmarkEnd w:id="30"/>
    </w:p>
    <w:tbl>
      <w:tblPr>
        <w:tblW w:w="5628" w:type="dxa"/>
        <w:jc w:val="left"/>
        <w:tblInd w:w="0" w:type="dxa"/>
        <w:tblLayout w:type="fixed"/>
        <w:tblCellMar>
          <w:top w:w="0" w:type="dxa"/>
          <w:left w:w="0" w:type="dxa"/>
          <w:bottom w:w="0" w:type="dxa"/>
          <w:right w:w="0" w:type="dxa"/>
        </w:tblCellMar>
      </w:tblPr>
      <w:tblGrid>
        <w:gridCol w:w="1621"/>
        <w:gridCol w:w="1066"/>
        <w:gridCol w:w="2941"/>
      </w:tblGrid>
      <w:tr>
        <w:trPr/>
        <w:tc>
          <w:tcPr>
            <w:tcW w:w="162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2941" w:type="dxa"/>
            <w:tcBorders/>
            <w:vAlign w:val="center"/>
          </w:tcPr>
          <w:p>
            <w:pPr>
              <w:pStyle w:val="TableContents"/>
              <w:bidi w:val="0"/>
              <w:spacing w:before="0" w:after="0"/>
              <w:ind w:left="0" w:right="0" w:hanging="0"/>
              <w:jc w:val="left"/>
              <w:rPr/>
            </w:pPr>
            <w:r>
              <w:rPr/>
              <w:t>​</w:t>
            </w:r>
          </w:p>
        </w:tc>
      </w:tr>
      <w:tr>
        <w:trPr/>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Title of each class</w:t>
            </w:r>
          </w:p>
        </w:tc>
        <w:tc>
          <w:tcPr>
            <w:tcW w:w="10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Trading symbol</w:t>
            </w:r>
          </w:p>
        </w:tc>
        <w:tc>
          <w:tcPr>
            <w:tcW w:w="29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Name of each exchange on which registered</w:t>
            </w:r>
          </w:p>
        </w:tc>
      </w:tr>
      <w:tr>
        <w:trPr/>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Shares, $0.10 par value</w:t>
            </w:r>
          </w:p>
        </w:tc>
        <w:tc>
          <w:tcPr>
            <w:tcW w:w="10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RIG</w:t>
            </w:r>
          </w:p>
        </w:tc>
        <w:tc>
          <w:tcPr>
            <w:tcW w:w="29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40" w:after="0"/>
              <w:ind w:left="0" w:right="0" w:hanging="0"/>
              <w:jc w:val="center"/>
              <w:rPr>
                <w:rFonts w:ascii="Arial Narrow" w:hAnsi="Arial Narrow"/>
                <w:sz w:val="18"/>
              </w:rPr>
            </w:pPr>
            <w:r>
              <w:rPr>
                <w:rFonts w:ascii="Arial Narrow" w:hAnsi="Arial Narrow"/>
                <w:sz w:val="18"/>
              </w:rPr>
              <w:t>New York Stock Exchange</w:t>
            </w:r>
          </w:p>
        </w:tc>
      </w:tr>
    </w:tbl>
    <w:p>
      <w:pPr>
        <w:pStyle w:val="TextBody"/>
        <w:bidi w:val="0"/>
        <w:spacing w:before="80" w:after="0"/>
        <w:ind w:left="0" w:right="0" w:firstLine="360"/>
        <w:jc w:val="left"/>
        <w:rPr/>
      </w:pPr>
      <w:r>
        <w:rPr/>
        <w:t>​</w:t>
      </w:r>
    </w:p>
    <w:p>
      <w:pPr>
        <w:pStyle w:val="TextBody"/>
        <w:bidi w:val="0"/>
        <w:spacing w:before="80" w:after="0"/>
        <w:ind w:left="0" w:right="0" w:firstLine="360"/>
        <w:jc w:val="left"/>
        <w:rPr>
          <w:rFonts w:ascii="Arial Narrow" w:hAnsi="Arial Narrow"/>
          <w:sz w:val="18"/>
        </w:rPr>
      </w:pPr>
      <w:r>
        <w:rPr>
          <w:rFonts w:ascii="Arial Narrow" w:hAnsi="Arial Narrow"/>
          <w:sz w:val="18"/>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80" w:after="0"/>
        <w:ind w:left="0" w:right="0" w:firstLine="360"/>
        <w:jc w:val="left"/>
        <w:rPr>
          <w:rFonts w:ascii="Arial Narrow" w:hAnsi="Arial Narrow"/>
          <w:sz w:val="20"/>
        </w:rPr>
      </w:pPr>
      <w:r>
        <w:rPr>
          <w:rFonts w:ascii="Arial Narrow" w:hAnsi="Arial Narrow"/>
          <w:sz w:val="18"/>
        </w:rPr>
        <w:t xml:space="preserve">Emerging growth company </w:t>
      </w:r>
      <w:r>
        <w:rPr>
          <w:rFonts w:ascii="Arial Narrow" w:hAnsi="Arial Narrow"/>
          <w:sz w:val="20"/>
        </w:rPr>
        <w:t>☐</w:t>
      </w:r>
    </w:p>
    <w:p>
      <w:pPr>
        <w:pStyle w:val="TextBody"/>
        <w:bidi w:val="0"/>
        <w:spacing w:before="80" w:after="0"/>
        <w:ind w:left="0" w:right="0" w:firstLine="360"/>
        <w:jc w:val="left"/>
        <w:rPr>
          <w:rFonts w:ascii="Arial Narrow" w:hAnsi="Arial Narrow"/>
          <w:sz w:val="18"/>
        </w:rPr>
      </w:pPr>
      <w:r>
        <w:rPr>
          <w:rFonts w:ascii="Arial Narrow" w:hAnsi="Arial Narrow"/>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ind w:left="600" w:right="600" w:hanging="0"/>
        <w:jc w:val="left"/>
        <w:rPr>
          <w:sz w:val="4"/>
          <w:szCs w:val="4"/>
        </w:rPr>
      </w:pPr>
      <w:r>
        <w:rPr>
          <w:sz w:val="4"/>
          <w:szCs w:val="4"/>
        </w:rPr>
      </w:r>
      <w:bookmarkStart w:id="31" w:name="_11a36afb_42b4_49de_8768_a9efb1affa8c"/>
      <w:bookmarkStart w:id="32" w:name="_11a36afb_42b4_49de_8768_a9efb1affa8c"/>
      <w:bookmarkEnd w:id="32"/>
    </w:p>
    <w:tbl>
      <w:tblPr>
        <w:tblW w:w="5222" w:type="dxa"/>
        <w:jc w:val="left"/>
        <w:tblInd w:w="0" w:type="dxa"/>
        <w:tblLayout w:type="fixed"/>
        <w:tblCellMar>
          <w:top w:w="0" w:type="dxa"/>
          <w:left w:w="0" w:type="dxa"/>
          <w:bottom w:w="0" w:type="dxa"/>
          <w:right w:w="0" w:type="dxa"/>
        </w:tblCellMar>
      </w:tblPr>
      <w:tblGrid>
        <w:gridCol w:w="946"/>
        <w:gridCol w:w="4276"/>
      </w:tblGrid>
      <w:tr>
        <w:trPr/>
        <w:tc>
          <w:tcPr>
            <w:tcW w:w="946" w:type="dxa"/>
            <w:tcBorders/>
            <w:vAlign w:val="center"/>
          </w:tcPr>
          <w:p>
            <w:pPr>
              <w:pStyle w:val="TableContents"/>
              <w:bidi w:val="0"/>
              <w:spacing w:before="300" w:after="120"/>
              <w:jc w:val="left"/>
              <w:rPr>
                <w:rFonts w:ascii="Arial Narrow" w:hAnsi="Arial Narrow"/>
                <w:b/>
                <w:sz w:val="22"/>
              </w:rPr>
            </w:pPr>
            <w:r>
              <w:rPr>
                <w:rFonts w:ascii="Arial Narrow" w:hAnsi="Arial Narrow"/>
                <w:b/>
                <w:sz w:val="22"/>
              </w:rPr>
              <w:t>Item 2.02.</w:t>
            </w:r>
          </w:p>
        </w:tc>
        <w:tc>
          <w:tcPr>
            <w:tcW w:w="4276" w:type="dxa"/>
            <w:tcBorders/>
            <w:vAlign w:val="center"/>
          </w:tcPr>
          <w:p>
            <w:pPr>
              <w:pStyle w:val="TableContents"/>
              <w:bidi w:val="0"/>
              <w:spacing w:before="300" w:after="120"/>
              <w:jc w:val="left"/>
              <w:rPr>
                <w:rFonts w:ascii="Arial Narrow" w:hAnsi="Arial Narrow"/>
                <w:b/>
                <w:sz w:val="22"/>
              </w:rPr>
            </w:pPr>
            <w:r>
              <w:rPr>
                <w:rFonts w:ascii="Arial Narrow" w:hAnsi="Arial Narrow"/>
                <w:b/>
                <w:sz w:val="22"/>
              </w:rPr>
              <w:t>Results of Operations and Financial Condition</w:t>
            </w:r>
          </w:p>
        </w:tc>
      </w:tr>
    </w:tbl>
    <w:p>
      <w:pPr>
        <w:pStyle w:val="TextBody"/>
        <w:bidi w:val="0"/>
        <w:spacing w:lineRule="auto" w:line="285" w:before="60" w:after="120"/>
        <w:ind w:left="0" w:right="0" w:firstLine="720"/>
        <w:jc w:val="both"/>
        <w:rPr>
          <w:rFonts w:ascii="Arial Narrow" w:hAnsi="Arial Narrow"/>
          <w:sz w:val="20"/>
        </w:rPr>
      </w:pPr>
      <w:r>
        <w:rPr>
          <w:rFonts w:ascii="Arial Narrow" w:hAnsi="Arial Narrow"/>
          <w:sz w:val="20"/>
        </w:rPr>
        <w:t>Transocean Ltd.’s press release dated August 5, 2026, concerning financial results for the second quarter 2026, furnished as Exhibit 99.1 to this report, is incorporated by reference herein.</w:t>
      </w:r>
    </w:p>
    <w:tbl>
      <w:tblPr>
        <w:tblW w:w="3377" w:type="dxa"/>
        <w:jc w:val="left"/>
        <w:tblInd w:w="0" w:type="dxa"/>
        <w:tblLayout w:type="fixed"/>
        <w:tblCellMar>
          <w:top w:w="0" w:type="dxa"/>
          <w:left w:w="0" w:type="dxa"/>
          <w:bottom w:w="0" w:type="dxa"/>
          <w:right w:w="0" w:type="dxa"/>
        </w:tblCellMar>
      </w:tblPr>
      <w:tblGrid>
        <w:gridCol w:w="946"/>
        <w:gridCol w:w="2431"/>
      </w:tblGrid>
      <w:tr>
        <w:trPr/>
        <w:tc>
          <w:tcPr>
            <w:tcW w:w="946" w:type="dxa"/>
            <w:tcBorders/>
            <w:vAlign w:val="center"/>
          </w:tcPr>
          <w:p>
            <w:pPr>
              <w:pStyle w:val="TableContents"/>
              <w:bidi w:val="0"/>
              <w:spacing w:before="300" w:after="120"/>
              <w:jc w:val="left"/>
              <w:rPr>
                <w:rFonts w:ascii="Arial Narrow" w:hAnsi="Arial Narrow"/>
                <w:b/>
                <w:sz w:val="22"/>
              </w:rPr>
            </w:pPr>
            <w:r>
              <w:rPr>
                <w:rFonts w:ascii="Arial Narrow" w:hAnsi="Arial Narrow"/>
                <w:b/>
                <w:sz w:val="22"/>
              </w:rPr>
              <w:t>Item 7.01.</w:t>
            </w:r>
          </w:p>
        </w:tc>
        <w:tc>
          <w:tcPr>
            <w:tcW w:w="2431" w:type="dxa"/>
            <w:tcBorders/>
            <w:vAlign w:val="center"/>
          </w:tcPr>
          <w:p>
            <w:pPr>
              <w:pStyle w:val="TableContents"/>
              <w:bidi w:val="0"/>
              <w:spacing w:before="300" w:after="120"/>
              <w:jc w:val="left"/>
              <w:rPr>
                <w:rFonts w:ascii="Arial Narrow" w:hAnsi="Arial Narrow"/>
                <w:b/>
                <w:sz w:val="22"/>
              </w:rPr>
            </w:pPr>
            <w:r>
              <w:rPr>
                <w:rFonts w:ascii="Arial Narrow" w:hAnsi="Arial Narrow"/>
                <w:b/>
                <w:sz w:val="22"/>
              </w:rPr>
              <w:t>Regulation FD Disclosure</w:t>
            </w:r>
          </w:p>
        </w:tc>
      </w:tr>
    </w:tbl>
    <w:p>
      <w:pPr>
        <w:pStyle w:val="TextBody"/>
        <w:bidi w:val="0"/>
        <w:spacing w:lineRule="auto" w:line="285" w:before="60" w:after="120"/>
        <w:ind w:left="0" w:right="0" w:firstLine="720"/>
        <w:jc w:val="both"/>
        <w:rPr>
          <w:rFonts w:ascii="Arial Narrow" w:hAnsi="Arial Narrow"/>
          <w:sz w:val="20"/>
        </w:rPr>
      </w:pPr>
      <w:r>
        <w:rPr>
          <w:rFonts w:ascii="Arial Narrow" w:hAnsi="Arial Narrow"/>
          <w:sz w:val="20"/>
        </w:rPr>
        <w:t>We issue a report entitled “Transocean Fleet Status Report,” which includes drilling rig status and contract information. A report dated August 5, 2026, is furnished as Exhibit 99.2 to this Current Report on Form 8-K and is incorporated herein by reference. You may subscribe to the Transocean “E-mail Alerts,” which based upon your selections will alert you to new Transocean press releases, financial and other updates. This free service will send you an automated email containing the Fleet Status Report press release and a link to our website: www.deepwater.com, where the reports are posted each quarter under “Investors/Fleet Status Report.” You may subscribe to this service in the footer of any of the website’s Investors pages by selecting “E-mail Alerts” then providing your email address. Please select the alerts to which you prefer to subscribe and click “Submit.”</w:t>
      </w:r>
    </w:p>
    <w:tbl>
      <w:tblPr>
        <w:tblW w:w="4112" w:type="dxa"/>
        <w:jc w:val="left"/>
        <w:tblInd w:w="0" w:type="dxa"/>
        <w:tblLayout w:type="fixed"/>
        <w:tblCellMar>
          <w:top w:w="0" w:type="dxa"/>
          <w:left w:w="0" w:type="dxa"/>
          <w:bottom w:w="0" w:type="dxa"/>
          <w:right w:w="0" w:type="dxa"/>
        </w:tblCellMar>
      </w:tblPr>
      <w:tblGrid>
        <w:gridCol w:w="946"/>
        <w:gridCol w:w="3166"/>
      </w:tblGrid>
      <w:tr>
        <w:trPr/>
        <w:tc>
          <w:tcPr>
            <w:tcW w:w="946" w:type="dxa"/>
            <w:tcBorders/>
            <w:vAlign w:val="center"/>
          </w:tcPr>
          <w:p>
            <w:pPr>
              <w:pStyle w:val="TableContents"/>
              <w:bidi w:val="0"/>
              <w:spacing w:before="300" w:after="120"/>
              <w:jc w:val="left"/>
              <w:rPr>
                <w:rFonts w:ascii="Arial Narrow" w:hAnsi="Arial Narrow"/>
                <w:b/>
                <w:sz w:val="22"/>
              </w:rPr>
            </w:pPr>
            <w:r>
              <w:rPr>
                <w:rFonts w:ascii="Arial Narrow" w:hAnsi="Arial Narrow"/>
                <w:b/>
                <w:sz w:val="22"/>
              </w:rPr>
              <w:t>Item 9.01.</w:t>
            </w:r>
          </w:p>
        </w:tc>
        <w:tc>
          <w:tcPr>
            <w:tcW w:w="3166" w:type="dxa"/>
            <w:tcBorders/>
            <w:vAlign w:val="center"/>
          </w:tcPr>
          <w:p>
            <w:pPr>
              <w:pStyle w:val="TableContents"/>
              <w:bidi w:val="0"/>
              <w:spacing w:before="300" w:after="120"/>
              <w:jc w:val="left"/>
              <w:rPr>
                <w:rFonts w:ascii="Arial Narrow" w:hAnsi="Arial Narrow"/>
                <w:b/>
                <w:sz w:val="22"/>
              </w:rPr>
            </w:pPr>
            <w:r>
              <w:rPr>
                <w:rFonts w:ascii="Arial Narrow" w:hAnsi="Arial Narrow"/>
                <w:b/>
                <w:sz w:val="22"/>
              </w:rPr>
              <w:t>Financial Statements and Exhibits</w:t>
            </w:r>
          </w:p>
        </w:tc>
      </w:tr>
    </w:tbl>
    <w:p>
      <w:pPr>
        <w:pStyle w:val="TextBody"/>
        <w:bidi w:val="0"/>
        <w:spacing w:before="240" w:after="60"/>
        <w:ind w:left="0" w:right="0" w:hanging="0"/>
        <w:jc w:val="both"/>
        <w:rPr>
          <w:rFonts w:ascii="Arial Narrow" w:hAnsi="Arial Narrow"/>
          <w:b/>
          <w:sz w:val="20"/>
        </w:rPr>
      </w:pPr>
      <w:r>
        <w:rPr>
          <w:rFonts w:ascii="Arial Narrow" w:hAnsi="Arial Narrow"/>
          <w:b/>
          <w:sz w:val="20"/>
        </w:rPr>
        <w:t>(d)  Exhibits</w:t>
      </w:r>
    </w:p>
    <w:p>
      <w:pPr>
        <w:pStyle w:val="TextBody"/>
        <w:bidi w:val="0"/>
        <w:spacing w:before="60" w:after="120"/>
        <w:ind w:left="0" w:right="0" w:firstLine="720"/>
        <w:jc w:val="both"/>
        <w:rPr/>
      </w:pPr>
      <w:r>
        <w:rPr/>
        <w:t>​</w:t>
      </w:r>
    </w:p>
    <w:tbl>
      <w:tblPr>
        <w:tblW w:w="9362" w:type="dxa"/>
        <w:jc w:val="left"/>
        <w:tblInd w:w="0" w:type="dxa"/>
        <w:tblLayout w:type="fixed"/>
        <w:tblCellMar>
          <w:top w:w="0" w:type="dxa"/>
          <w:left w:w="0" w:type="dxa"/>
          <w:bottom w:w="0" w:type="dxa"/>
          <w:right w:w="0" w:type="dxa"/>
        </w:tblCellMar>
      </w:tblPr>
      <w:tblGrid>
        <w:gridCol w:w="676"/>
        <w:gridCol w:w="8686"/>
      </w:tblGrid>
      <w:tr>
        <w:trPr/>
        <w:tc>
          <w:tcPr>
            <w:tcW w:w="6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8686"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both"/>
              <w:rPr>
                <w:rFonts w:ascii="Arial Narrow" w:hAnsi="Arial Narrow"/>
                <w:b/>
                <w:sz w:val="18"/>
              </w:rPr>
            </w:pPr>
            <w:r>
              <w:rPr>
                <w:rFonts w:ascii="Arial Narrow" w:hAnsi="Arial Narrow"/>
                <w:b/>
                <w:sz w:val="18"/>
              </w:rPr>
              <w:t>Number</w:t>
            </w:r>
          </w:p>
        </w:tc>
        <w:tc>
          <w:tcPr>
            <w:tcW w:w="8686" w:type="dxa"/>
            <w:tcBorders/>
            <w:vAlign w:val="center"/>
          </w:tcPr>
          <w:p>
            <w:pPr>
              <w:pStyle w:val="TableContents"/>
              <w:bidi w:val="0"/>
              <w:spacing w:before="0" w:after="0"/>
              <w:ind w:left="0" w:right="0" w:hanging="0"/>
              <w:jc w:val="both"/>
              <w:rPr>
                <w:rFonts w:ascii="Arial Narrow" w:hAnsi="Arial Narrow"/>
                <w:b/>
                <w:sz w:val="18"/>
              </w:rPr>
            </w:pPr>
            <w:r>
              <w:rPr>
                <w:rFonts w:ascii="Arial Narrow" w:hAnsi="Arial Narrow"/>
                <w:b/>
                <w:sz w:val="18"/>
              </w:rPr>
              <w:t>Description</w:t>
            </w:r>
          </w:p>
        </w:tc>
      </w:tr>
      <w:tr>
        <w:trPr/>
        <w:tc>
          <w:tcPr>
            <w:tcW w:w="676" w:type="dxa"/>
            <w:tcBorders/>
            <w:vAlign w:val="center"/>
          </w:tcPr>
          <w:p>
            <w:pPr>
              <w:pStyle w:val="TableContents"/>
              <w:bidi w:val="0"/>
              <w:spacing w:before="60" w:after="0"/>
              <w:ind w:left="0" w:right="0" w:hanging="0"/>
              <w:jc w:val="both"/>
              <w:rPr>
                <w:rFonts w:ascii="Arial Narrow" w:hAnsi="Arial Narrow"/>
                <w:sz w:val="20"/>
              </w:rPr>
            </w:pPr>
            <w:r>
              <w:rPr>
                <w:rFonts w:ascii="Arial Narrow" w:hAnsi="Arial Narrow"/>
                <w:sz w:val="20"/>
              </w:rPr>
              <w:t>99.1</w:t>
            </w:r>
          </w:p>
        </w:tc>
        <w:tc>
          <w:tcPr>
            <w:tcW w:w="8686" w:type="dxa"/>
            <w:tcBorders/>
            <w:vAlign w:val="center"/>
          </w:tcPr>
          <w:p>
            <w:pPr>
              <w:pStyle w:val="TableContents"/>
              <w:bidi w:val="0"/>
              <w:spacing w:before="60" w:after="0"/>
              <w:ind w:left="0" w:right="0" w:hanging="0"/>
              <w:jc w:val="both"/>
              <w:rPr/>
            </w:pPr>
            <w:hyperlink w:anchor="rig-20260805xex99d1.htm">
              <w:r>
                <w:rPr>
                  <w:rStyle w:val="InternetLink"/>
                  <w:rFonts w:ascii="Arial Narrow" w:hAnsi="Arial Narrow"/>
                  <w:b w:val="false"/>
                  <w:i w:val="false"/>
                  <w:caps w:val="false"/>
                  <w:smallCaps w:val="false"/>
                  <w:sz w:val="20"/>
                </w:rPr>
                <w:t>Press Release Reporting Second Quarter 2026 Financial Results</w:t>
              </w:r>
            </w:hyperlink>
          </w:p>
        </w:tc>
      </w:tr>
      <w:tr>
        <w:trPr/>
        <w:tc>
          <w:tcPr>
            <w:tcW w:w="676" w:type="dxa"/>
            <w:tcBorders/>
            <w:vAlign w:val="center"/>
          </w:tcPr>
          <w:p>
            <w:pPr>
              <w:pStyle w:val="TableContents"/>
              <w:bidi w:val="0"/>
              <w:spacing w:before="60" w:after="0"/>
              <w:ind w:left="0" w:right="0" w:hanging="0"/>
              <w:jc w:val="both"/>
              <w:rPr>
                <w:rFonts w:ascii="Arial Narrow" w:hAnsi="Arial Narrow"/>
                <w:sz w:val="20"/>
              </w:rPr>
            </w:pPr>
            <w:r>
              <w:rPr>
                <w:rFonts w:ascii="Arial Narrow" w:hAnsi="Arial Narrow"/>
                <w:sz w:val="20"/>
              </w:rPr>
              <w:t>99.2</w:t>
            </w:r>
          </w:p>
        </w:tc>
        <w:tc>
          <w:tcPr>
            <w:tcW w:w="8686" w:type="dxa"/>
            <w:tcBorders/>
            <w:vAlign w:val="center"/>
          </w:tcPr>
          <w:p>
            <w:pPr>
              <w:pStyle w:val="TableContents"/>
              <w:bidi w:val="0"/>
              <w:spacing w:before="60" w:after="0"/>
              <w:ind w:left="0" w:right="0" w:hanging="0"/>
              <w:jc w:val="both"/>
              <w:rPr/>
            </w:pPr>
            <w:hyperlink w:anchor="rig-20260805xex99d2.htm">
              <w:r>
                <w:rPr>
                  <w:rStyle w:val="InternetLink"/>
                  <w:rFonts w:ascii="Arial Narrow" w:hAnsi="Arial Narrow"/>
                  <w:b w:val="false"/>
                  <w:i w:val="false"/>
                  <w:caps w:val="false"/>
                  <w:smallCaps w:val="false"/>
                  <w:sz w:val="20"/>
                </w:rPr>
                <w:t>Fleet Status Report dated August 5, 2026</w:t>
              </w:r>
            </w:hyperlink>
          </w:p>
        </w:tc>
      </w:tr>
      <w:tr>
        <w:trPr/>
        <w:tc>
          <w:tcPr>
            <w:tcW w:w="676" w:type="dxa"/>
            <w:tcBorders/>
            <w:vAlign w:val="center"/>
          </w:tcPr>
          <w:p>
            <w:pPr>
              <w:pStyle w:val="TableContents"/>
              <w:bidi w:val="0"/>
              <w:spacing w:before="60" w:after="0"/>
              <w:ind w:left="0" w:right="0" w:hanging="0"/>
              <w:jc w:val="both"/>
              <w:rPr>
                <w:rFonts w:ascii="Arial Narrow" w:hAnsi="Arial Narrow"/>
                <w:sz w:val="20"/>
              </w:rPr>
            </w:pPr>
            <w:r>
              <w:rPr>
                <w:rFonts w:ascii="Arial Narrow" w:hAnsi="Arial Narrow"/>
                <w:sz w:val="20"/>
              </w:rPr>
              <w:t>101</w:t>
            </w:r>
          </w:p>
        </w:tc>
        <w:tc>
          <w:tcPr>
            <w:tcW w:w="8686" w:type="dxa"/>
            <w:tcBorders/>
            <w:vAlign w:val="center"/>
          </w:tcPr>
          <w:p>
            <w:pPr>
              <w:pStyle w:val="TableContents"/>
              <w:bidi w:val="0"/>
              <w:spacing w:before="60" w:after="0"/>
              <w:ind w:left="0" w:right="0" w:hanging="0"/>
              <w:jc w:val="both"/>
              <w:rPr>
                <w:rFonts w:ascii="Arial Narrow" w:hAnsi="Arial Narrow"/>
                <w:sz w:val="20"/>
              </w:rPr>
            </w:pPr>
            <w:r>
              <w:rPr>
                <w:rFonts w:ascii="Arial Narrow" w:hAnsi="Arial Narrow"/>
                <w:sz w:val="20"/>
              </w:rPr>
              <w:t>Interactive data files pursuant to Rule 405 of Regulation S-T formatted in Inline Extensible Business Reporting Language</w:t>
            </w:r>
          </w:p>
        </w:tc>
      </w:tr>
      <w:tr>
        <w:trPr/>
        <w:tc>
          <w:tcPr>
            <w:tcW w:w="676" w:type="dxa"/>
            <w:tcBorders/>
            <w:vAlign w:val="center"/>
          </w:tcPr>
          <w:p>
            <w:pPr>
              <w:pStyle w:val="TableContents"/>
              <w:bidi w:val="0"/>
              <w:spacing w:before="60" w:after="0"/>
              <w:ind w:left="0" w:right="0" w:hanging="0"/>
              <w:jc w:val="both"/>
              <w:rPr>
                <w:rFonts w:ascii="Arial Narrow" w:hAnsi="Arial Narrow"/>
                <w:sz w:val="20"/>
              </w:rPr>
            </w:pPr>
            <w:r>
              <w:rPr>
                <w:rFonts w:ascii="Arial Narrow" w:hAnsi="Arial Narrow"/>
                <w:sz w:val="20"/>
              </w:rPr>
              <w:t>104</w:t>
            </w:r>
          </w:p>
        </w:tc>
        <w:tc>
          <w:tcPr>
            <w:tcW w:w="8686" w:type="dxa"/>
            <w:tcBorders/>
            <w:vAlign w:val="center"/>
          </w:tcPr>
          <w:p>
            <w:pPr>
              <w:pStyle w:val="TableContents"/>
              <w:bidi w:val="0"/>
              <w:spacing w:before="60" w:after="0"/>
              <w:ind w:left="0" w:right="0" w:hanging="0"/>
              <w:jc w:val="both"/>
              <w:rPr>
                <w:rFonts w:ascii="Arial Narrow" w:hAnsi="Arial Narrow"/>
                <w:sz w:val="20"/>
              </w:rPr>
            </w:pPr>
            <w:r>
              <w:rPr>
                <w:rFonts w:ascii="Arial Narrow" w:hAnsi="Arial Narrow"/>
                <w:sz w:val="20"/>
              </w:rPr>
              <w:t>Cover Page Interactive Data File (formatted as inline XBRL)</w:t>
            </w:r>
          </w:p>
        </w:tc>
      </w:tr>
    </w:tbl>
    <w:p>
      <w:pPr>
        <w:pStyle w:val="TextBody"/>
        <w:bidi w:val="0"/>
        <w:spacing w:lineRule="auto" w:line="285" w:before="60" w:after="120"/>
        <w:ind w:left="0" w:right="0" w:firstLine="720"/>
        <w:jc w:val="both"/>
        <w:rPr/>
      </w:pPr>
      <w:r>
        <w:rPr/>
        <w:t>​</w:t>
      </w:r>
    </w:p>
    <w:p>
      <w:pPr>
        <w:pStyle w:val="TextBody"/>
        <w:bidi w:val="0"/>
        <w:spacing w:before="0" w:after="0"/>
        <w:ind w:left="0" w:right="0" w:hanging="0"/>
        <w:jc w:val="left"/>
        <w:rPr/>
      </w:pPr>
      <w:r>
        <w:rPr/>
        <w:t>​</w:t>
      </w:r>
    </w:p>
    <w:p>
      <w:pPr>
        <w:pStyle w:val="TextBody"/>
        <w:bidi w:val="0"/>
        <w:spacing w:lineRule="auto" w:line="410" w:before="0" w:after="0"/>
        <w:ind w:left="0" w:right="0" w:hanging="0"/>
        <w:jc w:val="left"/>
        <w:rPr/>
      </w:pPr>
      <w:r>
        <w:rPr/>
        <w:t>​</w:t>
      </w:r>
    </w:p>
    <w:p>
      <w:pPr>
        <w:pStyle w:val="TextBody"/>
        <w:pBdr/>
        <w:bidi w:val="0"/>
        <w:spacing w:before="0" w:after="120"/>
        <w:ind w:left="0" w:right="0" w:hanging="1080"/>
        <w:jc w:val="left"/>
        <w:rPr>
          <w:rFonts w:ascii="Arial Narrow" w:hAnsi="Arial Narrow"/>
          <w:b/>
          <w:sz w:val="22"/>
        </w:rPr>
      </w:pPr>
      <w:r>
        <w:rPr>
          <w:rFonts w:ascii="Arial Narrow" w:hAnsi="Arial Narrow"/>
          <w:b/>
          <w:sz w:val="22"/>
        </w:rPr>
        <w:t>SIGNATURES</w:t>
      </w:r>
    </w:p>
    <w:p>
      <w:pPr>
        <w:pStyle w:val="TextBody"/>
        <w:bidi w:val="0"/>
        <w:spacing w:lineRule="auto" w:line="285" w:before="60" w:after="120"/>
        <w:ind w:left="0" w:right="0" w:firstLine="720"/>
        <w:jc w:val="both"/>
        <w:rPr>
          <w:rFonts w:ascii="Arial Narrow" w:hAnsi="Arial Narrow"/>
          <w:sz w:val="20"/>
        </w:rPr>
      </w:pPr>
      <w:r>
        <w:rPr>
          <w:rFonts w:ascii="Arial Narrow" w:hAnsi="Arial Narrow"/>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60" w:after="120"/>
        <w:ind w:left="0" w:right="0" w:firstLine="720"/>
        <w:jc w:val="both"/>
        <w:rPr/>
      </w:pPr>
      <w:r>
        <w:rPr/>
        <w:t>​</w:t>
      </w:r>
    </w:p>
    <w:tbl>
      <w:tblPr>
        <w:tblW w:w="3573" w:type="dxa"/>
        <w:jc w:val="left"/>
        <w:tblInd w:w="0" w:type="dxa"/>
        <w:tblLayout w:type="fixed"/>
        <w:tblCellMar>
          <w:top w:w="0" w:type="dxa"/>
          <w:left w:w="0" w:type="dxa"/>
          <w:bottom w:w="0" w:type="dxa"/>
          <w:right w:w="0" w:type="dxa"/>
        </w:tblCellMar>
      </w:tblPr>
      <w:tblGrid>
        <w:gridCol w:w="1636"/>
        <w:gridCol w:w="286"/>
        <w:gridCol w:w="1651"/>
      </w:tblGrid>
      <w:tr>
        <w:trPr/>
        <w:tc>
          <w:tcPr>
            <w:tcW w:w="16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1937" w:type="dxa"/>
            <w:gridSpan w:val="2"/>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TRANSOCEAN LTD.</w:t>
            </w:r>
          </w:p>
        </w:tc>
      </w:tr>
      <w:tr>
        <w:trPr/>
        <w:tc>
          <w:tcPr>
            <w:tcW w:w="1636" w:type="dxa"/>
            <w:tcBorders/>
            <w:vAlign w:val="center"/>
          </w:tcPr>
          <w:p>
            <w:pPr>
              <w:pStyle w:val="TableContents"/>
              <w:bidi w:val="0"/>
              <w:spacing w:before="0" w:after="0"/>
              <w:ind w:left="0" w:right="0" w:hanging="0"/>
              <w:jc w:val="left"/>
              <w:rPr/>
            </w:pPr>
            <w:r>
              <w:rPr/>
              <w:t>​</w:t>
            </w:r>
          </w:p>
        </w:tc>
        <w:tc>
          <w:tcPr>
            <w:tcW w:w="1937" w:type="dxa"/>
            <w:gridSpan w:val="2"/>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Date: August 5, 2026</w:t>
            </w:r>
          </w:p>
        </w:tc>
        <w:tc>
          <w:tcPr>
            <w:tcW w:w="286" w:type="dxa"/>
            <w:tcBorders/>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By</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/s/ Debra Kupferman</w:t>
            </w:r>
          </w:p>
        </w:tc>
      </w:tr>
      <w:tr>
        <w:trPr/>
        <w:tc>
          <w:tcPr>
            <w:tcW w:w="16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left"/>
              <w:rPr>
                <w:rFonts w:ascii="Arial Narrow" w:hAnsi="Arial Narrow"/>
                <w:sz w:val="20"/>
              </w:rPr>
            </w:pPr>
            <w:r>
              <w:rPr>
                <w:rFonts w:ascii="Arial Narrow" w:hAnsi="Arial Narrow"/>
                <w:sz w:val="20"/>
              </w:rPr>
              <w:t>Debra Kupferman</w:t>
            </w:r>
          </w:p>
        </w:tc>
      </w:tr>
      <w:tr>
        <w:trPr/>
        <w:tc>
          <w:tcPr>
            <w:tcW w:w="16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60" w:hanging="0"/>
              <w:jc w:val="left"/>
              <w:rPr>
                <w:rFonts w:ascii="Arial Narrow" w:hAnsi="Arial Narrow"/>
                <w:sz w:val="20"/>
              </w:rPr>
            </w:pPr>
            <w:r>
              <w:rPr>
                <w:rFonts w:ascii="Arial Narrow" w:hAnsi="Arial Narrow"/>
                <w:sz w:val="20"/>
              </w:rPr>
              <w:t>Authorized Person</w:t>
            </w:r>
          </w:p>
        </w:tc>
      </w:tr>
    </w:tbl>
    <w:p>
      <w:pPr>
        <w:pStyle w:val="TextBody"/>
        <w:bidi w:val="0"/>
        <w:spacing w:lineRule="auto" w:line="285" w:before="60" w:after="120"/>
        <w:ind w:left="0" w:right="0" w:firstLine="720"/>
        <w:jc w:val="both"/>
        <w:rPr/>
      </w:pPr>
      <w:r>
        <w:rPr/>
        <w:t>​</w:t>
      </w:r>
    </w:p>
    <w:p>
      <w:pPr>
        <w:pStyle w:val="TextBody"/>
        <w:bidi w:val="0"/>
        <w:spacing w:lineRule="auto" w:line="285" w:before="60" w:after="12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jc w:val="left"/>
        <w:rPr/>
      </w:pPr>
      <w:bookmarkStart w:id="33" w:name="rig-20260805xex99d1.htm"/>
      <w:bookmarkStart w:id="34" w:name="ksrig20260805xex99d1"/>
      <w:bookmarkEnd w:id="33"/>
      <w:bookmarkEnd w:id="34"/>
      <w:r>
        <w:rPr/>
        <w:drawing>
          <wp:inline distT="0" distB="0" distL="0" distR="0">
            <wp:extent cx="2687955" cy="6121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87955" cy="612140"/>
                    </a:xfrm>
                    <a:prstGeom prst="rect">
                      <a:avLst/>
                    </a:prstGeom>
                  </pic:spPr>
                </pic:pic>
              </a:graphicData>
            </a:graphic>
          </wp:inline>
        </w:drawing>
      </w:r>
      <w:r>
        <w:br w:type="page"/>
      </w:r>
    </w:p>
    <w:p>
      <w:pPr>
        <w:pStyle w:val="TextBody"/>
        <w:bidi w:val="0"/>
        <w:spacing w:lineRule="auto" w:line="285" w:before="0" w:after="0"/>
        <w:ind w:left="0" w:right="0" w:hanging="0"/>
        <w:jc w:val="right"/>
        <w:rPr>
          <w:rFonts w:ascii="Arial Narrow" w:hAnsi="Arial Narrow"/>
          <w:sz w:val="20"/>
        </w:rPr>
      </w:pPr>
      <w:bookmarkStart w:id="35" w:name="_Hlk222219892"/>
      <w:bookmarkEnd w:id="35"/>
      <w:r>
        <w:rPr>
          <w:rFonts w:ascii="Arial Narrow" w:hAnsi="Arial Narrow"/>
          <w:sz w:val="20"/>
        </w:rPr>
        <w:t>EXHIBIT 99.1</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360"/>
        <w:ind w:left="1022" w:right="1310" w:hanging="0"/>
        <w:jc w:val="center"/>
        <w:rPr>
          <w:rFonts w:ascii="Quantico" w:hAnsi="Quantico"/>
          <w:b/>
          <w:caps/>
          <w:sz w:val="28"/>
        </w:rPr>
      </w:pPr>
      <w:r>
        <w:rPr>
          <w:rFonts w:ascii="Quantico" w:hAnsi="Quantico"/>
          <w:b/>
          <w:caps/>
          <w:sz w:val="28"/>
        </w:rPr>
        <w:t>TRANSOCEAN LTD. REPORTS second QUARTER 2026 RESULTS</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STEINHAUSEN, Switzerland, August 5, 2026—Transocean Ltd. (NYSE: RIG) today reported financial results for the second quarter of 2026. The Company will host a conference call and webcast at 9 a.m. EDT, 3 p.m. CEST, on Thursday, August 6, 2026, with participation details included in this release. Supplemental schedules have been posted to the Investors section of the Company’s website at www.deepwater.com.</w:t>
      </w:r>
    </w:p>
    <w:p>
      <w:pPr>
        <w:pStyle w:val="TextBody"/>
        <w:bidi w:val="0"/>
        <w:spacing w:lineRule="auto" w:line="285" w:before="360" w:after="120"/>
        <w:ind w:left="0" w:right="0" w:hanging="0"/>
        <w:jc w:val="left"/>
        <w:rPr>
          <w:rFonts w:ascii="Quantico" w:hAnsi="Quantico"/>
          <w:b/>
          <w:caps/>
          <w:sz w:val="24"/>
        </w:rPr>
      </w:pPr>
      <w:r>
        <w:rPr>
          <w:rFonts w:ascii="Quantico" w:hAnsi="Quantico"/>
          <w:b/>
          <w:caps/>
          <w:sz w:val="24"/>
        </w:rPr>
        <w:t>Second quarter 2026 Key points</w:t>
      </w:r>
    </w:p>
    <w:tbl>
      <w:tblPr>
        <w:tblW w:w="7705" w:type="dxa"/>
        <w:jc w:val="left"/>
        <w:tblInd w:w="0" w:type="dxa"/>
        <w:tblLayout w:type="fixed"/>
        <w:tblCellMar>
          <w:top w:w="0" w:type="dxa"/>
          <w:left w:w="0" w:type="dxa"/>
          <w:bottom w:w="0" w:type="dxa"/>
          <w:right w:w="0" w:type="dxa"/>
        </w:tblCellMar>
      </w:tblPr>
      <w:tblGrid>
        <w:gridCol w:w="200"/>
        <w:gridCol w:w="7505"/>
      </w:tblGrid>
      <w:tr>
        <w:trPr/>
        <w:tc>
          <w:tcPr>
            <w:tcW w:w="20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left"/>
              <w:rPr/>
            </w:pPr>
            <w:r>
              <w:rPr>
                <w:rFonts w:ascii="Arial Narrow" w:hAnsi="Arial Narrow"/>
                <w:b w:val="false"/>
                <w:i w:val="false"/>
                <w:caps w:val="false"/>
                <w:smallCaps w:val="false"/>
                <w:sz w:val="24"/>
              </w:rPr>
              <w:t>Contract drilling revenues were $966 million with strong revenue efficiency</w:t>
            </w:r>
            <w:r>
              <w:rPr>
                <w:rFonts w:ascii="Arial Narrow" w:hAnsi="Arial Narrow"/>
                <w:b w:val="false"/>
                <w:i w:val="false"/>
                <w:caps w:val="false"/>
                <w:smallCaps w:val="false"/>
                <w:sz w:val="18"/>
              </w:rPr>
              <w:t>(1)</w:t>
            </w:r>
            <w:r>
              <w:rPr>
                <w:caps w:val="false"/>
                <w:smallCaps w:val="false"/>
              </w:rPr>
              <w:t xml:space="preserve"> </w:t>
            </w:r>
            <w:r>
              <w:rPr>
                <w:rFonts w:ascii="Arial Narrow" w:hAnsi="Arial Narrow"/>
                <w:b w:val="false"/>
                <w:i w:val="false"/>
                <w:caps w:val="false"/>
                <w:smallCaps w:val="false"/>
                <w:sz w:val="24"/>
              </w:rPr>
              <w:t>of 97.0%.</w:t>
            </w:r>
          </w:p>
        </w:tc>
      </w:tr>
    </w:tbl>
    <w:tbl>
      <w:tblPr>
        <w:tblW w:w="5035" w:type="dxa"/>
        <w:jc w:val="left"/>
        <w:tblInd w:w="0" w:type="dxa"/>
        <w:tblLayout w:type="fixed"/>
        <w:tblCellMar>
          <w:top w:w="0" w:type="dxa"/>
          <w:left w:w="0" w:type="dxa"/>
          <w:bottom w:w="0" w:type="dxa"/>
          <w:right w:w="0" w:type="dxa"/>
        </w:tblCellMar>
      </w:tblPr>
      <w:tblGrid>
        <w:gridCol w:w="200"/>
        <w:gridCol w:w="4835"/>
      </w:tblGrid>
      <w:tr>
        <w:trPr/>
        <w:tc>
          <w:tcPr>
            <w:tcW w:w="20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left"/>
              <w:rPr>
                <w:rFonts w:ascii="Arial Narrow" w:hAnsi="Arial Narrow"/>
                <w:b w:val="false"/>
                <w:i w:val="false"/>
                <w:caps w:val="false"/>
                <w:smallCaps w:val="false"/>
                <w:sz w:val="24"/>
              </w:rPr>
            </w:pPr>
            <w:r>
              <w:rPr>
                <w:rFonts w:ascii="Arial Narrow" w:hAnsi="Arial Narrow"/>
                <w:b w:val="false"/>
                <w:i w:val="false"/>
                <w:caps w:val="false"/>
                <w:smallCaps w:val="false"/>
                <w:sz w:val="24"/>
              </w:rPr>
              <w:t>Net income was $170 million or $0.04 per diluted share.</w:t>
            </w:r>
          </w:p>
        </w:tc>
      </w:tr>
    </w:tbl>
    <w:tbl>
      <w:tblPr>
        <w:tblW w:w="5890" w:type="dxa"/>
        <w:jc w:val="left"/>
        <w:tblInd w:w="0" w:type="dxa"/>
        <w:tblLayout w:type="fixed"/>
        <w:tblCellMar>
          <w:top w:w="0" w:type="dxa"/>
          <w:left w:w="0" w:type="dxa"/>
          <w:bottom w:w="0" w:type="dxa"/>
          <w:right w:w="0" w:type="dxa"/>
        </w:tblCellMar>
      </w:tblPr>
      <w:tblGrid>
        <w:gridCol w:w="200"/>
        <w:gridCol w:w="5690"/>
      </w:tblGrid>
      <w:tr>
        <w:trPr/>
        <w:tc>
          <w:tcPr>
            <w:tcW w:w="20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left"/>
              <w:rPr>
                <w:rFonts w:ascii="Arial Narrow" w:hAnsi="Arial Narrow"/>
                <w:b w:val="false"/>
                <w:i w:val="false"/>
                <w:caps w:val="false"/>
                <w:smallCaps w:val="false"/>
                <w:sz w:val="24"/>
              </w:rPr>
            </w:pPr>
            <w:r>
              <w:rPr>
                <w:rFonts w:ascii="Arial Narrow" w:hAnsi="Arial Narrow"/>
                <w:b w:val="false"/>
                <w:i w:val="false"/>
                <w:caps w:val="false"/>
                <w:smallCaps w:val="false"/>
                <w:sz w:val="24"/>
              </w:rPr>
              <w:t>Adjusted EBITDA was $312 million, reflecting a margin of 32.2%.</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left"/>
              <w:rPr>
                <w:rFonts w:ascii="Arial Narrow" w:hAnsi="Arial Narrow"/>
                <w:b w:val="false"/>
                <w:i w:val="false"/>
                <w:caps w:val="false"/>
                <w:smallCaps w:val="false"/>
                <w:sz w:val="24"/>
              </w:rPr>
            </w:pPr>
            <w:r>
              <w:rPr>
                <w:rFonts w:ascii="Arial Narrow" w:hAnsi="Arial Narrow"/>
                <w:b w:val="false"/>
                <w:i w:val="false"/>
                <w:caps w:val="false"/>
                <w:smallCaps w:val="false"/>
                <w:sz w:val="24"/>
              </w:rPr>
              <w:t>Net cash provided by operating activities was $236 million; net of capital expenditures of $24 million, free cash flow was $212 million.</w:t>
            </w:r>
          </w:p>
        </w:tc>
      </w:tr>
    </w:tbl>
    <w:tbl>
      <w:tblPr>
        <w:tblW w:w="9460" w:type="dxa"/>
        <w:jc w:val="left"/>
        <w:tblInd w:w="0" w:type="dxa"/>
        <w:tblLayout w:type="fixed"/>
        <w:tblCellMar>
          <w:top w:w="0" w:type="dxa"/>
          <w:left w:w="0" w:type="dxa"/>
          <w:bottom w:w="0" w:type="dxa"/>
          <w:right w:w="0" w:type="dxa"/>
        </w:tblCellMar>
      </w:tblPr>
      <w:tblGrid>
        <w:gridCol w:w="200"/>
        <w:gridCol w:w="9260"/>
      </w:tblGrid>
      <w:tr>
        <w:trPr/>
        <w:tc>
          <w:tcPr>
            <w:tcW w:w="20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rFonts w:ascii="Arial Narrow" w:hAnsi="Arial Narrow"/>
                <w:b w:val="false"/>
                <w:i w:val="false"/>
                <w:caps w:val="false"/>
                <w:smallCaps w:val="false"/>
                <w:sz w:val="24"/>
              </w:rPr>
            </w:pPr>
            <w:r>
              <w:rPr>
                <w:rFonts w:ascii="Arial Narrow" w:hAnsi="Arial Narrow"/>
                <w:b w:val="false"/>
                <w:i w:val="false"/>
                <w:caps w:val="false"/>
                <w:smallCaps w:val="false"/>
                <w:sz w:val="24"/>
              </w:rPr>
              <w:t>Ended the period with total liquidity of more than $1.3 billion, including the undrawn revolving credit facility.</w:t>
            </w:r>
          </w:p>
        </w:tc>
      </w:tr>
    </w:tbl>
    <w:tbl>
      <w:tblPr>
        <w:tblW w:w="8095" w:type="dxa"/>
        <w:jc w:val="left"/>
        <w:tblInd w:w="0" w:type="dxa"/>
        <w:tblLayout w:type="fixed"/>
        <w:tblCellMar>
          <w:top w:w="0" w:type="dxa"/>
          <w:left w:w="0" w:type="dxa"/>
          <w:bottom w:w="0" w:type="dxa"/>
          <w:right w:w="0" w:type="dxa"/>
        </w:tblCellMar>
      </w:tblPr>
      <w:tblGrid>
        <w:gridCol w:w="200"/>
        <w:gridCol w:w="7895"/>
      </w:tblGrid>
      <w:tr>
        <w:trPr/>
        <w:tc>
          <w:tcPr>
            <w:tcW w:w="20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left"/>
              <w:rPr/>
            </w:pPr>
            <w:r>
              <w:rPr>
                <w:rFonts w:ascii="Arial Narrow" w:hAnsi="Arial Narrow"/>
                <w:b w:val="false"/>
                <w:i w:val="false"/>
                <w:caps w:val="false"/>
                <w:smallCaps w:val="false"/>
                <w:sz w:val="24"/>
              </w:rPr>
              <w:t>Added $292 million in contract backlog</w:t>
            </w:r>
            <w:r>
              <w:rPr>
                <w:rFonts w:ascii="Arial Narrow" w:hAnsi="Arial Narrow"/>
                <w:b w:val="false"/>
                <w:i w:val="false"/>
                <w:caps w:val="false"/>
                <w:smallCaps w:val="false"/>
                <w:sz w:val="18"/>
              </w:rPr>
              <w:t>(2)</w:t>
            </w:r>
            <w:r>
              <w:rPr>
                <w:caps w:val="false"/>
                <w:smallCaps w:val="false"/>
              </w:rPr>
              <w:t xml:space="preserve"> </w:t>
            </w:r>
            <w:r>
              <w:rPr>
                <w:rFonts w:ascii="Arial Narrow" w:hAnsi="Arial Narrow"/>
                <w:b w:val="false"/>
                <w:i w:val="false"/>
                <w:caps w:val="false"/>
                <w:smallCaps w:val="false"/>
                <w:sz w:val="24"/>
              </w:rPr>
              <w:t>at a weighted average dayrate of about $461,000.</w:t>
            </w:r>
          </w:p>
        </w:tc>
      </w:tr>
    </w:tbl>
    <w:p>
      <w:pPr>
        <w:pStyle w:val="TextBody"/>
        <w:bidi w:val="0"/>
        <w:spacing w:lineRule="auto" w:line="285" w:before="60" w:after="180"/>
        <w:ind w:left="0" w:right="0" w:hanging="0"/>
        <w:jc w:val="left"/>
        <w:rPr/>
      </w:pPr>
      <w:r>
        <w:rPr/>
        <w:t>“</w:t>
      </w:r>
      <w:r>
        <w:rPr>
          <w:rFonts w:ascii="Arial Narrow" w:hAnsi="Arial Narrow"/>
          <w:sz w:val="24"/>
        </w:rPr>
        <w:t>Transocean delivered a strong second quarter, supported by 97% revenue efficiency and solid adjusted EBITDA margins, resulting in excellent cash flow and improved liquidity,” said Keelan Adamson, Transocean’s CEO. “Our performance reflects our ongoing commitment to create value through the cycle by optimizing the value of our differentiated fleet, generating industry-leading free cash flow, and enhancing our capital structure.</w:t>
      </w:r>
    </w:p>
    <w:p>
      <w:pPr>
        <w:pStyle w:val="TextBody"/>
        <w:bidi w:val="0"/>
        <w:spacing w:lineRule="auto" w:line="285" w:before="60" w:after="180"/>
        <w:ind w:left="0" w:right="0" w:hanging="0"/>
        <w:jc w:val="left"/>
        <w:rPr/>
      </w:pPr>
      <w:r>
        <w:rPr/>
        <w:t>“</w:t>
      </w:r>
      <w:r>
        <w:rPr>
          <w:rFonts w:ascii="Arial Narrow" w:hAnsi="Arial Narrow"/>
          <w:sz w:val="24"/>
        </w:rPr>
        <w:t>We expect to see demand for our highest specification rigs increase in the coming years with industry utilization for deepwater and harsh environment assets projected to move well into the 90% range during 2027. Our recent contract awards across Norway, Australia, the U.S. Gulf, and the Ivory Coast, together with the $1.0 billion Equinor agreement for three harsh environment semisubmersibles, show that customers continue to secure rig capacity. With our differentiated fleet, strong execution capabilities, and improving financial flexibility, we believe Transocean is well positioned to deliver long-term value for our shareholders.”</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left"/>
        <w:rPr>
          <w:rFonts w:ascii="Quantico" w:hAnsi="Quantico"/>
          <w:b/>
          <w:caps/>
          <w:sz w:val="24"/>
        </w:rPr>
      </w:pPr>
      <w:r>
        <w:rPr>
          <w:rFonts w:ascii="Quantico" w:hAnsi="Quantico"/>
          <w:b/>
          <w:caps/>
          <w:sz w:val="24"/>
        </w:rPr>
        <w:t>2Q26 Financial Summary</w:t>
      </w:r>
    </w:p>
    <w:tbl>
      <w:tblPr>
        <w:tblW w:w="10205" w:type="dxa"/>
        <w:jc w:val="center"/>
        <w:tblInd w:w="0" w:type="dxa"/>
        <w:tblLayout w:type="fixed"/>
        <w:tblCellMar>
          <w:top w:w="0" w:type="dxa"/>
          <w:left w:w="0" w:type="dxa"/>
          <w:bottom w:w="0" w:type="dxa"/>
          <w:right w:w="0" w:type="dxa"/>
        </w:tblCellMar>
      </w:tblPr>
      <w:tblGrid>
        <w:gridCol w:w="3832"/>
        <w:gridCol w:w="196"/>
        <w:gridCol w:w="511"/>
        <w:gridCol w:w="331"/>
        <w:gridCol w:w="109"/>
        <w:gridCol w:w="196"/>
        <w:gridCol w:w="539"/>
        <w:gridCol w:w="331"/>
        <w:gridCol w:w="346"/>
        <w:gridCol w:w="196"/>
        <w:gridCol w:w="538"/>
        <w:gridCol w:w="109"/>
        <w:gridCol w:w="109"/>
        <w:gridCol w:w="282"/>
        <w:gridCol w:w="777"/>
        <w:gridCol w:w="476"/>
        <w:gridCol w:w="346"/>
        <w:gridCol w:w="196"/>
        <w:gridCol w:w="628"/>
        <w:gridCol w:w="157"/>
      </w:tblGrid>
      <w:tr>
        <w:trPr/>
        <w:tc>
          <w:tcPr>
            <w:tcW w:w="3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433320" cy="175260"/>
                      <wp:effectExtent l="0" t="0" r="0" b="0"/>
                      <wp:wrapNone/>
                      <wp:docPr id="3" name="Frame1"/>
                      <a:graphic xmlns:a="http://schemas.openxmlformats.org/drawingml/2006/main">
                        <a:graphicData uri="http://schemas.microsoft.com/office/word/2010/wordprocessingShape">
                          <wps:wsp>
                            <wps:cNvSpPr txBox="1"/>
                            <wps:spPr>
                              <a:xfrm>
                                <a:off x="0" y="0"/>
                                <a:ext cx="2433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4" name="Frame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24485" cy="175260"/>
                      <wp:effectExtent l="0" t="0" r="0" b="0"/>
                      <wp:wrapNone/>
                      <wp:docPr id="5" name="Frame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0185" cy="175260"/>
                      <wp:effectExtent l="0" t="0" r="0" b="0"/>
                      <wp:wrapNone/>
                      <wp:docPr id="6" name="Frame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7"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8"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42265" cy="175260"/>
                      <wp:effectExtent l="0" t="0" r="0" b="0"/>
                      <wp:wrapNone/>
                      <wp:docPr id="9" name="Frame7"/>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0185" cy="175260"/>
                      <wp:effectExtent l="0" t="0" r="0" b="0"/>
                      <wp:wrapNone/>
                      <wp:docPr id="10" name="Frame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1"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12"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41630" cy="175260"/>
                      <wp:effectExtent l="0" t="0" r="0" b="0"/>
                      <wp:wrapNone/>
                      <wp:docPr id="13" name="Frame11"/>
                      <a:graphic xmlns:a="http://schemas.openxmlformats.org/drawingml/2006/main">
                        <a:graphicData uri="http://schemas.microsoft.com/office/word/2010/wordprocessingShape">
                          <wps:wsp>
                            <wps:cNvSpPr txBox="1"/>
                            <wps:spPr>
                              <a:xfrm>
                                <a:off x="0" y="0"/>
                                <a:ext cx="341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14"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15"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9070" cy="175260"/>
                      <wp:effectExtent l="0" t="0" r="0" b="0"/>
                      <wp:wrapNone/>
                      <wp:docPr id="16" name="Frame14"/>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93395" cy="175260"/>
                      <wp:effectExtent l="0" t="0" r="0" b="0"/>
                      <wp:wrapNone/>
                      <wp:docPr id="17" name="Frame15"/>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02260" cy="175260"/>
                      <wp:effectExtent l="0" t="0" r="0" b="0"/>
                      <wp:wrapNone/>
                      <wp:docPr id="18" name="Frame16"/>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19"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0"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98780" cy="175260"/>
                      <wp:effectExtent l="0" t="0" r="0" b="0"/>
                      <wp:wrapNone/>
                      <wp:docPr id="21" name="Frame19"/>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9695" cy="175260"/>
                      <wp:effectExtent l="0" t="0" r="0" b="0"/>
                      <wp:wrapNone/>
                      <wp:docPr id="22" name="Frame20"/>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32" w:type="dxa"/>
            <w:tcBorders/>
            <w:vAlign w:val="center"/>
          </w:tcPr>
          <w:p>
            <w:pPr>
              <w:pStyle w:val="TableContents"/>
              <w:bidi w:val="0"/>
              <w:spacing w:lineRule="auto" w:line="285" w:before="0" w:after="0"/>
              <w:ind w:left="0" w:right="0" w:hanging="0"/>
              <w:jc w:val="left"/>
              <w:rPr/>
            </w:pPr>
            <w:r>
              <w:rPr/>
              <w:t>​</w:t>
            </w:r>
          </w:p>
        </w:tc>
        <w:tc>
          <w:tcPr>
            <w:tcW w:w="2213" w:type="dxa"/>
            <w:gridSpan w:val="7"/>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 Narrow" w:hAnsi="Arial Narrow"/>
                <w:b/>
                <w:sz w:val="16"/>
              </w:rPr>
            </w:pPr>
            <w:r>
              <w:rPr>
                <w:rFonts w:ascii="Arial Narrow" w:hAnsi="Arial Narrow"/>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3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535"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 Narrow" w:hAnsi="Arial Narrow"/>
                <w:b/>
                <w:sz w:val="16"/>
              </w:rPr>
            </w:pPr>
            <w:r>
              <w:rPr>
                <w:rFonts w:ascii="Arial Narrow" w:hAnsi="Arial Narrow"/>
                <w:b/>
                <w:sz w:val="16"/>
              </w:rPr>
              <w:t xml:space="preserve">Three months ended </w:t>
            </w:r>
          </w:p>
        </w:tc>
        <w:tc>
          <w:tcPr>
            <w:tcW w:w="34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28" w:type="dxa"/>
            <w:tcBorders/>
            <w:vAlign w:val="center"/>
          </w:tcPr>
          <w:p>
            <w:pPr>
              <w:pStyle w:val="TableContents"/>
              <w:bidi w:val="0"/>
              <w:spacing w:lineRule="auto" w:line="285" w:before="0" w:after="0"/>
              <w:ind w:left="0" w:right="0" w:hanging="0"/>
              <w:jc w:val="center"/>
              <w:rPr/>
            </w:pPr>
            <w:r>
              <w:rPr/>
              <w:t>​</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0"/>
              <w:ind w:left="0" w:right="0" w:hanging="0"/>
              <w:jc w:val="left"/>
              <w:rPr/>
            </w:pPr>
            <w:r>
              <w:rPr/>
              <w:t>​</w:t>
            </w:r>
          </w:p>
        </w:tc>
        <w:tc>
          <w:tcPr>
            <w:tcW w:w="1038" w:type="dxa"/>
            <w:gridSpan w:val="3"/>
            <w:tcBorders/>
            <w:vAlign w:val="center"/>
          </w:tcPr>
          <w:p>
            <w:pPr>
              <w:pStyle w:val="TableContents"/>
              <w:bidi w:val="0"/>
              <w:spacing w:lineRule="auto" w:line="285" w:before="0" w:after="1"/>
              <w:ind w:left="0" w:right="0" w:hanging="0"/>
              <w:jc w:val="center"/>
              <w:rPr>
                <w:rFonts w:ascii="Arial Narrow" w:hAnsi="Arial Narrow"/>
                <w:b/>
                <w:sz w:val="16"/>
              </w:rPr>
            </w:pPr>
            <w:r>
              <w:rPr>
                <w:rFonts w:ascii="Arial Narrow" w:hAnsi="Arial Narrow"/>
                <w:b/>
                <w:sz w:val="16"/>
              </w:rPr>
              <w:t>June 30, </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gridSpan w:val="3"/>
            <w:tcBorders/>
            <w:vAlign w:val="center"/>
          </w:tcPr>
          <w:p>
            <w:pPr>
              <w:pStyle w:val="TableContents"/>
              <w:bidi w:val="0"/>
              <w:spacing w:lineRule="auto" w:line="285" w:before="0" w:after="1"/>
              <w:ind w:left="0" w:right="0" w:hanging="0"/>
              <w:jc w:val="center"/>
              <w:rPr>
                <w:rFonts w:ascii="Arial Narrow" w:hAnsi="Arial Narrow"/>
                <w:b/>
                <w:sz w:val="16"/>
              </w:rPr>
            </w:pPr>
            <w:r>
              <w:rPr>
                <w:rFonts w:ascii="Arial Narrow" w:hAnsi="Arial Narrow"/>
                <w:b/>
                <w:sz w:val="16"/>
              </w:rPr>
              <w:t>March 31,</w:t>
            </w:r>
          </w:p>
        </w:tc>
        <w:tc>
          <w:tcPr>
            <w:tcW w:w="346" w:type="dxa"/>
            <w:tcBorders/>
            <w:vAlign w:val="center"/>
          </w:tcPr>
          <w:p>
            <w:pPr>
              <w:pStyle w:val="TableContents"/>
              <w:bidi w:val="0"/>
              <w:spacing w:lineRule="auto" w:line="285" w:before="0" w:after="1"/>
              <w:ind w:left="0" w:right="0" w:hanging="0"/>
              <w:jc w:val="left"/>
              <w:rPr/>
            </w:pPr>
            <w:r>
              <w:rPr/>
              <w:t>  ​ ​ ​</w:t>
            </w:r>
          </w:p>
        </w:tc>
        <w:tc>
          <w:tcPr>
            <w:tcW w:w="843" w:type="dxa"/>
            <w:gridSpan w:val="3"/>
            <w:tcBorders/>
            <w:vAlign w:val="center"/>
          </w:tcPr>
          <w:p>
            <w:pPr>
              <w:pStyle w:val="TableContents"/>
              <w:bidi w:val="0"/>
              <w:spacing w:lineRule="auto" w:line="285" w:before="0" w:after="1"/>
              <w:ind w:left="0" w:right="0" w:hanging="0"/>
              <w:jc w:val="center"/>
              <w:rPr>
                <w:rFonts w:ascii="Arial Narrow" w:hAnsi="Arial Narrow"/>
                <w:b/>
                <w:sz w:val="14"/>
              </w:rPr>
            </w:pPr>
            <w:r>
              <w:rPr>
                <w:rFonts w:ascii="Arial Narrow" w:hAnsi="Arial Narrow"/>
                <w:b/>
                <w:sz w:val="14"/>
              </w:rPr>
              <w:t>sequential</w:t>
            </w:r>
          </w:p>
        </w:tc>
        <w:tc>
          <w:tcPr>
            <w:tcW w:w="109" w:type="dxa"/>
            <w:tcBorders/>
            <w:vAlign w:val="center"/>
          </w:tcPr>
          <w:p>
            <w:pPr>
              <w:pStyle w:val="TableContents"/>
              <w:bidi w:val="0"/>
              <w:spacing w:lineRule="auto" w:line="285" w:before="0" w:after="0"/>
              <w:ind w:left="0" w:right="0" w:hanging="0"/>
              <w:jc w:val="left"/>
              <w:rPr/>
            </w:pPr>
            <w:r>
              <w:rPr/>
              <w:t>​</w:t>
            </w:r>
          </w:p>
        </w:tc>
        <w:tc>
          <w:tcPr>
            <w:tcW w:w="1535" w:type="dxa"/>
            <w:gridSpan w:val="3"/>
            <w:tcBorders/>
            <w:vAlign w:val="center"/>
          </w:tcPr>
          <w:p>
            <w:pPr>
              <w:pStyle w:val="TableContents"/>
              <w:bidi w:val="0"/>
              <w:spacing w:lineRule="auto" w:line="285" w:before="0" w:after="1"/>
              <w:ind w:left="0" w:right="0" w:hanging="0"/>
              <w:jc w:val="center"/>
              <w:rPr>
                <w:rFonts w:ascii="Arial Narrow" w:hAnsi="Arial Narrow"/>
                <w:b/>
                <w:sz w:val="16"/>
              </w:rPr>
            </w:pPr>
            <w:r>
              <w:rPr>
                <w:rFonts w:ascii="Arial Narrow" w:hAnsi="Arial Narrow"/>
                <w:b/>
                <w:sz w:val="16"/>
              </w:rPr>
              <w:t>June 30, </w:t>
            </w:r>
          </w:p>
        </w:tc>
        <w:tc>
          <w:tcPr>
            <w:tcW w:w="346" w:type="dxa"/>
            <w:tcBorders/>
            <w:vAlign w:val="center"/>
          </w:tcPr>
          <w:p>
            <w:pPr>
              <w:pStyle w:val="TableContents"/>
              <w:bidi w:val="0"/>
              <w:spacing w:lineRule="auto" w:line="285" w:before="0" w:after="1"/>
              <w:ind w:left="0" w:right="0" w:hanging="0"/>
              <w:jc w:val="left"/>
              <w:rPr/>
            </w:pPr>
            <w:r>
              <w:rPr/>
              <w:t>  ​ ​ ​</w:t>
            </w:r>
          </w:p>
        </w:tc>
        <w:tc>
          <w:tcPr>
            <w:tcW w:w="981" w:type="dxa"/>
            <w:gridSpan w:val="3"/>
            <w:tcBorders/>
            <w:vAlign w:val="center"/>
          </w:tcPr>
          <w:p>
            <w:pPr>
              <w:pStyle w:val="TableContents"/>
              <w:bidi w:val="0"/>
              <w:spacing w:lineRule="auto" w:line="285" w:before="0" w:after="1"/>
              <w:ind w:left="0" w:right="0" w:hanging="0"/>
              <w:jc w:val="center"/>
              <w:rPr>
                <w:rFonts w:ascii="Arial Narrow" w:hAnsi="Arial Narrow"/>
                <w:b/>
                <w:sz w:val="14"/>
              </w:rPr>
            </w:pPr>
            <w:r>
              <w:rPr>
                <w:rFonts w:ascii="Arial Narrow" w:hAnsi="Arial Narrow"/>
                <w:b/>
                <w:sz w:val="14"/>
              </w:rPr>
              <w:t>year-over-year</w:t>
            </w:r>
          </w:p>
        </w:tc>
      </w:tr>
      <w:tr>
        <w:trPr/>
        <w:tc>
          <w:tcPr>
            <w:tcW w:w="3832" w:type="dxa"/>
            <w:tcBorders/>
            <w:vAlign w:val="center"/>
          </w:tcPr>
          <w:p>
            <w:pPr>
              <w:pStyle w:val="TableContents"/>
              <w:bidi w:val="0"/>
              <w:spacing w:lineRule="auto" w:line="285" w:before="0" w:after="0"/>
              <w:ind w:left="0" w:right="0" w:hanging="0"/>
              <w:jc w:val="left"/>
              <w:rPr/>
            </w:pPr>
            <w:r>
              <w:rPr/>
              <w:t>​</w:t>
            </w:r>
          </w:p>
        </w:tc>
        <w:tc>
          <w:tcPr>
            <w:tcW w:w="1038"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 Narrow" w:hAnsi="Arial Narrow"/>
                <w:b/>
                <w:sz w:val="16"/>
              </w:rPr>
            </w:pPr>
            <w:r>
              <w:rPr>
                <w:rFonts w:ascii="Arial Narrow" w:hAnsi="Arial Narrow"/>
                <w:b/>
                <w:sz w:val="16"/>
              </w:rPr>
              <w:t>2026</w:t>
            </w:r>
          </w:p>
        </w:tc>
        <w:tc>
          <w:tcPr>
            <w:tcW w:w="109" w:type="dxa"/>
            <w:tcBorders/>
            <w:vAlign w:val="center"/>
          </w:tcPr>
          <w:p>
            <w:pPr>
              <w:pStyle w:val="TableContents"/>
              <w:bidi w:val="0"/>
              <w:spacing w:lineRule="auto" w:line="285" w:before="0" w:after="0"/>
              <w:ind w:left="0" w:right="0" w:hanging="0"/>
              <w:jc w:val="left"/>
              <w:rPr/>
            </w:pPr>
            <w:r>
              <w:rPr/>
              <w:t>​</w:t>
            </w:r>
          </w:p>
        </w:tc>
        <w:tc>
          <w:tcPr>
            <w:tcW w:w="1066"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 Narrow" w:hAnsi="Arial Narrow"/>
                <w:b/>
                <w:sz w:val="16"/>
              </w:rPr>
            </w:pPr>
            <w:r>
              <w:rPr>
                <w:rFonts w:ascii="Arial Narrow" w:hAnsi="Arial Narrow"/>
                <w:b/>
                <w:sz w:val="16"/>
              </w:rPr>
              <w:t>2026</w:t>
            </w:r>
          </w:p>
        </w:tc>
        <w:tc>
          <w:tcPr>
            <w:tcW w:w="346" w:type="dxa"/>
            <w:tcBorders/>
            <w:vAlign w:val="center"/>
          </w:tcPr>
          <w:p>
            <w:pPr>
              <w:pStyle w:val="TableContents"/>
              <w:bidi w:val="0"/>
              <w:spacing w:lineRule="auto" w:line="285" w:before="0" w:after="0"/>
              <w:ind w:left="0" w:right="0" w:hanging="0"/>
              <w:jc w:val="left"/>
              <w:rPr/>
            </w:pPr>
            <w:r>
              <w:rPr/>
              <w:t>​</w:t>
            </w:r>
          </w:p>
        </w:tc>
        <w:tc>
          <w:tcPr>
            <w:tcW w:w="843"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 Narrow" w:hAnsi="Arial Narrow"/>
                <w:b/>
                <w:sz w:val="14"/>
              </w:rPr>
            </w:pPr>
            <w:r>
              <w:rPr>
                <w:rFonts w:ascii="Arial Narrow" w:hAnsi="Arial Narrow"/>
                <w:b/>
                <w:sz w:val="14"/>
              </w:rPr>
              <w:t>change</w:t>
            </w:r>
          </w:p>
        </w:tc>
        <w:tc>
          <w:tcPr>
            <w:tcW w:w="109" w:type="dxa"/>
            <w:tcBorders/>
            <w:vAlign w:val="center"/>
          </w:tcPr>
          <w:p>
            <w:pPr>
              <w:pStyle w:val="TableContents"/>
              <w:bidi w:val="0"/>
              <w:spacing w:lineRule="auto" w:line="285" w:before="0" w:after="0"/>
              <w:ind w:left="0" w:right="0" w:hanging="0"/>
              <w:jc w:val="left"/>
              <w:rPr/>
            </w:pPr>
            <w:r>
              <w:rPr/>
              <w:t>​</w:t>
            </w:r>
          </w:p>
        </w:tc>
        <w:tc>
          <w:tcPr>
            <w:tcW w:w="1535"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 Narrow" w:hAnsi="Arial Narrow"/>
                <w:b/>
                <w:sz w:val="16"/>
              </w:rPr>
            </w:pPr>
            <w:r>
              <w:rPr>
                <w:rFonts w:ascii="Arial Narrow" w:hAnsi="Arial Narrow"/>
                <w:b/>
                <w:sz w:val="16"/>
              </w:rPr>
              <w:t>2025</w:t>
            </w:r>
          </w:p>
        </w:tc>
        <w:tc>
          <w:tcPr>
            <w:tcW w:w="346" w:type="dxa"/>
            <w:tcBorders/>
            <w:vAlign w:val="center"/>
          </w:tcPr>
          <w:p>
            <w:pPr>
              <w:pStyle w:val="TableContents"/>
              <w:bidi w:val="0"/>
              <w:spacing w:lineRule="auto" w:line="285" w:before="0" w:after="0"/>
              <w:ind w:left="0" w:right="0" w:hanging="0"/>
              <w:jc w:val="left"/>
              <w:rPr/>
            </w:pPr>
            <w:r>
              <w:rPr/>
              <w:t>​</w:t>
            </w:r>
          </w:p>
        </w:tc>
        <w:tc>
          <w:tcPr>
            <w:tcW w:w="981"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Arial Narrow" w:hAnsi="Arial Narrow"/>
                <w:b/>
                <w:sz w:val="14"/>
              </w:rPr>
            </w:pPr>
            <w:r>
              <w:rPr>
                <w:rFonts w:ascii="Arial Narrow" w:hAnsi="Arial Narrow"/>
                <w:b/>
                <w:sz w:val="14"/>
              </w:rPr>
              <w:t>change</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b/>
                <w:sz w:val="16"/>
              </w:rPr>
            </w:pPr>
            <w:r>
              <w:rPr>
                <w:rFonts w:ascii="Arial Narrow" w:hAnsi="Arial Narrow"/>
                <w:b/>
                <w:sz w:val="16"/>
              </w:rPr>
              <w:t>(In millions, except per share amounts and percentages)</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left"/>
              <w:rPr/>
            </w:pPr>
            <w:r>
              <w:rPr/>
              <w:t>​</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39" w:type="dxa"/>
            <w:tcBorders/>
            <w:vAlign w:val="center"/>
          </w:tcPr>
          <w:p>
            <w:pPr>
              <w:pStyle w:val="TableContents"/>
              <w:bidi w:val="0"/>
              <w:spacing w:lineRule="auto" w:line="285" w:before="0" w:after="0"/>
              <w:ind w:left="0" w:right="0" w:hanging="0"/>
              <w:jc w:val="left"/>
              <w:rPr/>
            </w:pPr>
            <w:r>
              <w:rPr/>
              <w:t>​</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38"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w:t>
            </w:r>
          </w:p>
        </w:tc>
        <w:tc>
          <w:tcPr>
            <w:tcW w:w="777"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left"/>
              <w:rPr/>
            </w:pPr>
            <w:r>
              <w:rPr/>
              <w:t>​</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Contract drilling revenues</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966</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1,081</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(115)</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988</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62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(22)</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Revenue efficiency</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97.0</w:t>
            </w:r>
          </w:p>
        </w:tc>
        <w:tc>
          <w:tcPr>
            <w:tcW w:w="331"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  </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97.3</w:t>
            </w:r>
          </w:p>
        </w:tc>
        <w:tc>
          <w:tcPr>
            <w:tcW w:w="331"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  </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3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96.6</w:t>
            </w:r>
          </w:p>
        </w:tc>
        <w:tc>
          <w:tcPr>
            <w:tcW w:w="47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  </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Operating and maintenance expense</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608</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606</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(2)</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599</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62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(9)</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Net income (loss)</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170</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71</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99</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(938)</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62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1,108</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Basic earnings (loss) per share</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0.15</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0.06</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0.09</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(1.06)</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62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1.21</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Diluted earnings (loss) per share</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0.04</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0.06</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(0.02)</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(1.06)</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62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1.10</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39"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3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w:t>
            </w:r>
          </w:p>
        </w:tc>
        <w:tc>
          <w:tcPr>
            <w:tcW w:w="777" w:type="dxa"/>
            <w:tcBorders/>
            <w:vAlign w:val="center"/>
          </w:tcPr>
          <w:p>
            <w:pPr>
              <w:pStyle w:val="TableContents"/>
              <w:bidi w:val="0"/>
              <w:spacing w:lineRule="auto" w:line="285" w:before="0" w:after="0"/>
              <w:ind w:left="0" w:right="0" w:hanging="0"/>
              <w:jc w:val="right"/>
              <w:rPr/>
            </w:pPr>
            <w:r>
              <w:rPr/>
              <w:t>​</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Adjusted EBITDA</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312</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440</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(128)</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344</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62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(32)</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Adjusted EBITDA margin</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32.2</w:t>
            </w:r>
          </w:p>
        </w:tc>
        <w:tc>
          <w:tcPr>
            <w:tcW w:w="331"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  </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40.7</w:t>
            </w:r>
          </w:p>
        </w:tc>
        <w:tc>
          <w:tcPr>
            <w:tcW w:w="331"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  </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3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34.9</w:t>
            </w:r>
          </w:p>
        </w:tc>
        <w:tc>
          <w:tcPr>
            <w:tcW w:w="47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  </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Adjusted net income (loss)</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158</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(28)</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186</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19</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62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139</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Adjusted diluted earnings (loss) per share</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0.03</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(0.03)</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0.06</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777" w:type="dxa"/>
            <w:tcBorders/>
            <w:vAlign w:val="center"/>
          </w:tcPr>
          <w:p>
            <w:pPr>
              <w:pStyle w:val="TableContents"/>
              <w:bidi w:val="0"/>
              <w:spacing w:lineRule="auto" w:line="285" w:before="0" w:after="1"/>
              <w:ind w:left="0" w:right="0" w:hanging="0"/>
              <w:jc w:val="right"/>
              <w:rPr/>
            </w:pPr>
            <w:r>
              <w:rPr/>
              <w:t>—</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62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0.03</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39"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38"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w:t>
            </w:r>
          </w:p>
        </w:tc>
        <w:tc>
          <w:tcPr>
            <w:tcW w:w="777" w:type="dxa"/>
            <w:tcBorders/>
            <w:vAlign w:val="center"/>
          </w:tcPr>
          <w:p>
            <w:pPr>
              <w:pStyle w:val="TableContents"/>
              <w:bidi w:val="0"/>
              <w:spacing w:lineRule="auto" w:line="285" w:before="0" w:after="0"/>
              <w:ind w:left="0" w:right="0" w:hanging="0"/>
              <w:jc w:val="right"/>
              <w:rPr/>
            </w:pPr>
            <w:r>
              <w:rPr/>
              <w:t>​</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Net cash provided by operating activities</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236</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164</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72</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128</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62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108</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Free cash flow</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212</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136</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76</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104</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62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108</w:t>
            </w:r>
          </w:p>
        </w:tc>
        <w:tc>
          <w:tcPr>
            <w:tcW w:w="157" w:type="dxa"/>
            <w:tcBorders/>
            <w:vAlign w:val="center"/>
          </w:tcPr>
          <w:p>
            <w:pPr>
              <w:pStyle w:val="TableContents"/>
              <w:bidi w:val="0"/>
              <w:spacing w:lineRule="auto" w:line="285" w:before="0" w:after="0"/>
              <w:ind w:left="0" w:right="0" w:hanging="0"/>
              <w:jc w:val="left"/>
              <w:rPr/>
            </w:pPr>
            <w:r>
              <w:rPr/>
              <w:t>​</w:t>
            </w:r>
          </w:p>
        </w:tc>
      </w:tr>
      <w:tr>
        <w:trPr/>
        <w:tc>
          <w:tcPr>
            <w:tcW w:w="383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Total debt, principal amount, end of period</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5,107</w:t>
            </w:r>
          </w:p>
        </w:tc>
        <w:tc>
          <w:tcPr>
            <w:tcW w:w="33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9"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5,137</w:t>
            </w:r>
          </w:p>
        </w:tc>
        <w:tc>
          <w:tcPr>
            <w:tcW w:w="3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53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(30)</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777"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6,654</w:t>
            </w:r>
          </w:p>
        </w:tc>
        <w:tc>
          <w:tcPr>
            <w:tcW w:w="4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1"/>
              <w:ind w:left="0" w:right="0" w:hanging="0"/>
              <w:jc w:val="left"/>
              <w:rPr>
                <w:rFonts w:ascii="Arial Narrow" w:hAnsi="Arial Narrow"/>
                <w:sz w:val="20"/>
              </w:rPr>
            </w:pPr>
            <w:r>
              <w:rPr>
                <w:rFonts w:ascii="Arial Narrow" w:hAnsi="Arial Narrow"/>
                <w:sz w:val="20"/>
              </w:rPr>
              <w:t>$</w:t>
            </w:r>
          </w:p>
        </w:tc>
        <w:tc>
          <w:tcPr>
            <w:tcW w:w="628" w:type="dxa"/>
            <w:tcBorders/>
            <w:vAlign w:val="center"/>
          </w:tcPr>
          <w:p>
            <w:pPr>
              <w:pStyle w:val="TableContents"/>
              <w:bidi w:val="0"/>
              <w:spacing w:lineRule="auto" w:line="285" w:before="0" w:after="1"/>
              <w:ind w:left="0" w:right="0" w:hanging="0"/>
              <w:jc w:val="right"/>
              <w:rPr>
                <w:rFonts w:ascii="Arial Narrow" w:hAnsi="Arial Narrow"/>
                <w:sz w:val="20"/>
              </w:rPr>
            </w:pPr>
            <w:r>
              <w:rPr>
                <w:rFonts w:ascii="Arial Narrow" w:hAnsi="Arial Narrow"/>
                <w:sz w:val="20"/>
              </w:rPr>
              <w:t>(1,547)</w:t>
            </w:r>
          </w:p>
        </w:tc>
        <w:tc>
          <w:tcPr>
            <w:tcW w:w="157" w:type="dxa"/>
            <w:tcBorders/>
            <w:vAlign w:val="center"/>
          </w:tcPr>
          <w:p>
            <w:pPr>
              <w:pStyle w:val="TableContents"/>
              <w:bidi w:val="0"/>
              <w:spacing w:lineRule="auto" w:line="285"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left"/>
              <w:rPr>
                <w:rFonts w:ascii="Arial Narrow" w:hAnsi="Arial Narrow"/>
                <w:b w:val="false"/>
                <w:i w:val="false"/>
                <w:caps w:val="false"/>
                <w:smallCaps w:val="false"/>
                <w:sz w:val="24"/>
              </w:rPr>
            </w:pPr>
            <w:r>
              <w:rPr>
                <w:rFonts w:ascii="Arial Narrow" w:hAnsi="Arial Narrow"/>
                <w:b w:val="false"/>
                <w:i w:val="false"/>
                <w:caps w:val="false"/>
                <w:smallCaps w:val="false"/>
                <w:sz w:val="24"/>
              </w:rPr>
              <w:t>Contract drilling revenues were lower sequentially, primarily due to the expected decrease in rig utilization for this quarter.</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left"/>
              <w:rPr>
                <w:rFonts w:ascii="Arial Narrow" w:hAnsi="Arial Narrow"/>
                <w:b w:val="false"/>
                <w:i w:val="false"/>
                <w:caps w:val="false"/>
                <w:smallCaps w:val="false"/>
                <w:sz w:val="24"/>
              </w:rPr>
            </w:pPr>
            <w:r>
              <w:rPr>
                <w:rFonts w:ascii="Arial Narrow" w:hAnsi="Arial Narrow"/>
                <w:b w:val="false"/>
                <w:i w:val="false"/>
                <w:caps w:val="false"/>
                <w:smallCaps w:val="false"/>
                <w:sz w:val="24"/>
              </w:rPr>
              <w:t>Interest expense, excluding the $134 million effect of the bifurcated exchange feature of the 4.625% Exchangeable Bonds due 2029, was $114 million compared to the $123 million in the prior quarter.</w:t>
            </w:r>
          </w:p>
        </w:tc>
      </w:tr>
    </w:tbl>
    <w:tbl>
      <w:tblPr>
        <w:tblW w:w="6070" w:type="dxa"/>
        <w:jc w:val="left"/>
        <w:tblInd w:w="0" w:type="dxa"/>
        <w:tblLayout w:type="fixed"/>
        <w:tblCellMar>
          <w:top w:w="0" w:type="dxa"/>
          <w:left w:w="0" w:type="dxa"/>
          <w:bottom w:w="0" w:type="dxa"/>
          <w:right w:w="0" w:type="dxa"/>
        </w:tblCellMar>
      </w:tblPr>
      <w:tblGrid>
        <w:gridCol w:w="200"/>
        <w:gridCol w:w="5870"/>
      </w:tblGrid>
      <w:tr>
        <w:trPr/>
        <w:tc>
          <w:tcPr>
            <w:tcW w:w="20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rFonts w:ascii="Arial Narrow" w:hAnsi="Arial Narrow"/>
                <w:b w:val="false"/>
                <w:i w:val="false"/>
                <w:caps w:val="false"/>
                <w:smallCaps w:val="false"/>
                <w:sz w:val="24"/>
              </w:rPr>
            </w:pPr>
            <w:r>
              <w:rPr>
                <w:rFonts w:ascii="Arial Narrow" w:hAnsi="Arial Narrow"/>
                <w:b w:val="false"/>
                <w:i w:val="false"/>
                <w:caps w:val="false"/>
                <w:smallCaps w:val="false"/>
                <w:sz w:val="24"/>
              </w:rPr>
              <w:t>Cash taxes paid, net of tax refunds of $22 million, were $10 million.</w:t>
            </w:r>
          </w:p>
        </w:tc>
      </w:tr>
    </w:tbl>
    <w:p>
      <w:pPr>
        <w:pStyle w:val="TextBody"/>
        <w:bidi w:val="0"/>
        <w:spacing w:lineRule="auto" w:line="285" w:before="360" w:after="120"/>
        <w:ind w:left="0" w:right="0" w:hanging="0"/>
        <w:jc w:val="left"/>
        <w:rPr>
          <w:rFonts w:ascii="Quantico" w:hAnsi="Quantico"/>
          <w:b/>
          <w:caps/>
          <w:sz w:val="24"/>
        </w:rPr>
      </w:pPr>
      <w:r>
        <w:rPr>
          <w:rFonts w:ascii="Quantico" w:hAnsi="Quantico"/>
          <w:b/>
          <w:caps/>
          <w:sz w:val="24"/>
        </w:rPr>
        <w:t>Fleet Status Report and contract backlog</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left"/>
              <w:rPr>
                <w:rFonts w:ascii="Arial Narrow" w:hAnsi="Arial Narrow"/>
                <w:b w:val="false"/>
                <w:i w:val="false"/>
                <w:caps w:val="false"/>
                <w:smallCaps w:val="false"/>
                <w:sz w:val="24"/>
              </w:rPr>
            </w:pPr>
            <w:r>
              <w:rPr>
                <w:rFonts w:ascii="Arial Narrow" w:hAnsi="Arial Narrow"/>
                <w:b w:val="false"/>
                <w:i w:val="false"/>
                <w:caps w:val="false"/>
                <w:smallCaps w:val="false"/>
                <w:sz w:val="24"/>
              </w:rPr>
              <w:t>The Company today issued its Fleet Status Report. Since its May 2026 report, the Company added five new fixtures with an aggregate incremental backlog of approximately $292 million and a weighted average dayrate of about $461,000.</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left"/>
              <w:rPr>
                <w:rFonts w:ascii="Arial Narrow" w:hAnsi="Arial Narrow"/>
                <w:b w:val="false"/>
                <w:i w:val="false"/>
                <w:caps w:val="false"/>
                <w:smallCaps w:val="false"/>
                <w:sz w:val="24"/>
              </w:rPr>
            </w:pPr>
            <w:r>
              <w:rPr>
                <w:rFonts w:ascii="Arial Narrow" w:hAnsi="Arial Narrow"/>
                <w:b w:val="false"/>
                <w:i w:val="false"/>
                <w:caps w:val="false"/>
                <w:smallCaps w:val="false"/>
                <w:sz w:val="24"/>
              </w:rPr>
              <w:t>As of August 5, 2026, the total backlog is approximately $6.7 billion. This figure excludes $1.0 billion of backlog for work with Equinor, which will be added subject to receipt of approvals from license partners.</w:t>
            </w:r>
          </w:p>
        </w:tc>
      </w:tr>
    </w:tbl>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The Fleet Status Report can be accessed on the Company’s website: www.deepwater.com.</w:t>
      </w:r>
    </w:p>
    <w:p>
      <w:pPr>
        <w:pStyle w:val="TextBody"/>
        <w:bidi w:val="0"/>
        <w:spacing w:lineRule="auto" w:line="285" w:before="360" w:after="120"/>
        <w:ind w:left="0" w:right="0" w:hanging="0"/>
        <w:jc w:val="left"/>
        <w:rPr>
          <w:rFonts w:ascii="Quantico" w:hAnsi="Quantico"/>
          <w:b/>
          <w:caps/>
          <w:sz w:val="24"/>
        </w:rPr>
      </w:pPr>
      <w:r>
        <w:rPr>
          <w:rFonts w:ascii="Quantico" w:hAnsi="Quantico"/>
          <w:b/>
          <w:caps/>
          <w:sz w:val="24"/>
        </w:rPr>
        <w:t>2026 Third Quarter and Full Year OUTLOOK</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The following table includes guidance on key items for the third quarter and full year of 2026:</w:t>
      </w:r>
    </w:p>
    <w:tbl>
      <w:tblPr>
        <w:tblW w:w="5432" w:type="dxa"/>
        <w:jc w:val="center"/>
        <w:tblInd w:w="0" w:type="dxa"/>
        <w:tblLayout w:type="fixed"/>
        <w:tblCellMar>
          <w:top w:w="0" w:type="dxa"/>
          <w:left w:w="0" w:type="dxa"/>
          <w:bottom w:w="0" w:type="dxa"/>
          <w:right w:w="0" w:type="dxa"/>
        </w:tblCellMar>
      </w:tblPr>
      <w:tblGrid>
        <w:gridCol w:w="2746"/>
        <w:gridCol w:w="196"/>
        <w:gridCol w:w="826"/>
        <w:gridCol w:w="109"/>
        <w:gridCol w:w="109"/>
        <w:gridCol w:w="196"/>
        <w:gridCol w:w="1096"/>
        <w:gridCol w:w="154"/>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743710" cy="175260"/>
                      <wp:effectExtent l="0" t="0" r="0" b="0"/>
                      <wp:wrapNone/>
                      <wp:docPr id="23" name="Frame2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24"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24510" cy="175260"/>
                      <wp:effectExtent l="0" t="0" r="0" b="0"/>
                      <wp:wrapNone/>
                      <wp:docPr id="25" name="Frame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26"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27"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28"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5960" cy="175260"/>
                      <wp:effectExtent l="0" t="0" r="0" b="0"/>
                      <wp:wrapNone/>
                      <wp:docPr id="29" name="Frame2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98425" cy="175260"/>
                      <wp:effectExtent l="0" t="0" r="0" b="0"/>
                      <wp:wrapNone/>
                      <wp:docPr id="30" name="Frame28"/>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Arial Narrow" w:hAnsi="Arial Narrow"/>
                <w:b/>
                <w:sz w:val="16"/>
              </w:rPr>
            </w:pPr>
            <w:r>
              <w:rPr>
                <w:rFonts w:ascii="Arial Narrow" w:hAnsi="Arial Narrow"/>
                <w:b/>
                <w:sz w:val="16"/>
              </w:rPr>
              <w:t>3Q26E</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Arial Narrow" w:hAnsi="Arial Narrow"/>
                <w:b/>
                <w:sz w:val="16"/>
              </w:rPr>
            </w:pPr>
            <w:r>
              <w:rPr>
                <w:rFonts w:ascii="Arial Narrow" w:hAnsi="Arial Narrow"/>
                <w:b/>
                <w:sz w:val="16"/>
              </w:rPr>
              <w:t>FY26E</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1" w:after="1"/>
              <w:ind w:left="0" w:right="0" w:hanging="0"/>
              <w:jc w:val="left"/>
              <w:rPr>
                <w:rFonts w:ascii="Arial Narrow" w:hAnsi="Arial Narrow"/>
                <w:b/>
                <w:sz w:val="16"/>
              </w:rPr>
            </w:pPr>
            <w:r>
              <w:rPr>
                <w:rFonts w:ascii="Arial Narrow" w:hAnsi="Arial Narrow"/>
                <w:b/>
                <w:sz w:val="16"/>
              </w:rPr>
              <w:t>(In millions, except percentages)</w:t>
            </w:r>
          </w:p>
        </w:tc>
        <w:tc>
          <w:tcPr>
            <w:tcW w:w="196"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109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Contract drilling revenues</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82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920 – 960</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109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3,900 – 3,975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before="1" w:after="1"/>
              <w:ind w:left="0" w:right="0" w:hanging="0"/>
              <w:jc w:val="left"/>
              <w:rPr>
                <w:rFonts w:ascii="Arial Narrow" w:hAnsi="Arial Narrow"/>
                <w:sz w:val="20"/>
              </w:rPr>
            </w:pPr>
            <w:r>
              <w:rPr>
                <w:rFonts w:ascii="Arial Narrow" w:hAnsi="Arial Narrow"/>
                <w:sz w:val="20"/>
              </w:rPr>
              <w:t xml:space="preserve">Revenue efficiency, fleet wide </w:t>
            </w:r>
            <w:r>
              <w:rPr>
                <w:rFonts w:ascii="Arial Narrow" w:hAnsi="Arial Narrow"/>
                <w:sz w:val="15"/>
              </w:rPr>
              <w:t>(1)</w:t>
            </w:r>
          </w:p>
        </w:tc>
        <w:tc>
          <w:tcPr>
            <w:tcW w:w="196"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96.5%</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109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96.5%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1096"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Selected costs and expenses</w:t>
            </w:r>
          </w:p>
        </w:tc>
        <w:tc>
          <w:tcPr>
            <w:tcW w:w="196"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1096"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Operating and maintenance expense</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82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595 – 625</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109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2,325 – 2,400</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General and administrative</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82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45</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109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170 – 180</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Interest expense</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82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113</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109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475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Interest income</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82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5 – 10</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109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30 – 35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1096"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Capital expenditures</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82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40 – 50</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109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150</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Cash taxes</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82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25 – 30</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109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55 – 60</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74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Total liquidity</w:t>
            </w:r>
          </w:p>
        </w:tc>
        <w:tc>
          <w:tcPr>
            <w:tcW w:w="196"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1" w:after="1"/>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1" w:after="1"/>
              <w:ind w:left="0" w:right="0" w:hanging="0"/>
              <w:jc w:val="left"/>
              <w:rPr>
                <w:rFonts w:ascii="Arial Narrow" w:hAnsi="Arial Narrow"/>
                <w:sz w:val="20"/>
              </w:rPr>
            </w:pPr>
            <w:r>
              <w:rPr>
                <w:rFonts w:ascii="Arial Narrow" w:hAnsi="Arial Narrow"/>
                <w:sz w:val="20"/>
              </w:rPr>
              <w:t>$</w:t>
            </w:r>
          </w:p>
        </w:tc>
        <w:tc>
          <w:tcPr>
            <w:tcW w:w="1096" w:type="dxa"/>
            <w:tcBorders/>
            <w:vAlign w:val="center"/>
          </w:tcPr>
          <w:p>
            <w:pPr>
              <w:pStyle w:val="TableContents"/>
              <w:bidi w:val="0"/>
              <w:spacing w:lineRule="auto" w:line="285" w:before="1" w:after="1"/>
              <w:ind w:left="0" w:right="0" w:hanging="0"/>
              <w:jc w:val="center"/>
              <w:rPr>
                <w:rFonts w:ascii="Arial Narrow" w:hAnsi="Arial Narrow"/>
                <w:sz w:val="20"/>
              </w:rPr>
            </w:pPr>
            <w:r>
              <w:rPr>
                <w:rFonts w:ascii="Arial Narrow" w:hAnsi="Arial Narrow"/>
                <w:sz w:val="20"/>
              </w:rPr>
              <w:t>1,250 – 1,350</w:t>
            </w:r>
          </w:p>
        </w:tc>
        <w:tc>
          <w:tcPr>
            <w:tcW w:w="154" w:type="dxa"/>
            <w:tcBorders/>
            <w:vAlign w:val="center"/>
          </w:tcPr>
          <w:p>
            <w:pPr>
              <w:pStyle w:val="TableContents"/>
              <w:bidi w:val="0"/>
              <w:spacing w:lineRule="auto" w:line="285" w:before="0" w:after="0"/>
              <w:ind w:left="0" w:right="0" w:hanging="0"/>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left"/>
        <w:rPr>
          <w:rFonts w:ascii="Quantico" w:hAnsi="Quantico"/>
          <w:b/>
          <w:caps/>
          <w:sz w:val="24"/>
        </w:rPr>
      </w:pPr>
      <w:r>
        <w:rPr>
          <w:rFonts w:ascii="Quantico" w:hAnsi="Quantico"/>
          <w:b/>
          <w:caps/>
          <w:sz w:val="24"/>
        </w:rPr>
        <w:t>Conference Call Information</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Transocean will host a conference call at 9 a.m. EDT, 3 p.m. CEST, on Thursday, August 6, 2026. To participate, dial +1 785-424-1222 approximately 15 minutes prior to the scheduled start time and refer to conference code 715943.</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The call will be webcast in a listen-only mode at: www.deepwater.com, by selecting Investors, News, and Webcasts. Supplemental materials that may be referenced during the call will be available on the Company’s website at: www.deepwater.com, by selecting Investors, Financial Reports.</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A replay of the call will be available after 12 p.m. EDT, 6 p.m. CEST, on Thursday, August 6, 2026. The replay, which will be archived for approximately 30 days, can be accessed at +1 402-220-7239, passcode 715943. The replay will also be available on the Company’s website.</w:t>
      </w:r>
    </w:p>
    <w:p>
      <w:pPr>
        <w:pStyle w:val="TextBody"/>
        <w:bidi w:val="0"/>
        <w:spacing w:lineRule="auto" w:line="285" w:before="360" w:after="120"/>
        <w:ind w:left="0" w:right="0" w:hanging="0"/>
        <w:jc w:val="left"/>
        <w:rPr>
          <w:rFonts w:ascii="Quantico" w:hAnsi="Quantico"/>
          <w:b/>
          <w:caps/>
          <w:sz w:val="24"/>
        </w:rPr>
      </w:pPr>
      <w:r>
        <w:rPr>
          <w:rFonts w:ascii="Quantico" w:hAnsi="Quantico"/>
          <w:b/>
          <w:caps/>
          <w:sz w:val="24"/>
        </w:rPr>
        <w:t>Non-GAAP Financial Measures</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We present our financial statements in accordance with accounting principles generally accepted in the U.S. (“U.S. GAAP”). We believe certain financial measures, such as Adjusted Net Income, EBITDA, Adjusted EBITDA, Free Cash Flow and Net Debt, which are non-GAAP measures, provide users of our financial statements with supplemental information that may be useful in evaluating our operating performance. We believe that such non-GAAP measures, when read in conjunction with our financial statements presented under U.S. GAAP, can be used to better assess our performance from period to period and relative to performance of other companies in our industry, without regard to financing methods, historical cost basis or capital structure. Such non-GAAP measures should be considered as a supplement to, and not as a substitute for, financial measures prepared in accordance with U.S. GAAP.</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All non-GAAP measure reconciliations to the most comparative U.S. GAAP measures are displayed in quantitative schedules on the Company’s website at: www.deepwater.com.</w:t>
      </w:r>
    </w:p>
    <w:p>
      <w:pPr>
        <w:pStyle w:val="TextBody"/>
        <w:bidi w:val="0"/>
        <w:spacing w:lineRule="auto" w:line="285" w:before="360" w:after="120"/>
        <w:ind w:left="0" w:right="0" w:hanging="0"/>
        <w:jc w:val="left"/>
        <w:rPr>
          <w:rFonts w:ascii="Quantico" w:hAnsi="Quantico"/>
          <w:b/>
          <w:caps/>
          <w:sz w:val="24"/>
        </w:rPr>
      </w:pPr>
      <w:r>
        <w:rPr>
          <w:rFonts w:ascii="Quantico" w:hAnsi="Quantico"/>
          <w:b/>
          <w:caps/>
          <w:sz w:val="24"/>
        </w:rPr>
        <w:t>About Transocean</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Transocean is a leading international provider of offshore contract drilling services for oil and gas wells. The Company specializes in technically demanding sectors of the global offshore drilling business with a particular focus on ultra-deepwater and harsh environment drilling services and operates the highest specification floating offshore drilling fleet in the world.</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Transocean owns or has partial ownership interests in and operates a fleet of 27 mobile offshore drilling units, consisting of 20 ultra-deepwater drillships and seven harsh environment semisubmersibles.</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For more information about Transocean, please visit: www.deepwater.com.</w:t>
      </w:r>
    </w:p>
    <w:p>
      <w:pPr>
        <w:pStyle w:val="TextBody"/>
        <w:bidi w:val="0"/>
        <w:spacing w:lineRule="auto" w:line="285" w:before="360" w:after="120"/>
        <w:ind w:left="0" w:right="0" w:hanging="0"/>
        <w:jc w:val="left"/>
        <w:rPr>
          <w:rFonts w:ascii="Quantico" w:hAnsi="Quantico"/>
          <w:b/>
          <w:caps/>
          <w:sz w:val="24"/>
        </w:rPr>
      </w:pPr>
      <w:r>
        <w:rPr>
          <w:rFonts w:ascii="Quantico" w:hAnsi="Quantico"/>
          <w:b/>
          <w:caps/>
          <w:sz w:val="24"/>
        </w:rPr>
        <w:t>Forward-Looking Statements</w:t>
      </w:r>
    </w:p>
    <w:p>
      <w:pPr>
        <w:pStyle w:val="TextBody"/>
        <w:bidi w:val="0"/>
        <w:spacing w:lineRule="auto" w:line="285" w:before="60" w:after="0"/>
        <w:ind w:left="0" w:right="0" w:hanging="0"/>
        <w:jc w:val="left"/>
        <w:rPr>
          <w:rFonts w:ascii="Arial Narrow" w:hAnsi="Arial Narrow"/>
          <w:sz w:val="24"/>
        </w:rPr>
      </w:pPr>
      <w:r>
        <w:rPr>
          <w:rFonts w:ascii="Arial Narrow" w:hAnsi="Arial Narrow"/>
          <w:sz w:val="24"/>
        </w:rPr>
        <w:t xml:space="preserve">The statements described herein or in the Fleet Status Report that are not historical facts are forward-looking statements within the meaning of Section 27A of the Securities Act of 1933, as amended, and Section 21E of the Securities Exchange Act of 1934, as amended. These statements could contain words such as “believe,” “primarily,” “should,” “outlook,” “future,” “schedule,” “progress,” “possible,” “will,” “expect,” “estimate,” “may,” “approximate,” “could,” “plan,” or other similar expressions. Forward-looking statements in the Fleet Status Report include, but are not limited to, statements involving estimated duration of customer contracts, contract dayrate amounts, future contract commencement dates and locations, planned shipyard projects and other out-of-service time, sales of drilling units, and the cost and timing of mobilizations and reactivations. Forward-looking statements are based on management’s current expectations and assumptions, and are subject to inherent uncertainties, risks and changes in circumstances that are difficult to predict. As a result, actual results could differ materially from those indicated in these forward-looking statements. Factors that could cause actual results to differ materially include, but are not limited to, the level of activity in offshore oil and gas </w:t>
      </w:r>
    </w:p>
    <w:p>
      <w:pPr>
        <w:pStyle w:val="HorizontalLine"/>
        <w:pBdr>
          <w:bottom w:val="double" w:sz="2" w:space="0" w:color="808080"/>
        </w:pBdr>
        <w:bidi w:val="0"/>
        <w:spacing w:before="0" w:after="283"/>
        <w:jc w:val="left"/>
        <w:rPr/>
      </w:pPr>
      <w:r>
        <w:rPr/>
      </w:r>
    </w:p>
    <w:p>
      <w:pPr>
        <w:pStyle w:val="TextBody"/>
        <w:bidi w:val="0"/>
        <w:spacing w:lineRule="auto" w:line="285" w:before="0" w:after="180"/>
        <w:ind w:left="0" w:right="0" w:hanging="0"/>
        <w:jc w:val="left"/>
        <w:rPr/>
      </w:pPr>
      <w:r>
        <w:rPr>
          <w:rFonts w:ascii="Arial Narrow" w:hAnsi="Arial Narrow"/>
          <w:sz w:val="24"/>
        </w:rPr>
        <w:t xml:space="preserve">exploration and development, exploration success by producers, operating hazards and delays, risks associated with international operations, actions by customers and other third parties, the fluctuation of current and future prices of oil and gas, the global and regional supply and demand for oil and gas, the intention to scrap certain drilling rigs, the effects of the spread of and mitigation efforts by governments, businesses and individuals related to contagious illnesses, and other factors, including our expectations regarding the timing, completion and anticipated benefits of the proposed business combination with Valaris Limited, an exempted company limited by shares incorporated under the laws of Bermuda, and those and other risks discussed in the Company's most recent Annual Report on </w:t>
      </w:r>
      <w:hyperlink r:id="rId4">
        <w:r>
          <w:rPr>
            <w:rStyle w:val="InternetLink"/>
            <w:rFonts w:ascii="Arial Narrow" w:hAnsi="Arial Narrow"/>
            <w:b w:val="false"/>
            <w:i w:val="false"/>
            <w:caps w:val="false"/>
            <w:smallCaps w:val="false"/>
            <w:sz w:val="24"/>
          </w:rPr>
          <w:t>Form 10-K for the year ended December 31, 2025</w:t>
        </w:r>
      </w:hyperlink>
      <w:r>
        <w:rPr>
          <w:rFonts w:ascii="Arial Narrow" w:hAnsi="Arial Narrow"/>
          <w:sz w:val="24"/>
        </w:rPr>
        <w:t>, and in the Company's other filings with the SEC, which are available free of charge on the SEC's website at: www.sec.gov. Should one or more of these risks or uncertainties materialize, or the other consequences of such a development worsen, or should underlying assumptions prove incorrect, actual results may vary materially from those indicated or expressed or implied by such forward-looking statements. All subsequent written and oral forward-looking statements attributable to the Company or to persons acting on our behalf are expressly qualified in their entirety by reference to these risks and uncertainties. You should not place undue reliance on forward-looking statements, each of which speaks only as of the date of the particular statement. We expressly disclaim any obligation or undertaking to release publicly any updates or revisions to any forward-looking statements to reflect any change in our expectations or beliefs with regard to the statement or any change in events, conditions or circumstances on which any forward-looking statement is based, except as required by law.</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This press release, or referenced documents, do not constitute an offer to sell, or a solicitation of an offer to buy, any securities, and do not constitute an offering prospectus within the meaning of the Swiss Financial Services Act (“FinSA”) or advertising within the meaning of the FinSA. Investors must rely on their own evaluation of Transocean and its securities, including the merits and risks involved. Nothing contained herein is, or shall be relied on as, a promise or representation as to the future performance of Transocean.</w:t>
      </w:r>
    </w:p>
    <w:p>
      <w:pPr>
        <w:pStyle w:val="TextBody"/>
        <w:bidi w:val="0"/>
        <w:spacing w:lineRule="auto" w:line="285" w:before="360" w:after="120"/>
        <w:ind w:left="0" w:right="0" w:hanging="0"/>
        <w:jc w:val="left"/>
        <w:rPr>
          <w:rFonts w:ascii="Quantico" w:hAnsi="Quantico"/>
          <w:b/>
          <w:caps/>
          <w:sz w:val="24"/>
        </w:rPr>
      </w:pPr>
      <w:r>
        <w:rPr>
          <w:rFonts w:ascii="Quantico" w:hAnsi="Quantico"/>
          <w:b/>
          <w:caps/>
          <w:sz w:val="24"/>
        </w:rPr>
        <w:t>Notes</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Arial Narrow" w:hAnsi="Arial Narrow"/>
                <w:sz w:val="24"/>
              </w:rPr>
            </w:pPr>
            <w:r>
              <w:rPr>
                <w:rFonts w:ascii="Arial Narrow" w:hAnsi="Arial Narrow"/>
                <w:sz w:val="24"/>
              </w:rPr>
              <w:t>(1)</w:t>
            </w:r>
          </w:p>
        </w:tc>
        <w:tc>
          <w:tcPr>
            <w:tcW w:w="10009" w:type="dxa"/>
            <w:tcBorders/>
            <w:vAlign w:val="center"/>
          </w:tcPr>
          <w:p>
            <w:pPr>
              <w:pStyle w:val="TableContents"/>
              <w:bidi w:val="0"/>
              <w:spacing w:before="0" w:after="283"/>
              <w:jc w:val="left"/>
              <w:rPr>
                <w:rFonts w:ascii="Arial Narrow" w:hAnsi="Arial Narrow"/>
                <w:b w:val="false"/>
                <w:i w:val="false"/>
                <w:caps w:val="false"/>
                <w:smallCaps w:val="false"/>
                <w:sz w:val="24"/>
              </w:rPr>
            </w:pPr>
            <w:r>
              <w:rPr>
                <w:rFonts w:ascii="Arial Narrow" w:hAnsi="Arial Narrow"/>
                <w:b w:val="false"/>
                <w:i w:val="false"/>
                <w:caps w:val="false"/>
                <w:smallCaps w:val="false"/>
                <w:sz w:val="24"/>
              </w:rPr>
              <w:t>Revenue efficiency is defined as actual operating revenues, excluding revenues for contract terminations and reimbursements, for the measurement period divided by the maximum revenue calculated for the measurement period, expressed as a percentage. Maximum revenue is defined as the greatest amount of contract drilling revenues the drilling unit could earn for the measurement period, excluding revenues for incentive provisions, reimbursements and contract terminations. See the accompanying schedule entitled “Revenue Efficiency.”</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Arial Narrow" w:hAnsi="Arial Narrow"/>
                <w:sz w:val="24"/>
              </w:rPr>
            </w:pPr>
            <w:r>
              <w:rPr>
                <w:rFonts w:ascii="Arial Narrow" w:hAnsi="Arial Narrow"/>
                <w:sz w:val="24"/>
              </w:rPr>
              <w:t>(2)</w:t>
            </w:r>
          </w:p>
        </w:tc>
        <w:tc>
          <w:tcPr>
            <w:tcW w:w="10011" w:type="dxa"/>
            <w:tcBorders/>
            <w:vAlign w:val="center"/>
          </w:tcPr>
          <w:p>
            <w:pPr>
              <w:pStyle w:val="TableContents"/>
              <w:bidi w:val="0"/>
              <w:spacing w:before="0" w:after="283"/>
              <w:jc w:val="left"/>
              <w:rPr/>
            </w:pPr>
            <w:r>
              <w:rPr>
                <w:rFonts w:ascii="Arial Narrow" w:hAnsi="Arial Narrow"/>
                <w:b w:val="false"/>
                <w:i w:val="false"/>
                <w:caps w:val="false"/>
                <w:smallCaps w:val="false"/>
                <w:sz w:val="24"/>
                <w:shd w:fill="FFFFFF" w:val="clear"/>
              </w:rPr>
              <w:t xml:space="preserve">Contract backlog is defined as the maximum </w:t>
            </w:r>
            <w:r>
              <w:rPr>
                <w:rFonts w:ascii="Arial Narrow" w:hAnsi="Arial Narrow"/>
                <w:b w:val="false"/>
                <w:i w:val="false"/>
                <w:caps w:val="false"/>
                <w:smallCaps w:val="false"/>
                <w:sz w:val="24"/>
              </w:rPr>
              <w:t>contractual</w:t>
            </w:r>
            <w:r>
              <w:rPr>
                <w:caps w:val="false"/>
                <w:smallCaps w:val="false"/>
                <w:shd w:fill="FFFFFF" w:val="clear"/>
              </w:rPr>
              <w:t xml:space="preserve"> </w:t>
            </w:r>
            <w:r>
              <w:rPr>
                <w:rFonts w:ascii="Arial Narrow" w:hAnsi="Arial Narrow"/>
                <w:b w:val="false"/>
                <w:i w:val="false"/>
                <w:caps w:val="false"/>
                <w:smallCaps w:val="false"/>
                <w:sz w:val="24"/>
                <w:shd w:fill="FFFFFF" w:val="clear"/>
              </w:rPr>
              <w:t>operating dayrate multiplied by the number of days remaining in the firm contract period, including certain performance-based provisions for which achievement is probable, and excluding provisions for mobilization, demobilization, contract preparation, other incentive provisions or reimbursement revenues, which are not expected to be material to our contract drilling revenues. The contract backlog represents the maximum contract drilling revenues that can be earned considering the reported operating dayrate in effect during the firm contract period.</w:t>
            </w:r>
          </w:p>
        </w:tc>
      </w:tr>
    </w:tbl>
    <w:p>
      <w:pPr>
        <w:pStyle w:val="TextBody"/>
        <w:bidi w:val="0"/>
        <w:spacing w:lineRule="auto" w:line="285" w:before="360" w:after="60"/>
        <w:ind w:left="0" w:right="0" w:hanging="0"/>
        <w:jc w:val="left"/>
        <w:rPr>
          <w:rFonts w:ascii="Quantico" w:hAnsi="Quantico"/>
          <w:b/>
          <w:caps/>
          <w:sz w:val="24"/>
        </w:rPr>
      </w:pPr>
      <w:bookmarkStart w:id="36" w:name="_cp_change_12"/>
      <w:bookmarkEnd w:id="36"/>
      <w:r>
        <w:rPr>
          <w:rFonts w:ascii="Quantico" w:hAnsi="Quantico"/>
          <w:b/>
          <w:caps/>
          <w:sz w:val="24"/>
        </w:rPr>
        <w:t>Analyst Contact:</w:t>
      </w:r>
    </w:p>
    <w:p>
      <w:pPr>
        <w:pStyle w:val="TextBody"/>
        <w:bidi w:val="0"/>
        <w:spacing w:lineRule="auto" w:line="285" w:before="0" w:after="0"/>
        <w:ind w:left="0" w:right="979" w:hanging="0"/>
        <w:jc w:val="both"/>
        <w:rPr>
          <w:rFonts w:ascii="Arial Narrow" w:hAnsi="Arial Narrow"/>
          <w:sz w:val="24"/>
        </w:rPr>
      </w:pPr>
      <w:r>
        <w:rPr>
          <w:rFonts w:ascii="Arial Narrow" w:hAnsi="Arial Narrow"/>
          <w:sz w:val="24"/>
        </w:rPr>
        <w:t>Sarah Davidson</w:t>
      </w:r>
    </w:p>
    <w:p>
      <w:pPr>
        <w:pStyle w:val="TextBody"/>
        <w:bidi w:val="0"/>
        <w:spacing w:lineRule="auto" w:line="285" w:before="0" w:after="0"/>
        <w:ind w:left="0" w:right="979" w:hanging="0"/>
        <w:jc w:val="both"/>
        <w:rPr>
          <w:rFonts w:ascii="Arial Narrow" w:hAnsi="Arial Narrow"/>
          <w:sz w:val="24"/>
        </w:rPr>
      </w:pPr>
      <w:r>
        <w:rPr>
          <w:rFonts w:ascii="Arial Narrow" w:hAnsi="Arial Narrow"/>
          <w:sz w:val="24"/>
        </w:rPr>
        <w:t>+1 713-232-7217</w:t>
      </w:r>
    </w:p>
    <w:p>
      <w:pPr>
        <w:pStyle w:val="TextBody"/>
        <w:bidi w:val="0"/>
        <w:spacing w:lineRule="auto" w:line="285" w:before="240" w:after="60"/>
        <w:ind w:left="0" w:right="0" w:hanging="0"/>
        <w:jc w:val="left"/>
        <w:rPr>
          <w:rFonts w:ascii="Quantico" w:hAnsi="Quantico"/>
          <w:b/>
          <w:caps/>
          <w:sz w:val="24"/>
        </w:rPr>
      </w:pPr>
      <w:r>
        <w:rPr>
          <w:rFonts w:ascii="Quantico" w:hAnsi="Quantico"/>
          <w:b/>
          <w:caps/>
          <w:sz w:val="24"/>
        </w:rPr>
        <w:t>Media Contact:</w:t>
      </w:r>
    </w:p>
    <w:p>
      <w:pPr>
        <w:pStyle w:val="TextBody"/>
        <w:bidi w:val="0"/>
        <w:spacing w:lineRule="auto" w:line="285" w:before="0" w:after="0"/>
        <w:ind w:left="0" w:right="979" w:hanging="0"/>
        <w:jc w:val="left"/>
        <w:rPr>
          <w:rFonts w:ascii="Arial Narrow" w:hAnsi="Arial Narrow"/>
          <w:sz w:val="24"/>
        </w:rPr>
      </w:pPr>
      <w:r>
        <w:rPr>
          <w:rFonts w:ascii="Arial Narrow" w:hAnsi="Arial Narrow"/>
          <w:sz w:val="24"/>
        </w:rPr>
        <w:t>Kristina Mays</w:t>
      </w:r>
    </w:p>
    <w:p>
      <w:pPr>
        <w:pStyle w:val="TextBody"/>
        <w:bidi w:val="0"/>
        <w:spacing w:lineRule="auto" w:line="285" w:before="0" w:after="0"/>
        <w:ind w:left="0" w:right="979" w:hanging="0"/>
        <w:jc w:val="both"/>
        <w:rPr>
          <w:rFonts w:ascii="Arial Narrow" w:hAnsi="Arial Narrow"/>
          <w:sz w:val="24"/>
        </w:rPr>
      </w:pPr>
      <w:r>
        <w:rPr>
          <w:rFonts w:ascii="Arial Narrow" w:hAnsi="Arial Narrow"/>
          <w:sz w:val="24"/>
        </w:rPr>
        <w:t>+1 713-232-7734</w:t>
      </w:r>
    </w:p>
    <w:p>
      <w:pPr>
        <w:pStyle w:val="HorizontalLine"/>
        <w:pBdr>
          <w:bottom w:val="double" w:sz="2" w:space="0" w:color="808080"/>
        </w:pBdr>
        <w:bidi w:val="0"/>
        <w:spacing w:before="0" w:after="283"/>
        <w:jc w:val="left"/>
        <w:rPr/>
      </w:pPr>
      <w:r>
        <w:rPr/>
      </w:r>
    </w:p>
    <w:tbl>
      <w:tblPr>
        <w:tblW w:w="5791" w:type="dxa"/>
        <w:jc w:val="left"/>
        <w:tblInd w:w="0" w:type="dxa"/>
        <w:tblLayout w:type="fixed"/>
        <w:tblCellMar>
          <w:top w:w="0" w:type="dxa"/>
          <w:left w:w="0" w:type="dxa"/>
          <w:bottom w:w="0" w:type="dxa"/>
          <w:right w:w="0" w:type="dxa"/>
        </w:tblCellMar>
      </w:tblPr>
      <w:tblGrid>
        <w:gridCol w:w="5791"/>
      </w:tblGrid>
      <w:tr>
        <w:trPr/>
        <w:tc>
          <w:tcPr>
            <w:tcW w:w="5791" w:type="dxa"/>
            <w:tcBorders/>
            <w:vAlign w:val="center"/>
          </w:tcPr>
          <w:p>
            <w:pPr>
              <w:pStyle w:val="TableContents"/>
              <w:bidi w:val="0"/>
              <w:spacing w:lineRule="auto" w:line="285" w:before="0" w:after="0"/>
              <w:ind w:left="0" w:right="0" w:hanging="0"/>
              <w:jc w:val="left"/>
              <w:rPr/>
            </w:pPr>
            <w:r>
              <w:rPr/>
              <w:t>​</w:t>
            </w:r>
          </w:p>
        </w:tc>
      </w:tr>
      <w:tr>
        <w:trPr/>
        <w:tc>
          <w:tcPr>
            <w:tcW w:w="5791" w:type="dxa"/>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TRANSOCEAN LTD. AND SUBSIDIARIES</w:t>
            </w:r>
          </w:p>
        </w:tc>
      </w:tr>
      <w:tr>
        <w:trPr/>
        <w:tc>
          <w:tcPr>
            <w:tcW w:w="5791" w:type="dxa"/>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CONDENSED CONSOLIDATED STATEMENTS OF OPERATIONS</w:t>
            </w:r>
          </w:p>
        </w:tc>
      </w:tr>
      <w:tr>
        <w:trPr/>
        <w:tc>
          <w:tcPr>
            <w:tcW w:w="5791" w:type="dxa"/>
            <w:tcBorders/>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(in millions, except per share data)</w:t>
            </w:r>
          </w:p>
        </w:tc>
      </w:tr>
      <w:tr>
        <w:trPr/>
        <w:tc>
          <w:tcPr>
            <w:tcW w:w="5791" w:type="dxa"/>
            <w:tcBorders/>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(Unaudited)</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7539" w:type="dxa"/>
        <w:jc w:val="left"/>
        <w:tblInd w:w="0" w:type="dxa"/>
        <w:tblLayout w:type="fixed"/>
        <w:tblCellMar>
          <w:top w:w="0" w:type="dxa"/>
          <w:left w:w="0" w:type="dxa"/>
          <w:bottom w:w="0" w:type="dxa"/>
          <w:right w:w="0" w:type="dxa"/>
        </w:tblCellMar>
      </w:tblPr>
      <w:tblGrid>
        <w:gridCol w:w="3136"/>
        <w:gridCol w:w="286"/>
        <w:gridCol w:w="196"/>
        <w:gridCol w:w="511"/>
        <w:gridCol w:w="286"/>
        <w:gridCol w:w="196"/>
        <w:gridCol w:w="631"/>
        <w:gridCol w:w="286"/>
        <w:gridCol w:w="196"/>
        <w:gridCol w:w="511"/>
        <w:gridCol w:w="286"/>
        <w:gridCol w:w="196"/>
        <w:gridCol w:w="631"/>
        <w:gridCol w:w="191"/>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991360" cy="175260"/>
                      <wp:effectExtent l="0" t="0" r="0" b="0"/>
                      <wp:wrapNone/>
                      <wp:docPr id="31" name="Frame29"/>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81610" cy="175260"/>
                      <wp:effectExtent l="0" t="0" r="0" b="0"/>
                      <wp:wrapNone/>
                      <wp:docPr id="32" name="Frame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33"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24485" cy="175260"/>
                      <wp:effectExtent l="0" t="0" r="0" b="0"/>
                      <wp:wrapNone/>
                      <wp:docPr id="34" name="Frame3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81610" cy="175260"/>
                      <wp:effectExtent l="0" t="0" r="0" b="0"/>
                      <wp:wrapNone/>
                      <wp:docPr id="35" name="Frame3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36"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00685" cy="175260"/>
                      <wp:effectExtent l="0" t="0" r="0" b="0"/>
                      <wp:wrapNone/>
                      <wp:docPr id="37" name="Frame3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81610" cy="175260"/>
                      <wp:effectExtent l="0" t="0" r="0" b="0"/>
                      <wp:wrapNone/>
                      <wp:docPr id="38" name="Frame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39"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24485" cy="175260"/>
                      <wp:effectExtent l="0" t="0" r="0" b="0"/>
                      <wp:wrapNone/>
                      <wp:docPr id="40" name="Frame3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81610" cy="175260"/>
                      <wp:effectExtent l="0" t="0" r="0" b="0"/>
                      <wp:wrapNone/>
                      <wp:docPr id="41" name="Frame3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42"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00685" cy="175260"/>
                      <wp:effectExtent l="0" t="0" r="0" b="0"/>
                      <wp:wrapNone/>
                      <wp:docPr id="43" name="Frame4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1285" cy="175260"/>
                      <wp:effectExtent l="0" t="0" r="0" b="0"/>
                      <wp:wrapNone/>
                      <wp:docPr id="44" name="Frame4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center"/>
              <w:rPr/>
            </w:pPr>
            <w:r>
              <w:rPr/>
              <w:t>​</w:t>
            </w:r>
          </w:p>
        </w:tc>
        <w:tc>
          <w:tcPr>
            <w:tcW w:w="1820" w:type="dxa"/>
            <w:gridSpan w:val="5"/>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 xml:space="preserve">Three months ended </w:t>
            </w:r>
          </w:p>
        </w:tc>
        <w:tc>
          <w:tcPr>
            <w:tcW w:w="286" w:type="dxa"/>
            <w:tcBorders/>
            <w:vAlign w:val="center"/>
          </w:tcPr>
          <w:p>
            <w:pPr>
              <w:pStyle w:val="TableContents"/>
              <w:bidi w:val="0"/>
              <w:spacing w:lineRule="auto" w:line="285" w:before="0" w:after="0"/>
              <w:ind w:left="0" w:right="0" w:hanging="0"/>
              <w:jc w:val="center"/>
              <w:rPr/>
            </w:pPr>
            <w:r>
              <w:rPr/>
              <w:t>​</w:t>
            </w:r>
          </w:p>
        </w:tc>
        <w:tc>
          <w:tcPr>
            <w:tcW w:w="1820" w:type="dxa"/>
            <w:gridSpan w:val="5"/>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 xml:space="preserve">Six months ended </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3136"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center"/>
              <w:rPr/>
            </w:pPr>
            <w:r>
              <w:rPr/>
              <w:t>​</w:t>
            </w:r>
          </w:p>
        </w:tc>
        <w:tc>
          <w:tcPr>
            <w:tcW w:w="18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286" w:type="dxa"/>
            <w:tcBorders/>
            <w:vAlign w:val="center"/>
          </w:tcPr>
          <w:p>
            <w:pPr>
              <w:pStyle w:val="TableContents"/>
              <w:bidi w:val="0"/>
              <w:spacing w:lineRule="auto" w:line="285" w:before="0" w:after="0"/>
              <w:ind w:left="0" w:right="0" w:hanging="0"/>
              <w:jc w:val="center"/>
              <w:rPr/>
            </w:pPr>
            <w:r>
              <w:rPr/>
              <w:t>​</w:t>
            </w:r>
          </w:p>
        </w:tc>
        <w:tc>
          <w:tcPr>
            <w:tcW w:w="18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3136"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center"/>
              <w:rPr/>
            </w:pPr>
            <w:r>
              <w:rPr/>
              <w:t>  ​ ​</w:t>
            </w:r>
          </w:p>
        </w:tc>
        <w:tc>
          <w:tcPr>
            <w:tcW w:w="7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lineRule="auto" w:line="285" w:before="0" w:after="0"/>
              <w:ind w:left="0" w:right="0" w:hanging="0"/>
              <w:jc w:val="center"/>
              <w:rPr/>
            </w:pPr>
            <w:r>
              <w:rPr/>
              <w:t>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2025</w:t>
            </w:r>
          </w:p>
        </w:tc>
        <w:tc>
          <w:tcPr>
            <w:tcW w:w="286" w:type="dxa"/>
            <w:tcBorders/>
            <w:vAlign w:val="center"/>
          </w:tcPr>
          <w:p>
            <w:pPr>
              <w:pStyle w:val="TableContents"/>
              <w:bidi w:val="0"/>
              <w:spacing w:lineRule="auto" w:line="285" w:before="0" w:after="0"/>
              <w:ind w:left="0" w:right="0" w:hanging="0"/>
              <w:jc w:val="center"/>
              <w:rPr/>
            </w:pPr>
            <w:r>
              <w:rPr/>
              <w:t>  ​ ​</w:t>
            </w:r>
          </w:p>
        </w:tc>
        <w:tc>
          <w:tcPr>
            <w:tcW w:w="7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lineRule="auto" w:line="285" w:before="0" w:after="0"/>
              <w:ind w:left="0" w:right="0" w:hanging="0"/>
              <w:jc w:val="center"/>
              <w:rPr/>
            </w:pPr>
            <w:r>
              <w:rPr/>
              <w:t>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2025</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3136"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3136" w:type="dxa"/>
            <w:tcBorders/>
            <w:shd w:fill="CEDBE0" w:val="clear"/>
            <w:vAlign w:val="center"/>
          </w:tcPr>
          <w:p>
            <w:pPr>
              <w:pStyle w:val="TableContents"/>
              <w:bidi w:val="0"/>
              <w:spacing w:lineRule="auto" w:line="285" w:before="0" w:after="0"/>
              <w:ind w:left="0" w:right="0" w:hanging="0"/>
              <w:jc w:val="left"/>
              <w:rPr>
                <w:rFonts w:ascii="Arial Narrow" w:hAnsi="Arial Narrow"/>
                <w:b/>
                <w:sz w:val="20"/>
              </w:rPr>
            </w:pPr>
            <w:r>
              <w:rPr>
                <w:rFonts w:ascii="Arial Narrow" w:hAnsi="Arial Narrow"/>
                <w:b/>
                <w:sz w:val="20"/>
              </w:rPr>
              <w:t>Contract drilling revenues</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966</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988</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2,047</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1,894</w:t>
            </w:r>
          </w:p>
        </w:tc>
        <w:tc>
          <w:tcPr>
            <w:tcW w:w="191" w:type="dxa"/>
            <w:tcBorders/>
            <w:shd w:fill="CEDBE0" w:val="clear"/>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both"/>
              <w:rPr>
                <w:rFonts w:ascii="Arial Narrow" w:hAnsi="Arial Narrow"/>
                <w:b/>
                <w:sz w:val="20"/>
              </w:rPr>
            </w:pPr>
            <w:r>
              <w:rPr>
                <w:rFonts w:ascii="Arial Narrow" w:hAnsi="Arial Narrow"/>
                <w:b/>
                <w:sz w:val="20"/>
              </w:rPr>
              <w:t>Costs and expenses</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Operating and maintenance</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608</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599</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1,214</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1,217</w:t>
            </w:r>
          </w:p>
        </w:tc>
        <w:tc>
          <w:tcPr>
            <w:tcW w:w="191" w:type="dxa"/>
            <w:tcBorders/>
            <w:shd w:fill="CEDBE0" w:val="clear"/>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Depreciation and amortization</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148</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175</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291</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351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General and administrative</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56</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49</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105</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99</w:t>
            </w:r>
          </w:p>
        </w:tc>
        <w:tc>
          <w:tcPr>
            <w:tcW w:w="19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812</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823</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1,610</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1,667</w:t>
            </w:r>
          </w:p>
        </w:tc>
        <w:tc>
          <w:tcPr>
            <w:tcW w:w="1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both"/>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shd w:fill="CEDBE0" w:val="clear"/>
            <w:vAlign w:val="center"/>
          </w:tcPr>
          <w:p>
            <w:pPr>
              <w:pStyle w:val="TableContents"/>
              <w:bidi w:val="0"/>
              <w:spacing w:lineRule="auto" w:line="285" w:before="0" w:after="0"/>
              <w:ind w:left="0" w:right="0" w:hanging="0"/>
              <w:jc w:val="both"/>
              <w:rPr>
                <w:rFonts w:ascii="Arial Narrow" w:hAnsi="Arial Narrow"/>
                <w:sz w:val="20"/>
              </w:rPr>
            </w:pPr>
            <w:r>
              <w:rPr>
                <w:rFonts w:ascii="Arial Narrow" w:hAnsi="Arial Narrow"/>
                <w:sz w:val="20"/>
              </w:rPr>
              <w:t>Loss on impairment of assets</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pPr>
            <w:r>
              <w:rPr/>
              <w:t>—</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(1,136)</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pPr>
            <w:r>
              <w:rPr/>
              <w:t>—</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(1,136)</w:t>
            </w:r>
          </w:p>
        </w:tc>
        <w:tc>
          <w:tcPr>
            <w:tcW w:w="191" w:type="dxa"/>
            <w:tcBorders/>
            <w:shd w:fill="CEDBE0" w:val="clear"/>
            <w:vAlign w:val="center"/>
          </w:tcPr>
          <w:p>
            <w:pPr>
              <w:pStyle w:val="TableContents"/>
              <w:bidi w:val="0"/>
              <w:spacing w:lineRule="auto" w:line="285"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Arial Narrow" w:hAnsi="Arial Narrow"/>
                <w:sz w:val="20"/>
              </w:rPr>
            </w:pPr>
            <w:r>
              <w:rPr>
                <w:rFonts w:ascii="Arial Narrow" w:hAnsi="Arial Narrow"/>
                <w:sz w:val="20"/>
              </w:rPr>
              <w:t>Gain (loss) on disposal of assets, net</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7</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9</w:t>
            </w:r>
          </w:p>
        </w:tc>
        <w:tc>
          <w:tcPr>
            <w:tcW w:w="1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13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b/>
                <w:sz w:val="20"/>
              </w:rPr>
            </w:pPr>
            <w:r>
              <w:rPr>
                <w:rFonts w:ascii="Arial Narrow" w:hAnsi="Arial Narrow"/>
                <w:b/>
                <w:sz w:val="20"/>
              </w:rPr>
              <w:t>Operating income (loss)</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152</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(964)</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439</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(900)</w:t>
            </w:r>
          </w:p>
        </w:tc>
        <w:tc>
          <w:tcPr>
            <w:tcW w:w="19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both"/>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both"/>
              <w:rPr>
                <w:rFonts w:ascii="Arial Narrow" w:hAnsi="Arial Narrow"/>
                <w:b/>
                <w:sz w:val="20"/>
              </w:rPr>
            </w:pPr>
            <w:r>
              <w:rPr>
                <w:rFonts w:ascii="Arial Narrow" w:hAnsi="Arial Narrow"/>
                <w:b/>
                <w:sz w:val="20"/>
              </w:rPr>
              <w:t>Other income (expense), net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Interest income</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12</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10</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22</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18</w:t>
            </w:r>
          </w:p>
        </w:tc>
        <w:tc>
          <w:tcPr>
            <w:tcW w:w="191" w:type="dxa"/>
            <w:tcBorders/>
            <w:shd w:fill="CEDBE0" w:val="clear"/>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Interest expense</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20</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(112)</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(256)</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(228)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Loss on retirement of debt</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pPr>
            <w:r>
              <w:rPr/>
              <w:t>—</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pPr>
            <w:r>
              <w:rPr/>
              <w:t>—</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pPr>
            <w:r>
              <w:rPr/>
              <w:t>—</w:t>
            </w:r>
          </w:p>
        </w:tc>
        <w:tc>
          <w:tcPr>
            <w:tcW w:w="191" w:type="dxa"/>
            <w:tcBorders/>
            <w:shd w:fill="CEDBE0" w:val="clear"/>
            <w:vAlign w:val="center"/>
          </w:tcPr>
          <w:p>
            <w:pPr>
              <w:pStyle w:val="TableContents"/>
              <w:bidi w:val="0"/>
              <w:spacing w:lineRule="auto" w:line="285"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Other, net</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(27)</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7</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(23)</w:t>
            </w:r>
          </w:p>
        </w:tc>
        <w:tc>
          <w:tcPr>
            <w:tcW w:w="1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13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both"/>
              <w:rPr/>
            </w:pPr>
            <w:r>
              <w:rPr/>
              <w:t>​</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32</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(129)</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(238)</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(233)</w:t>
            </w:r>
          </w:p>
        </w:tc>
        <w:tc>
          <w:tcPr>
            <w:tcW w:w="19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both"/>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shd w:fill="CEDBE0" w:val="clear"/>
            <w:vAlign w:val="center"/>
          </w:tcPr>
          <w:p>
            <w:pPr>
              <w:pStyle w:val="TableContents"/>
              <w:bidi w:val="0"/>
              <w:spacing w:lineRule="auto" w:line="285" w:before="0" w:after="0"/>
              <w:ind w:left="0" w:right="0" w:hanging="0"/>
              <w:jc w:val="both"/>
              <w:rPr>
                <w:rFonts w:ascii="Arial Narrow" w:hAnsi="Arial Narrow"/>
                <w:b/>
                <w:sz w:val="20"/>
              </w:rPr>
            </w:pPr>
            <w:r>
              <w:rPr>
                <w:rFonts w:ascii="Arial Narrow" w:hAnsi="Arial Narrow"/>
                <w:b/>
                <w:sz w:val="20"/>
              </w:rPr>
              <w:t>Income (loss) before income taxes</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184</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(1,093)</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201</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(1,133)</w:t>
            </w:r>
          </w:p>
        </w:tc>
        <w:tc>
          <w:tcPr>
            <w:tcW w:w="191" w:type="dxa"/>
            <w:tcBorders/>
            <w:shd w:fill="CEDBE0" w:val="clear"/>
            <w:vAlign w:val="center"/>
          </w:tcPr>
          <w:p>
            <w:pPr>
              <w:pStyle w:val="TableContents"/>
              <w:bidi w:val="0"/>
              <w:spacing w:lineRule="auto" w:line="285" w:before="0" w:after="0"/>
              <w:ind w:left="0" w:right="0" w:hanging="0"/>
              <w:jc w:val="left"/>
              <w:rPr/>
            </w:pPr>
            <w:r>
              <w:rPr/>
              <w:t>​</w:t>
            </w:r>
          </w:p>
        </w:tc>
      </w:tr>
      <w:tr>
        <w:trPr/>
        <w:tc>
          <w:tcPr>
            <w:tcW w:w="31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Income tax expense (benefit)</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14</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(155)</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(40)</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(116)</w:t>
            </w:r>
          </w:p>
        </w:tc>
        <w:tc>
          <w:tcPr>
            <w:tcW w:w="1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136"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both"/>
              <w:rPr>
                <w:rFonts w:ascii="Arial Narrow" w:hAnsi="Arial Narrow"/>
                <w:b/>
                <w:sz w:val="20"/>
              </w:rPr>
            </w:pPr>
            <w:r>
              <w:rPr>
                <w:rFonts w:ascii="Arial Narrow" w:hAnsi="Arial Narrow"/>
                <w:b/>
                <w:sz w:val="20"/>
              </w:rPr>
              <w:t>Net income (loss)</w:t>
            </w:r>
          </w:p>
        </w:tc>
        <w:tc>
          <w:tcPr>
            <w:tcW w:w="286"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511"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170</w:t>
            </w:r>
          </w:p>
        </w:tc>
        <w:tc>
          <w:tcPr>
            <w:tcW w:w="286"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(938)</w:t>
            </w:r>
          </w:p>
        </w:tc>
        <w:tc>
          <w:tcPr>
            <w:tcW w:w="286"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511"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241</w:t>
            </w:r>
          </w:p>
        </w:tc>
        <w:tc>
          <w:tcPr>
            <w:tcW w:w="286"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(1,017)</w:t>
            </w:r>
          </w:p>
        </w:tc>
        <w:tc>
          <w:tcPr>
            <w:tcW w:w="191" w:type="dxa"/>
            <w:tcBorders>
              <w:bottom w:val="single" w:sz="1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both"/>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left"/>
              <w:rPr>
                <w:rFonts w:ascii="Arial Narrow" w:hAnsi="Arial Narrow"/>
                <w:b/>
                <w:sz w:val="20"/>
              </w:rPr>
            </w:pPr>
            <w:r>
              <w:rPr>
                <w:rFonts w:ascii="Arial Narrow" w:hAnsi="Arial Narrow"/>
                <w:b/>
                <w:sz w:val="20"/>
              </w:rPr>
              <w:t>Earnings (loss) per share</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Basic</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0.15</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(1.06)</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0.22</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(1.15)</w:t>
            </w:r>
          </w:p>
        </w:tc>
        <w:tc>
          <w:tcPr>
            <w:tcW w:w="191" w:type="dxa"/>
            <w:tcBorders/>
            <w:shd w:fill="CEDBE0" w:val="clear"/>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Diluted</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0.04</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(1.06)</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51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0.21</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left"/>
              <w:rPr>
                <w:rFonts w:ascii="Arial Narrow" w:hAnsi="Arial Narrow"/>
                <w:b/>
                <w:sz w:val="20"/>
              </w:rPr>
            </w:pPr>
            <w:r>
              <w:rPr>
                <w:rFonts w:ascii="Arial Narrow" w:hAnsi="Arial Narrow"/>
                <w:b/>
                <w:sz w:val="20"/>
              </w:rPr>
              <w:t>Weighted-average shares outstanding</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313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Basic</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1,120</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888</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51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1,115</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885</w:t>
            </w:r>
          </w:p>
        </w:tc>
        <w:tc>
          <w:tcPr>
            <w:tcW w:w="191" w:type="dxa"/>
            <w:tcBorders/>
            <w:shd w:fill="CEDBE0" w:val="clear"/>
            <w:vAlign w:val="center"/>
          </w:tcPr>
          <w:p>
            <w:pPr>
              <w:pStyle w:val="TableContents"/>
              <w:bidi w:val="0"/>
              <w:spacing w:lineRule="auto" w:line="285" w:before="0" w:after="0"/>
              <w:ind w:left="0" w:right="0" w:hanging="0"/>
              <w:jc w:val="left"/>
              <w:rPr/>
            </w:pPr>
            <w:r>
              <w:rPr/>
              <w:t>​</w:t>
            </w:r>
          </w:p>
        </w:tc>
      </w:tr>
      <w:tr>
        <w:trPr/>
        <w:tc>
          <w:tcPr>
            <w:tcW w:w="3136"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Diluted</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1,202</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888</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1,125</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885</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4636" w:type="dxa"/>
        <w:jc w:val="left"/>
        <w:tblInd w:w="0" w:type="dxa"/>
        <w:tblLayout w:type="fixed"/>
        <w:tblCellMar>
          <w:top w:w="0" w:type="dxa"/>
          <w:left w:w="0" w:type="dxa"/>
          <w:bottom w:w="0" w:type="dxa"/>
          <w:right w:w="0" w:type="dxa"/>
        </w:tblCellMar>
      </w:tblPr>
      <w:tblGrid>
        <w:gridCol w:w="4636"/>
      </w:tblGrid>
      <w:tr>
        <w:trPr/>
        <w:tc>
          <w:tcPr>
            <w:tcW w:w="4636" w:type="dxa"/>
            <w:tcBorders/>
            <w:vAlign w:val="center"/>
          </w:tcPr>
          <w:p>
            <w:pPr>
              <w:pStyle w:val="TableContents"/>
              <w:bidi w:val="0"/>
              <w:spacing w:lineRule="auto" w:line="285" w:before="0" w:after="0"/>
              <w:ind w:left="0" w:right="0" w:hanging="0"/>
              <w:jc w:val="left"/>
              <w:rPr/>
            </w:pPr>
            <w:r>
              <w:rPr/>
              <w:t>​</w:t>
            </w:r>
          </w:p>
        </w:tc>
      </w:tr>
      <w:tr>
        <w:trPr/>
        <w:tc>
          <w:tcPr>
            <w:tcW w:w="4636" w:type="dxa"/>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TRANSOCEAN LTD. AND SUBSIDIARIES</w:t>
            </w:r>
          </w:p>
        </w:tc>
      </w:tr>
      <w:tr>
        <w:trPr/>
        <w:tc>
          <w:tcPr>
            <w:tcW w:w="4636" w:type="dxa"/>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CONDENSED CONSOLIDATED BALANCE SHEETS</w:t>
            </w:r>
          </w:p>
        </w:tc>
      </w:tr>
      <w:tr>
        <w:trPr/>
        <w:tc>
          <w:tcPr>
            <w:tcW w:w="4636" w:type="dxa"/>
            <w:tcBorders/>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(in millions, except par value)</w:t>
            </w:r>
          </w:p>
        </w:tc>
      </w:tr>
      <w:tr>
        <w:trPr/>
        <w:tc>
          <w:tcPr>
            <w:tcW w:w="4636" w:type="dxa"/>
            <w:tcBorders/>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(Unaudited)</w:t>
            </w:r>
          </w:p>
        </w:tc>
      </w:tr>
    </w:tbl>
    <w:p>
      <w:pPr>
        <w:pStyle w:val="TextBody"/>
        <w:bidi w:val="0"/>
        <w:spacing w:lineRule="auto" w:line="285" w:before="0" w:after="0"/>
        <w:ind w:left="36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560"/>
        <w:gridCol w:w="286"/>
        <w:gridCol w:w="196"/>
        <w:gridCol w:w="628"/>
        <w:gridCol w:w="286"/>
        <w:gridCol w:w="260"/>
        <w:gridCol w:w="796"/>
        <w:gridCol w:w="193"/>
      </w:tblGrid>
      <w:tr>
        <w:trPr/>
        <w:tc>
          <w:tcPr>
            <w:tcW w:w="7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800600" cy="175260"/>
                      <wp:effectExtent l="0" t="0" r="0" b="0"/>
                      <wp:wrapNone/>
                      <wp:docPr id="45" name="Frame43"/>
                      <a:graphic xmlns:a="http://schemas.openxmlformats.org/drawingml/2006/main">
                        <a:graphicData uri="http://schemas.microsoft.com/office/word/2010/wordprocessingShape">
                          <wps:wsp>
                            <wps:cNvSpPr txBox="1"/>
                            <wps:spPr>
                              <a:xfrm>
                                <a:off x="0" y="0"/>
                                <a:ext cx="4800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81610" cy="175260"/>
                      <wp:effectExtent l="0" t="0" r="0" b="0"/>
                      <wp:wrapNone/>
                      <wp:docPr id="46" name="Frame4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47"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98780" cy="175260"/>
                      <wp:effectExtent l="0" t="0" r="0" b="0"/>
                      <wp:wrapNone/>
                      <wp:docPr id="48" name="Frame46"/>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81610" cy="175260"/>
                      <wp:effectExtent l="0" t="0" r="0" b="0"/>
                      <wp:wrapNone/>
                      <wp:docPr id="49" name="Frame4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65100" cy="175260"/>
                      <wp:effectExtent l="0" t="0" r="0" b="0"/>
                      <wp:wrapNone/>
                      <wp:docPr id="50" name="Frame4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05460" cy="175260"/>
                      <wp:effectExtent l="0" t="0" r="0" b="0"/>
                      <wp:wrapNone/>
                      <wp:docPr id="51" name="Frame4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2555" cy="175260"/>
                      <wp:effectExtent l="0" t="0" r="0" b="0"/>
                      <wp:wrapNone/>
                      <wp:docPr id="52" name="Frame50"/>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5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center"/>
              <w:rPr/>
            </w:pPr>
            <w:r>
              <w:rPr/>
              <w:t>​</w:t>
            </w:r>
          </w:p>
        </w:tc>
        <w:tc>
          <w:tcPr>
            <w:tcW w:w="824"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286" w:type="dxa"/>
            <w:tcBorders/>
            <w:vAlign w:val="center"/>
          </w:tcPr>
          <w:p>
            <w:pPr>
              <w:pStyle w:val="TableContents"/>
              <w:bidi w:val="0"/>
              <w:spacing w:lineRule="auto" w:line="285" w:before="0" w:after="0"/>
              <w:ind w:left="0" w:right="0" w:hanging="0"/>
              <w:jc w:val="left"/>
              <w:rPr/>
            </w:pPr>
            <w:r>
              <w:rPr/>
              <w:t>​</w:t>
            </w:r>
          </w:p>
        </w:tc>
        <w:tc>
          <w:tcPr>
            <w:tcW w:w="1056"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December 31, </w:t>
            </w:r>
          </w:p>
        </w:tc>
        <w:tc>
          <w:tcPr>
            <w:tcW w:w="193" w:type="dxa"/>
            <w:tcBorders/>
            <w:vAlign w:val="center"/>
          </w:tcPr>
          <w:p>
            <w:pPr>
              <w:pStyle w:val="TableContents"/>
              <w:bidi w:val="0"/>
              <w:spacing w:lineRule="auto" w:line="285" w:before="0" w:after="0"/>
              <w:ind w:left="0" w:right="0" w:hanging="0"/>
              <w:jc w:val="center"/>
              <w:rPr/>
            </w:pPr>
            <w:r>
              <w:rPr/>
              <w:t>​</w:t>
            </w:r>
          </w:p>
        </w:tc>
      </w:tr>
      <w:tr>
        <w:trPr/>
        <w:tc>
          <w:tcPr>
            <w:tcW w:w="75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center"/>
              <w:rPr/>
            </w:pPr>
            <w:r>
              <w:rPr/>
              <w:t>  ​ ​</w:t>
            </w:r>
          </w:p>
        </w:tc>
        <w:tc>
          <w:tcPr>
            <w:tcW w:w="82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286" w:type="dxa"/>
            <w:tcBorders/>
            <w:vAlign w:val="center"/>
          </w:tcPr>
          <w:p>
            <w:pPr>
              <w:pStyle w:val="TableContents"/>
              <w:bidi w:val="0"/>
              <w:spacing w:lineRule="auto" w:line="285" w:before="0" w:after="0"/>
              <w:ind w:left="0" w:right="0" w:hanging="0"/>
              <w:jc w:val="center"/>
              <w:rPr/>
            </w:pPr>
            <w:r>
              <w:rPr/>
              <w:t>  ​ ​</w:t>
            </w:r>
          </w:p>
        </w:tc>
        <w:tc>
          <w:tcPr>
            <w:tcW w:w="10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2025</w:t>
            </w:r>
          </w:p>
        </w:tc>
        <w:tc>
          <w:tcPr>
            <w:tcW w:w="193" w:type="dxa"/>
            <w:tcBorders/>
            <w:vAlign w:val="center"/>
          </w:tcPr>
          <w:p>
            <w:pPr>
              <w:pStyle w:val="TableContents"/>
              <w:bidi w:val="0"/>
              <w:spacing w:lineRule="auto" w:line="285" w:before="0" w:after="0"/>
              <w:ind w:left="0" w:right="0" w:hanging="0"/>
              <w:jc w:val="center"/>
              <w:rPr/>
            </w:pPr>
            <w:r>
              <w:rPr/>
              <w:t> </w:t>
            </w:r>
          </w:p>
        </w:tc>
      </w:tr>
      <w:tr>
        <w:trPr/>
        <w:tc>
          <w:tcPr>
            <w:tcW w:w="7560" w:type="dxa"/>
            <w:tcBorders/>
            <w:vAlign w:val="center"/>
          </w:tcPr>
          <w:p>
            <w:pPr>
              <w:pStyle w:val="TableContents"/>
              <w:bidi w:val="0"/>
              <w:spacing w:lineRule="auto" w:line="285" w:before="0" w:after="0"/>
              <w:ind w:left="0" w:right="0" w:hanging="0"/>
              <w:jc w:val="left"/>
              <w:rPr>
                <w:rFonts w:ascii="Arial Narrow" w:hAnsi="Arial Narrow"/>
                <w:b/>
                <w:sz w:val="19"/>
              </w:rPr>
            </w:pPr>
            <w:r>
              <w:rPr>
                <w:rFonts w:ascii="Arial Narrow" w:hAnsi="Arial Narrow"/>
                <w:b/>
                <w:sz w:val="19"/>
              </w:rPr>
              <w:t>Assets</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28"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center"/>
              <w:rPr/>
            </w:pPr>
            <w:r>
              <w:rPr/>
              <w:t>​</w:t>
            </w:r>
          </w:p>
        </w:tc>
        <w:tc>
          <w:tcPr>
            <w:tcW w:w="796" w:type="dxa"/>
            <w:tcBorders/>
            <w:vAlign w:val="center"/>
          </w:tcPr>
          <w:p>
            <w:pPr>
              <w:pStyle w:val="TableContents"/>
              <w:bidi w:val="0"/>
              <w:spacing w:lineRule="auto" w:line="285" w:before="0" w:after="0"/>
              <w:ind w:left="0" w:right="0" w:hanging="0"/>
              <w:jc w:val="center"/>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shd w:fill="CEDBE0" w:val="cle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Cash and cash equivalents</w:t>
            </w:r>
          </w:p>
        </w:tc>
        <w:tc>
          <w:tcPr>
            <w:tcW w:w="286" w:type="dxa"/>
            <w:tcBorders/>
            <w:shd w:fill="CEDBE0" w:val="clear"/>
            <w:vAlign w:val="center"/>
          </w:tcPr>
          <w:p>
            <w:pPr>
              <w:pStyle w:val="TableContents"/>
              <w:bidi w:val="0"/>
              <w:spacing w:lineRule="auto" w:line="285" w:before="0" w:after="0"/>
              <w:ind w:left="0" w:right="0" w:hanging="0"/>
              <w:jc w:val="left"/>
              <w:rPr/>
            </w:pPr>
            <w:r>
              <w:rPr/>
              <w:t> </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w:t>
            </w:r>
          </w:p>
        </w:tc>
        <w:tc>
          <w:tcPr>
            <w:tcW w:w="628"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509</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260" w:type="dxa"/>
            <w:tcBorders/>
            <w:shd w:fill="CEDBE0" w:val="cle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w:t>
            </w:r>
          </w:p>
        </w:tc>
        <w:tc>
          <w:tcPr>
            <w:tcW w:w="796"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620</w:t>
            </w:r>
          </w:p>
        </w:tc>
        <w:tc>
          <w:tcPr>
            <w:tcW w:w="193" w:type="dxa"/>
            <w:tcBorders/>
            <w:shd w:fill="CEDBE0" w:val="clear"/>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Accounts receivable, net of allowance of $2 at June 30, 2026 and December 31, 2025</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604</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540</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shd w:fill="CEDBE0" w:val="cle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Materials and supplies, net of allowance of $146 and $140 at June 30, 2026 and December 31, 2025, respectively</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28"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379</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260" w:type="dxa"/>
            <w:tcBorders/>
            <w:shd w:fill="CEDBE0" w:val="clear"/>
            <w:vAlign w:val="center"/>
          </w:tcPr>
          <w:p>
            <w:pPr>
              <w:pStyle w:val="TableContents"/>
              <w:bidi w:val="0"/>
              <w:spacing w:lineRule="auto" w:line="285" w:before="0" w:after="0"/>
              <w:ind w:left="0" w:right="0" w:hanging="0"/>
              <w:jc w:val="left"/>
              <w:rPr/>
            </w:pPr>
            <w:r>
              <w:rPr/>
              <w:t>​</w:t>
            </w:r>
          </w:p>
        </w:tc>
        <w:tc>
          <w:tcPr>
            <w:tcW w:w="796"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378</w:t>
            </w:r>
          </w:p>
        </w:tc>
        <w:tc>
          <w:tcPr>
            <w:tcW w:w="193" w:type="dxa"/>
            <w:tcBorders/>
            <w:shd w:fill="CEDBE0" w:val="clear"/>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Assets held for sale</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24</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shd w:fill="CEDBE0" w:val="cle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Restricted cash and cash equivalents</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28"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286</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260" w:type="dxa"/>
            <w:tcBorders/>
            <w:shd w:fill="CEDBE0" w:val="clear"/>
            <w:vAlign w:val="center"/>
          </w:tcPr>
          <w:p>
            <w:pPr>
              <w:pStyle w:val="TableContents"/>
              <w:bidi w:val="0"/>
              <w:spacing w:lineRule="auto" w:line="285" w:before="0" w:after="0"/>
              <w:ind w:left="0" w:right="0" w:hanging="0"/>
              <w:jc w:val="left"/>
              <w:rPr/>
            </w:pPr>
            <w:r>
              <w:rPr/>
              <w:t>​</w:t>
            </w:r>
          </w:p>
        </w:tc>
        <w:tc>
          <w:tcPr>
            <w:tcW w:w="796"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377</w:t>
            </w:r>
          </w:p>
        </w:tc>
        <w:tc>
          <w:tcPr>
            <w:tcW w:w="193" w:type="dxa"/>
            <w:tcBorders/>
            <w:shd w:fill="CEDBE0" w:val="clear"/>
            <w:vAlign w:val="center"/>
          </w:tcPr>
          <w:p>
            <w:pPr>
              <w:pStyle w:val="TableContents"/>
              <w:bidi w:val="0"/>
              <w:spacing w:lineRule="auto" w:line="285" w:before="0" w:after="0"/>
              <w:ind w:left="0" w:right="0" w:hanging="0"/>
              <w:jc w:val="left"/>
              <w:rPr/>
            </w:pPr>
            <w:r>
              <w:rPr/>
              <w:t>​</w:t>
            </w:r>
          </w:p>
        </w:tc>
      </w:tr>
      <w:tr>
        <w:trPr/>
        <w:tc>
          <w:tcPr>
            <w:tcW w:w="756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Other current assets</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133</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142</w:t>
            </w:r>
          </w:p>
        </w:tc>
        <w:tc>
          <w:tcPr>
            <w:tcW w:w="1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7560"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Total current assets</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28"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1,912</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2,081</w:t>
            </w:r>
          </w:p>
        </w:tc>
        <w:tc>
          <w:tcPr>
            <w:tcW w:w="193"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both"/>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shd w:fill="CEDBE0" w:val="cle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Property and equipment</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28"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17,490</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260" w:type="dxa"/>
            <w:tcBorders/>
            <w:shd w:fill="CEDBE0" w:val="clear"/>
            <w:vAlign w:val="center"/>
          </w:tcPr>
          <w:p>
            <w:pPr>
              <w:pStyle w:val="TableContents"/>
              <w:bidi w:val="0"/>
              <w:spacing w:lineRule="auto" w:line="285" w:before="0" w:after="0"/>
              <w:ind w:left="0" w:right="0" w:hanging="0"/>
              <w:jc w:val="left"/>
              <w:rPr/>
            </w:pPr>
            <w:r>
              <w:rPr/>
              <w:t>​</w:t>
            </w:r>
          </w:p>
        </w:tc>
        <w:tc>
          <w:tcPr>
            <w:tcW w:w="796"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17,451</w:t>
            </w:r>
          </w:p>
        </w:tc>
        <w:tc>
          <w:tcPr>
            <w:tcW w:w="193" w:type="dxa"/>
            <w:tcBorders/>
            <w:shd w:fill="CEDBE0" w:val="clear"/>
            <w:vAlign w:val="center"/>
          </w:tcPr>
          <w:p>
            <w:pPr>
              <w:pStyle w:val="TableContents"/>
              <w:bidi w:val="0"/>
              <w:spacing w:lineRule="auto" w:line="285" w:before="0" w:after="0"/>
              <w:ind w:left="0" w:right="0" w:hanging="0"/>
              <w:jc w:val="left"/>
              <w:rPr/>
            </w:pPr>
            <w:r>
              <w:rPr/>
              <w:t>​</w:t>
            </w:r>
          </w:p>
        </w:tc>
      </w:tr>
      <w:tr>
        <w:trPr/>
        <w:tc>
          <w:tcPr>
            <w:tcW w:w="756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Less accumulated depreciation</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(5,147)</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(4,874)</w:t>
            </w:r>
          </w:p>
        </w:tc>
        <w:tc>
          <w:tcPr>
            <w:tcW w:w="1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7560"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Property and equipment, net</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28"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12,343</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12,577</w:t>
            </w:r>
          </w:p>
        </w:tc>
        <w:tc>
          <w:tcPr>
            <w:tcW w:w="193"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shd w:fill="CEDBE0" w:val="cle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Deferred tax assets, net</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28"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70</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260" w:type="dxa"/>
            <w:tcBorders/>
            <w:shd w:fill="CEDBE0" w:val="clear"/>
            <w:vAlign w:val="center"/>
          </w:tcPr>
          <w:p>
            <w:pPr>
              <w:pStyle w:val="TableContents"/>
              <w:bidi w:val="0"/>
              <w:spacing w:lineRule="auto" w:line="285" w:before="0" w:after="0"/>
              <w:ind w:left="0" w:right="0" w:hanging="0"/>
              <w:jc w:val="left"/>
              <w:rPr/>
            </w:pPr>
            <w:r>
              <w:rPr/>
              <w:t>​</w:t>
            </w:r>
          </w:p>
        </w:tc>
        <w:tc>
          <w:tcPr>
            <w:tcW w:w="796"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61</w:t>
            </w:r>
          </w:p>
        </w:tc>
        <w:tc>
          <w:tcPr>
            <w:tcW w:w="193" w:type="dxa"/>
            <w:tcBorders/>
            <w:shd w:fill="CEDBE0" w:val="clear"/>
            <w:vAlign w:val="center"/>
          </w:tcPr>
          <w:p>
            <w:pPr>
              <w:pStyle w:val="TableContents"/>
              <w:bidi w:val="0"/>
              <w:spacing w:lineRule="auto" w:line="285" w:before="0" w:after="0"/>
              <w:ind w:left="0" w:right="0" w:hanging="0"/>
              <w:jc w:val="left"/>
              <w:rPr/>
            </w:pPr>
            <w:r>
              <w:rPr/>
              <w:t>​</w:t>
            </w:r>
          </w:p>
        </w:tc>
      </w:tr>
      <w:tr>
        <w:trPr/>
        <w:tc>
          <w:tcPr>
            <w:tcW w:w="756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Other assets</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842</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923</w:t>
            </w:r>
          </w:p>
        </w:tc>
        <w:tc>
          <w:tcPr>
            <w:tcW w:w="1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7560"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Total assets</w:t>
            </w:r>
          </w:p>
        </w:tc>
        <w:tc>
          <w:tcPr>
            <w:tcW w:w="28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pPr>
            <w:r>
              <w:rPr/>
              <w:t> </w:t>
            </w:r>
          </w:p>
        </w:tc>
        <w:tc>
          <w:tcPr>
            <w:tcW w:w="19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w:t>
            </w:r>
          </w:p>
        </w:tc>
        <w:tc>
          <w:tcPr>
            <w:tcW w:w="628"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15,167</w:t>
            </w:r>
          </w:p>
        </w:tc>
        <w:tc>
          <w:tcPr>
            <w:tcW w:w="28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260"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w:t>
            </w:r>
          </w:p>
        </w:tc>
        <w:tc>
          <w:tcPr>
            <w:tcW w:w="79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15,642</w:t>
            </w:r>
          </w:p>
        </w:tc>
        <w:tc>
          <w:tcPr>
            <w:tcW w:w="193"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both"/>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left"/>
              <w:rPr>
                <w:rFonts w:ascii="Arial Narrow" w:hAnsi="Arial Narrow"/>
                <w:b/>
                <w:sz w:val="19"/>
              </w:rPr>
            </w:pPr>
            <w:r>
              <w:rPr>
                <w:rFonts w:ascii="Arial Narrow" w:hAnsi="Arial Narrow"/>
                <w:b/>
                <w:sz w:val="19"/>
              </w:rPr>
              <w:t>Liabilities and equity</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shd w:fill="CEDBE0" w:val="cle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Accounts payable</w:t>
            </w:r>
          </w:p>
        </w:tc>
        <w:tc>
          <w:tcPr>
            <w:tcW w:w="286" w:type="dxa"/>
            <w:tcBorders/>
            <w:shd w:fill="CEDBE0" w:val="clear"/>
            <w:vAlign w:val="center"/>
          </w:tcPr>
          <w:p>
            <w:pPr>
              <w:pStyle w:val="TableContents"/>
              <w:bidi w:val="0"/>
              <w:spacing w:lineRule="auto" w:line="285" w:before="0" w:after="0"/>
              <w:ind w:left="0" w:right="0" w:hanging="0"/>
              <w:jc w:val="both"/>
              <w:rPr/>
            </w:pPr>
            <w:r>
              <w:rPr/>
              <w:t> </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w:t>
            </w:r>
          </w:p>
        </w:tc>
        <w:tc>
          <w:tcPr>
            <w:tcW w:w="628"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283</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260" w:type="dxa"/>
            <w:tcBorders/>
            <w:shd w:fill="CEDBE0" w:val="cle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w:t>
            </w:r>
          </w:p>
        </w:tc>
        <w:tc>
          <w:tcPr>
            <w:tcW w:w="796"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242</w:t>
            </w:r>
          </w:p>
        </w:tc>
        <w:tc>
          <w:tcPr>
            <w:tcW w:w="193" w:type="dxa"/>
            <w:tcBorders/>
            <w:shd w:fill="CEDBE0" w:val="clear"/>
            <w:vAlign w:val="center"/>
          </w:tcPr>
          <w:p>
            <w:pPr>
              <w:pStyle w:val="TableContents"/>
              <w:bidi w:val="0"/>
              <w:spacing w:lineRule="auto" w:line="285" w:before="0" w:after="0"/>
              <w:ind w:left="0" w:right="0" w:hanging="0"/>
              <w:jc w:val="both"/>
              <w:rPr/>
            </w:pPr>
            <w:r>
              <w:rPr/>
              <w:t>​</w:t>
            </w:r>
          </w:p>
        </w:tc>
      </w:tr>
      <w:tr>
        <w:trPr/>
        <w:tc>
          <w:tcPr>
            <w:tcW w:w="7560" w:type="dxa"/>
            <w:tcBorders/>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Accrued income taxes</w:t>
            </w:r>
          </w:p>
        </w:tc>
        <w:tc>
          <w:tcPr>
            <w:tcW w:w="286" w:type="dxa"/>
            <w:tcBorders/>
            <w:vAlign w:val="center"/>
          </w:tcPr>
          <w:p>
            <w:pPr>
              <w:pStyle w:val="TableContents"/>
              <w:bidi w:val="0"/>
              <w:spacing w:lineRule="auto" w:line="285" w:before="0" w:after="0"/>
              <w:ind w:left="0" w:right="0" w:hanging="0"/>
              <w:jc w:val="both"/>
              <w:rPr/>
            </w:pPr>
            <w:r>
              <w:rPr/>
              <w:t>​</w:t>
            </w:r>
          </w:p>
        </w:tc>
        <w:tc>
          <w:tcPr>
            <w:tcW w:w="196" w:type="dxa"/>
            <w:tcBorders/>
            <w:vAlign w:val="center"/>
          </w:tcPr>
          <w:p>
            <w:pPr>
              <w:pStyle w:val="TableContents"/>
              <w:bidi w:val="0"/>
              <w:spacing w:lineRule="auto" w:line="285" w:before="0" w:after="0"/>
              <w:ind w:left="0" w:right="0" w:hanging="0"/>
              <w:jc w:val="both"/>
              <w:rPr/>
            </w:pPr>
            <w:r>
              <w:rPr/>
              <w:t>​</w:t>
            </w:r>
          </w:p>
        </w:tc>
        <w:tc>
          <w:tcPr>
            <w:tcW w:w="628"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9</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both"/>
              <w:rPr/>
            </w:pPr>
            <w:r>
              <w:rPr/>
              <w:t>​</w:t>
            </w:r>
          </w:p>
        </w:tc>
        <w:tc>
          <w:tcPr>
            <w:tcW w:w="796"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22</w:t>
            </w:r>
          </w:p>
        </w:tc>
        <w:tc>
          <w:tcPr>
            <w:tcW w:w="193" w:type="dxa"/>
            <w:tcBorders/>
            <w:vAlign w:val="center"/>
          </w:tcPr>
          <w:p>
            <w:pPr>
              <w:pStyle w:val="TableContents"/>
              <w:bidi w:val="0"/>
              <w:spacing w:lineRule="auto" w:line="285" w:before="0" w:after="0"/>
              <w:ind w:left="0" w:right="0" w:hanging="0"/>
              <w:jc w:val="both"/>
              <w:rPr/>
            </w:pPr>
            <w:r>
              <w:rPr/>
              <w:t>​</w:t>
            </w:r>
          </w:p>
        </w:tc>
      </w:tr>
      <w:tr>
        <w:trPr/>
        <w:tc>
          <w:tcPr>
            <w:tcW w:w="7560" w:type="dxa"/>
            <w:tcBorders/>
            <w:shd w:fill="CEDBE0" w:val="cle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Debt due within one year</w:t>
            </w:r>
          </w:p>
        </w:tc>
        <w:tc>
          <w:tcPr>
            <w:tcW w:w="286" w:type="dxa"/>
            <w:tcBorders/>
            <w:shd w:fill="CEDBE0" w:val="clear"/>
            <w:vAlign w:val="center"/>
          </w:tcPr>
          <w:p>
            <w:pPr>
              <w:pStyle w:val="TableContents"/>
              <w:bidi w:val="0"/>
              <w:spacing w:lineRule="auto" w:line="285" w:before="0" w:after="0"/>
              <w:ind w:left="0" w:right="0" w:hanging="0"/>
              <w:jc w:val="both"/>
              <w:rPr/>
            </w:pPr>
            <w:r>
              <w:rPr/>
              <w:t>​</w:t>
            </w:r>
          </w:p>
        </w:tc>
        <w:tc>
          <w:tcPr>
            <w:tcW w:w="196" w:type="dxa"/>
            <w:tcBorders/>
            <w:shd w:fill="CEDBE0" w:val="clear"/>
            <w:vAlign w:val="center"/>
          </w:tcPr>
          <w:p>
            <w:pPr>
              <w:pStyle w:val="TableContents"/>
              <w:bidi w:val="0"/>
              <w:spacing w:lineRule="auto" w:line="285" w:before="0" w:after="0"/>
              <w:ind w:left="0" w:right="0" w:hanging="0"/>
              <w:jc w:val="both"/>
              <w:rPr/>
            </w:pPr>
            <w:r>
              <w:rPr/>
              <w:t>​</w:t>
            </w:r>
          </w:p>
        </w:tc>
        <w:tc>
          <w:tcPr>
            <w:tcW w:w="628"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397</w:t>
            </w:r>
          </w:p>
        </w:tc>
        <w:tc>
          <w:tcPr>
            <w:tcW w:w="286" w:type="dxa"/>
            <w:tcBorders/>
            <w:shd w:fill="CEDBE0" w:val="clear"/>
            <w:vAlign w:val="center"/>
          </w:tcPr>
          <w:p>
            <w:pPr>
              <w:pStyle w:val="TableContents"/>
              <w:bidi w:val="0"/>
              <w:spacing w:lineRule="auto" w:line="285" w:before="0" w:after="0"/>
              <w:ind w:left="0" w:right="0" w:hanging="0"/>
              <w:jc w:val="both"/>
              <w:rPr/>
            </w:pPr>
            <w:r>
              <w:rPr/>
              <w:t>​</w:t>
            </w:r>
          </w:p>
        </w:tc>
        <w:tc>
          <w:tcPr>
            <w:tcW w:w="260" w:type="dxa"/>
            <w:tcBorders/>
            <w:shd w:fill="CEDBE0" w:val="clear"/>
            <w:vAlign w:val="center"/>
          </w:tcPr>
          <w:p>
            <w:pPr>
              <w:pStyle w:val="TableContents"/>
              <w:bidi w:val="0"/>
              <w:spacing w:lineRule="auto" w:line="285" w:before="0" w:after="0"/>
              <w:ind w:left="0" w:right="0" w:hanging="0"/>
              <w:jc w:val="both"/>
              <w:rPr/>
            </w:pPr>
            <w:r>
              <w:rPr/>
              <w:t>​</w:t>
            </w:r>
          </w:p>
        </w:tc>
        <w:tc>
          <w:tcPr>
            <w:tcW w:w="796"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445</w:t>
            </w:r>
          </w:p>
        </w:tc>
        <w:tc>
          <w:tcPr>
            <w:tcW w:w="193" w:type="dxa"/>
            <w:tcBorders/>
            <w:shd w:fill="CEDBE0" w:val="clear"/>
            <w:vAlign w:val="center"/>
          </w:tcPr>
          <w:p>
            <w:pPr>
              <w:pStyle w:val="TableContents"/>
              <w:bidi w:val="0"/>
              <w:spacing w:lineRule="auto" w:line="285" w:before="0" w:after="0"/>
              <w:ind w:left="0" w:right="0" w:hanging="0"/>
              <w:jc w:val="both"/>
              <w:rPr/>
            </w:pPr>
            <w:r>
              <w:rPr/>
              <w:t>​</w:t>
            </w:r>
          </w:p>
        </w:tc>
      </w:tr>
      <w:tr>
        <w:trPr/>
        <w:tc>
          <w:tcPr>
            <w:tcW w:w="756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Other current liabilities</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6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514</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627</w:t>
            </w:r>
          </w:p>
        </w:tc>
        <w:tc>
          <w:tcPr>
            <w:tcW w:w="193"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pPr>
            <w:r>
              <w:rPr/>
              <w:t>​</w:t>
            </w:r>
          </w:p>
        </w:tc>
      </w:tr>
      <w:tr>
        <w:trPr/>
        <w:tc>
          <w:tcPr>
            <w:tcW w:w="7560"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Total current liabilities</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both"/>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both"/>
              <w:rPr/>
            </w:pPr>
            <w:r>
              <w:rPr/>
              <w:t>​</w:t>
            </w:r>
          </w:p>
        </w:tc>
        <w:tc>
          <w:tcPr>
            <w:tcW w:w="628"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1,203</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both"/>
              <w:rPr/>
            </w:pPr>
            <w:r>
              <w:rPr/>
              <w:t>​</w:t>
            </w:r>
          </w:p>
        </w:tc>
        <w:tc>
          <w:tcPr>
            <w:tcW w:w="260"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both"/>
              <w:rPr/>
            </w:pPr>
            <w:r>
              <w:rPr/>
              <w:t>​</w:t>
            </w:r>
          </w:p>
        </w:tc>
        <w:tc>
          <w:tcPr>
            <w:tcW w:w="7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1,336</w:t>
            </w:r>
          </w:p>
        </w:tc>
        <w:tc>
          <w:tcPr>
            <w:tcW w:w="193"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both"/>
              <w:rPr/>
            </w:pPr>
            <w:r>
              <w:rPr/>
              <w:t>​</w:t>
            </w:r>
          </w:p>
        </w:tc>
      </w:tr>
      <w:tr>
        <w:trPr/>
        <w:tc>
          <w:tcPr>
            <w:tcW w:w="75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Long-term debt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4,722</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5,212</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shd w:fill="CEDBE0" w:val="cle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Deferred tax liabilities, net</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28"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340</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260" w:type="dxa"/>
            <w:tcBorders/>
            <w:shd w:fill="CEDBE0" w:val="clear"/>
            <w:vAlign w:val="center"/>
          </w:tcPr>
          <w:p>
            <w:pPr>
              <w:pStyle w:val="TableContents"/>
              <w:bidi w:val="0"/>
              <w:spacing w:lineRule="auto" w:line="285" w:before="0" w:after="0"/>
              <w:ind w:left="0" w:right="0" w:hanging="0"/>
              <w:jc w:val="left"/>
              <w:rPr/>
            </w:pPr>
            <w:r>
              <w:rPr/>
              <w:t>​</w:t>
            </w:r>
          </w:p>
        </w:tc>
        <w:tc>
          <w:tcPr>
            <w:tcW w:w="796"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404</w:t>
            </w:r>
          </w:p>
        </w:tc>
        <w:tc>
          <w:tcPr>
            <w:tcW w:w="193" w:type="dxa"/>
            <w:tcBorders/>
            <w:shd w:fill="CEDBE0" w:val="clear"/>
            <w:vAlign w:val="center"/>
          </w:tcPr>
          <w:p>
            <w:pPr>
              <w:pStyle w:val="TableContents"/>
              <w:bidi w:val="0"/>
              <w:spacing w:lineRule="auto" w:line="285" w:before="0" w:after="0"/>
              <w:ind w:left="0" w:right="0" w:hanging="0"/>
              <w:jc w:val="left"/>
              <w:rPr/>
            </w:pPr>
            <w:r>
              <w:rPr/>
              <w:t>​</w:t>
            </w:r>
          </w:p>
        </w:tc>
      </w:tr>
      <w:tr>
        <w:trPr/>
        <w:tc>
          <w:tcPr>
            <w:tcW w:w="75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Other long-term liabilities</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532</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582</w:t>
            </w:r>
          </w:p>
        </w:tc>
        <w:tc>
          <w:tcPr>
            <w:tcW w:w="1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7560"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Total long-term liabilities</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28"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5,594</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6,198</w:t>
            </w:r>
          </w:p>
        </w:tc>
        <w:tc>
          <w:tcPr>
            <w:tcW w:w="193"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shd w:fill="CEDBE0" w:val="cle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Commitments and contingencies</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28" w:type="dxa"/>
            <w:tcBorders/>
            <w:shd w:fill="CEDBE0" w:val="clear"/>
            <w:vAlign w:val="center"/>
          </w:tcPr>
          <w:p>
            <w:pPr>
              <w:pStyle w:val="TableContents"/>
              <w:bidi w:val="0"/>
              <w:spacing w:lineRule="auto" w:line="285" w:before="0" w:after="0"/>
              <w:ind w:left="0" w:right="0" w:hanging="0"/>
              <w:jc w:val="right"/>
              <w:rPr/>
            </w:pPr>
            <w:r>
              <w:rPr/>
              <w:t>​</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260" w:type="dxa"/>
            <w:tcBorders/>
            <w:shd w:fill="CEDBE0" w:val="clear"/>
            <w:vAlign w:val="center"/>
          </w:tcPr>
          <w:p>
            <w:pPr>
              <w:pStyle w:val="TableContents"/>
              <w:bidi w:val="0"/>
              <w:spacing w:lineRule="auto" w:line="285" w:before="0" w:after="0"/>
              <w:ind w:left="0" w:right="0" w:hanging="0"/>
              <w:jc w:val="left"/>
              <w:rPr/>
            </w:pPr>
            <w:r>
              <w:rPr/>
              <w:t>​</w:t>
            </w:r>
          </w:p>
        </w:tc>
        <w:tc>
          <w:tcPr>
            <w:tcW w:w="796" w:type="dxa"/>
            <w:tcBorders/>
            <w:shd w:fill="CEDBE0" w:val="clear"/>
            <w:vAlign w:val="center"/>
          </w:tcPr>
          <w:p>
            <w:pPr>
              <w:pStyle w:val="TableContents"/>
              <w:bidi w:val="0"/>
              <w:spacing w:lineRule="auto" w:line="285" w:before="0" w:after="0"/>
              <w:ind w:left="0" w:right="0" w:hanging="0"/>
              <w:jc w:val="right"/>
              <w:rPr/>
            </w:pPr>
            <w:r>
              <w:rPr/>
              <w:t>​</w:t>
            </w:r>
          </w:p>
        </w:tc>
        <w:tc>
          <w:tcPr>
            <w:tcW w:w="193" w:type="dxa"/>
            <w:tcBorders/>
            <w:shd w:fill="CEDBE0" w:val="clear"/>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Shares, $0.10 par value,</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1,445 authorized, 141 conditionally authorized, 1,304 issued and 1,117 outstanding at June 30, 2026 and</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pPr>
            <w:r>
              <w:rPr/>
              <w:t>​</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1,204 authorized, 141 conditionally authorized, 1,204 issued and 1,102 outstanding at December 31, 2025</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112</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110</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shd w:fill="CEDBE0" w:val="cle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Additional paid-in capital</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28"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15,617</w:t>
            </w:r>
          </w:p>
        </w:tc>
        <w:tc>
          <w:tcPr>
            <w:tcW w:w="286" w:type="dxa"/>
            <w:tcBorders/>
            <w:shd w:fill="CEDBE0" w:val="clear"/>
            <w:vAlign w:val="center"/>
          </w:tcPr>
          <w:p>
            <w:pPr>
              <w:pStyle w:val="TableContents"/>
              <w:bidi w:val="0"/>
              <w:spacing w:lineRule="auto" w:line="285" w:before="0" w:after="0"/>
              <w:ind w:left="0" w:right="0" w:hanging="0"/>
              <w:jc w:val="left"/>
              <w:rPr/>
            </w:pPr>
            <w:r>
              <w:rPr/>
              <w:t>​</w:t>
            </w:r>
          </w:p>
        </w:tc>
        <w:tc>
          <w:tcPr>
            <w:tcW w:w="260" w:type="dxa"/>
            <w:tcBorders/>
            <w:shd w:fill="CEDBE0" w:val="clear"/>
            <w:vAlign w:val="center"/>
          </w:tcPr>
          <w:p>
            <w:pPr>
              <w:pStyle w:val="TableContents"/>
              <w:bidi w:val="0"/>
              <w:spacing w:lineRule="auto" w:line="285" w:before="0" w:after="0"/>
              <w:ind w:left="0" w:right="0" w:hanging="0"/>
              <w:jc w:val="left"/>
              <w:rPr/>
            </w:pPr>
            <w:r>
              <w:rPr/>
              <w:t>​</w:t>
            </w:r>
          </w:p>
        </w:tc>
        <w:tc>
          <w:tcPr>
            <w:tcW w:w="796" w:type="dxa"/>
            <w:tcBorders/>
            <w:shd w:fill="CEDBE0" w:val="cle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15,604</w:t>
            </w:r>
          </w:p>
        </w:tc>
        <w:tc>
          <w:tcPr>
            <w:tcW w:w="193" w:type="dxa"/>
            <w:tcBorders/>
            <w:shd w:fill="CEDBE0" w:val="clear"/>
            <w:vAlign w:val="center"/>
          </w:tcPr>
          <w:p>
            <w:pPr>
              <w:pStyle w:val="TableContents"/>
              <w:bidi w:val="0"/>
              <w:spacing w:lineRule="auto" w:line="285" w:before="0" w:after="0"/>
              <w:ind w:left="0" w:right="0" w:hanging="0"/>
              <w:jc w:val="left"/>
              <w:rPr/>
            </w:pPr>
            <w:r>
              <w:rPr/>
              <w:t>​</w:t>
            </w:r>
          </w:p>
        </w:tc>
      </w:tr>
      <w:tr>
        <w:trPr/>
        <w:tc>
          <w:tcPr>
            <w:tcW w:w="7560" w:type="dxa"/>
            <w:tcBorders/>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Accumulated deficit</w:t>
            </w:r>
          </w:p>
        </w:tc>
        <w:tc>
          <w:tcPr>
            <w:tcW w:w="28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28"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(7,219)</w:t>
            </w:r>
          </w:p>
        </w:tc>
        <w:tc>
          <w:tcPr>
            <w:tcW w:w="28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(7,460)</w:t>
            </w:r>
          </w:p>
        </w:tc>
        <w:tc>
          <w:tcPr>
            <w:tcW w:w="193" w:type="dxa"/>
            <w:tcBorders/>
            <w:vAlign w:val="center"/>
          </w:tcPr>
          <w:p>
            <w:pPr>
              <w:pStyle w:val="TableContents"/>
              <w:bidi w:val="0"/>
              <w:spacing w:lineRule="auto" w:line="285" w:before="0" w:after="0"/>
              <w:ind w:left="0" w:right="0" w:hanging="0"/>
              <w:jc w:val="left"/>
              <w:rPr/>
            </w:pPr>
            <w:r>
              <w:rPr/>
              <w:t>​</w:t>
            </w:r>
          </w:p>
        </w:tc>
      </w:tr>
      <w:tr>
        <w:trPr/>
        <w:tc>
          <w:tcPr>
            <w:tcW w:w="7560"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both"/>
              <w:rPr>
                <w:rFonts w:ascii="Arial Narrow" w:hAnsi="Arial Narrow"/>
                <w:sz w:val="19"/>
              </w:rPr>
            </w:pPr>
            <w:r>
              <w:rPr>
                <w:rFonts w:ascii="Arial Narrow" w:hAnsi="Arial Narrow"/>
                <w:sz w:val="19"/>
              </w:rPr>
              <w:t>Accumulated other comprehensive loss</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28"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(140)</w:t>
            </w:r>
          </w:p>
        </w:tc>
        <w:tc>
          <w:tcPr>
            <w:tcW w:w="28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(146)</w:t>
            </w:r>
          </w:p>
        </w:tc>
        <w:tc>
          <w:tcPr>
            <w:tcW w:w="193"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75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Total equity</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8,370</w:t>
            </w:r>
          </w:p>
        </w:tc>
        <w:tc>
          <w:tcPr>
            <w:tcW w:w="2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8,108</w:t>
            </w:r>
          </w:p>
        </w:tc>
        <w:tc>
          <w:tcPr>
            <w:tcW w:w="1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7560"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Total liabilities and equity</w:t>
            </w:r>
          </w:p>
        </w:tc>
        <w:tc>
          <w:tcPr>
            <w:tcW w:w="28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pPr>
            <w:r>
              <w:rPr/>
              <w:t> </w:t>
            </w:r>
          </w:p>
        </w:tc>
        <w:tc>
          <w:tcPr>
            <w:tcW w:w="19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w:t>
            </w:r>
          </w:p>
        </w:tc>
        <w:tc>
          <w:tcPr>
            <w:tcW w:w="628"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15,167</w:t>
            </w:r>
          </w:p>
        </w:tc>
        <w:tc>
          <w:tcPr>
            <w:tcW w:w="28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260"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19"/>
              </w:rPr>
            </w:pPr>
            <w:r>
              <w:rPr>
                <w:rFonts w:ascii="Arial Narrow" w:hAnsi="Arial Narrow"/>
                <w:sz w:val="19"/>
              </w:rPr>
              <w:t>$</w:t>
            </w:r>
          </w:p>
        </w:tc>
        <w:tc>
          <w:tcPr>
            <w:tcW w:w="79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19"/>
              </w:rPr>
            </w:pPr>
            <w:r>
              <w:rPr>
                <w:rFonts w:ascii="Arial Narrow" w:hAnsi="Arial Narrow"/>
                <w:sz w:val="19"/>
              </w:rPr>
              <w:t>15,642</w:t>
            </w:r>
          </w:p>
        </w:tc>
        <w:tc>
          <w:tcPr>
            <w:tcW w:w="193"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5821" w:type="dxa"/>
        <w:jc w:val="left"/>
        <w:tblInd w:w="0" w:type="dxa"/>
        <w:tblLayout w:type="fixed"/>
        <w:tblCellMar>
          <w:top w:w="0" w:type="dxa"/>
          <w:left w:w="0" w:type="dxa"/>
          <w:bottom w:w="0" w:type="dxa"/>
          <w:right w:w="0" w:type="dxa"/>
        </w:tblCellMar>
      </w:tblPr>
      <w:tblGrid>
        <w:gridCol w:w="5821"/>
      </w:tblGrid>
      <w:tr>
        <w:trPr/>
        <w:tc>
          <w:tcPr>
            <w:tcW w:w="5821" w:type="dxa"/>
            <w:tcBorders/>
            <w:vAlign w:val="center"/>
          </w:tcPr>
          <w:p>
            <w:pPr>
              <w:pStyle w:val="TableContents"/>
              <w:bidi w:val="0"/>
              <w:spacing w:lineRule="auto" w:line="285" w:before="0" w:after="0"/>
              <w:ind w:left="0" w:right="0" w:hanging="0"/>
              <w:jc w:val="left"/>
              <w:rPr/>
            </w:pPr>
            <w:r>
              <w:rPr/>
              <w:t>​</w:t>
            </w:r>
          </w:p>
        </w:tc>
      </w:tr>
      <w:tr>
        <w:trPr/>
        <w:tc>
          <w:tcPr>
            <w:tcW w:w="5821" w:type="dxa"/>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TRANSOCEAN LTD. AND SUBSIDIARIES</w:t>
            </w:r>
          </w:p>
        </w:tc>
      </w:tr>
      <w:tr>
        <w:trPr/>
        <w:tc>
          <w:tcPr>
            <w:tcW w:w="5821" w:type="dxa"/>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CONDENSED CONSOLIDATED STATEMENTS OF CASH FLOWS</w:t>
            </w:r>
          </w:p>
        </w:tc>
      </w:tr>
      <w:tr>
        <w:trPr/>
        <w:tc>
          <w:tcPr>
            <w:tcW w:w="5821" w:type="dxa"/>
            <w:tcBorders/>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(in millions)</w:t>
            </w:r>
          </w:p>
        </w:tc>
      </w:tr>
      <w:tr>
        <w:trPr/>
        <w:tc>
          <w:tcPr>
            <w:tcW w:w="5821" w:type="dxa"/>
            <w:tcBorders/>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(Unaudited)</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tbl>
      <w:tblPr>
        <w:tblW w:w="8633" w:type="dxa"/>
        <w:jc w:val="left"/>
        <w:tblInd w:w="0" w:type="dxa"/>
        <w:tblLayout w:type="fixed"/>
        <w:tblCellMar>
          <w:top w:w="0" w:type="dxa"/>
          <w:left w:w="0" w:type="dxa"/>
          <w:bottom w:w="0" w:type="dxa"/>
          <w:right w:w="0" w:type="dxa"/>
        </w:tblCellMar>
      </w:tblPr>
      <w:tblGrid>
        <w:gridCol w:w="6091"/>
        <w:gridCol w:w="346"/>
        <w:gridCol w:w="196"/>
        <w:gridCol w:w="496"/>
        <w:gridCol w:w="346"/>
        <w:gridCol w:w="196"/>
        <w:gridCol w:w="631"/>
        <w:gridCol w:w="331"/>
      </w:tblGrid>
      <w:tr>
        <w:trPr/>
        <w:tc>
          <w:tcPr>
            <w:tcW w:w="6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867785" cy="175260"/>
                      <wp:effectExtent l="0" t="0" r="0" b="0"/>
                      <wp:wrapNone/>
                      <wp:docPr id="53" name="Frame51"/>
                      <a:graphic xmlns:a="http://schemas.openxmlformats.org/drawingml/2006/main">
                        <a:graphicData uri="http://schemas.microsoft.com/office/word/2010/wordprocessingShape">
                          <wps:wsp>
                            <wps:cNvSpPr txBox="1"/>
                            <wps:spPr>
                              <a:xfrm>
                                <a:off x="0" y="0"/>
                                <a:ext cx="3867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4"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55"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14960" cy="175260"/>
                      <wp:effectExtent l="0" t="0" r="0" b="0"/>
                      <wp:wrapNone/>
                      <wp:docPr id="56" name="Frame5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57"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58"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00685" cy="175260"/>
                      <wp:effectExtent l="0" t="0" r="0" b="0"/>
                      <wp:wrapNone/>
                      <wp:docPr id="59" name="Frame5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0185" cy="175260"/>
                      <wp:effectExtent l="0" t="0" r="0" b="0"/>
                      <wp:wrapNone/>
                      <wp:docPr id="60" name="Frame5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865" w:type="dxa"/>
            <w:gridSpan w:val="5"/>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 xml:space="preserve">Six months ended </w:t>
            </w:r>
          </w:p>
        </w:tc>
        <w:tc>
          <w:tcPr>
            <w:tcW w:w="331" w:type="dxa"/>
            <w:tcBorders/>
            <w:vAlign w:val="center"/>
          </w:tcPr>
          <w:p>
            <w:pPr>
              <w:pStyle w:val="TableContents"/>
              <w:bidi w:val="0"/>
              <w:spacing w:lineRule="auto" w:line="285" w:before="0" w:after="0"/>
              <w:ind w:left="0" w:right="0" w:hanging="0"/>
              <w:jc w:val="center"/>
              <w:rPr/>
            </w:pPr>
            <w:r>
              <w:rPr/>
              <w:t>​</w:t>
            </w:r>
          </w:p>
        </w:tc>
      </w:tr>
      <w:tr>
        <w:trPr/>
        <w:tc>
          <w:tcPr>
            <w:tcW w:w="6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86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331" w:type="dxa"/>
            <w:tcBorders/>
            <w:vAlign w:val="center"/>
          </w:tcPr>
          <w:p>
            <w:pPr>
              <w:pStyle w:val="TableContents"/>
              <w:bidi w:val="0"/>
              <w:spacing w:lineRule="auto" w:line="285" w:before="0" w:after="0"/>
              <w:ind w:left="0" w:right="0" w:hanging="0"/>
              <w:jc w:val="center"/>
              <w:rPr/>
            </w:pPr>
            <w:r>
              <w:rPr/>
              <w:t>​</w:t>
            </w:r>
          </w:p>
        </w:tc>
      </w:tr>
      <w:tr>
        <w:trPr/>
        <w:tc>
          <w:tcPr>
            <w:tcW w:w="6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2025</w:t>
            </w:r>
          </w:p>
        </w:tc>
        <w:tc>
          <w:tcPr>
            <w:tcW w:w="331" w:type="dxa"/>
            <w:tcBorders/>
            <w:vAlign w:val="center"/>
          </w:tcPr>
          <w:p>
            <w:pPr>
              <w:pStyle w:val="TableContents"/>
              <w:bidi w:val="0"/>
              <w:spacing w:lineRule="auto" w:line="285" w:before="0" w:after="0"/>
              <w:ind w:left="0" w:right="0" w:hanging="0"/>
              <w:jc w:val="center"/>
              <w:rPr/>
            </w:pPr>
            <w:r>
              <w:rPr/>
              <w:t>  ​ ​</w:t>
            </w:r>
          </w:p>
        </w:tc>
      </w:tr>
      <w:tr>
        <w:trPr/>
        <w:tc>
          <w:tcPr>
            <w:tcW w:w="6091" w:type="dxa"/>
            <w:tcBorders/>
            <w:vAlign w:val="center"/>
          </w:tcPr>
          <w:p>
            <w:pPr>
              <w:pStyle w:val="TableContents"/>
              <w:bidi w:val="0"/>
              <w:spacing w:lineRule="auto" w:line="285" w:before="0" w:after="0"/>
              <w:ind w:left="0" w:right="0" w:hanging="0"/>
              <w:jc w:val="left"/>
              <w:rPr>
                <w:rFonts w:ascii="Arial Narrow" w:hAnsi="Arial Narrow"/>
                <w:b/>
                <w:sz w:val="20"/>
              </w:rPr>
            </w:pPr>
            <w:r>
              <w:rPr>
                <w:rFonts w:ascii="Arial Narrow" w:hAnsi="Arial Narrow"/>
                <w:b/>
                <w:sz w:val="20"/>
              </w:rPr>
              <w:t>Cash flows from operating activities</w:t>
            </w:r>
          </w:p>
        </w:tc>
        <w:tc>
          <w:tcPr>
            <w:tcW w:w="34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left"/>
              <w:rPr/>
            </w:pPr>
            <w:r>
              <w:rPr/>
              <w:t>​</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Net income (loss)</w:t>
            </w:r>
          </w:p>
        </w:tc>
        <w:tc>
          <w:tcPr>
            <w:tcW w:w="346" w:type="dxa"/>
            <w:tcBorders/>
            <w:shd w:fill="CEDBE0" w:val="clear"/>
            <w:vAlign w:val="center"/>
          </w:tcPr>
          <w:p>
            <w:pPr>
              <w:pStyle w:val="TableContents"/>
              <w:bidi w:val="0"/>
              <w:spacing w:lineRule="auto" w:line="285" w:before="0" w:after="0"/>
              <w:ind w:left="0" w:right="0" w:hanging="0"/>
              <w:jc w:val="left"/>
              <w:rPr/>
            </w:pPr>
            <w:r>
              <w:rPr/>
              <w:t> </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496"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241</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(1,017)</w:t>
            </w:r>
          </w:p>
        </w:tc>
        <w:tc>
          <w:tcPr>
            <w:tcW w:w="331" w:type="dxa"/>
            <w:tcBorders/>
            <w:shd w:fill="CEDBE0" w:val="clear"/>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Adjustments to reconcile to net cash provided by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Depreciation and amortization</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496"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291</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351</w:t>
            </w:r>
          </w:p>
        </w:tc>
        <w:tc>
          <w:tcPr>
            <w:tcW w:w="331" w:type="dxa"/>
            <w:tcBorders/>
            <w:shd w:fill="CEDBE0" w:val="clear"/>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Share-based compensation expense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16</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Loss on impairment of assets</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496" w:type="dxa"/>
            <w:tcBorders/>
            <w:shd w:fill="CEDBE0" w:val="clear"/>
            <w:vAlign w:val="center"/>
          </w:tcPr>
          <w:p>
            <w:pPr>
              <w:pStyle w:val="TableContents"/>
              <w:bidi w:val="0"/>
              <w:spacing w:lineRule="auto" w:line="285" w:before="0" w:after="0"/>
              <w:ind w:left="0" w:right="0" w:hanging="0"/>
              <w:jc w:val="right"/>
              <w:rPr/>
            </w:pPr>
            <w:r>
              <w:rPr/>
              <w:t>—</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1,136</w:t>
            </w:r>
          </w:p>
        </w:tc>
        <w:tc>
          <w:tcPr>
            <w:tcW w:w="331" w:type="dxa"/>
            <w:tcBorders/>
            <w:shd w:fill="CEDBE0" w:val="clear"/>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Gain on disposal of assets, net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(9)</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Amortization of debt-related balances, net</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496"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20</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25</w:t>
            </w:r>
          </w:p>
        </w:tc>
        <w:tc>
          <w:tcPr>
            <w:tcW w:w="331" w:type="dxa"/>
            <w:tcBorders/>
            <w:shd w:fill="CEDBE0" w:val="clear"/>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(Gain) loss on adjustment to bifurcated compound exchange feature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(65)</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Loss on retirement of debt</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496"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11</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pPr>
            <w:r>
              <w:rPr/>
              <w:t>—</w:t>
            </w:r>
          </w:p>
        </w:tc>
        <w:tc>
          <w:tcPr>
            <w:tcW w:w="331" w:type="dxa"/>
            <w:tcBorders/>
            <w:shd w:fill="CEDBE0" w:val="clear"/>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Deferred income tax benefit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(73)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(157)</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Other, net</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496"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31</w:t>
            </w:r>
          </w:p>
        </w:tc>
        <w:tc>
          <w:tcPr>
            <w:tcW w:w="331" w:type="dxa"/>
            <w:tcBorders/>
            <w:shd w:fill="CEDBE0" w:val="clear"/>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Changes in contract liabilities, net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(83)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(84)</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Changes in deferred costs, net</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496"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46</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16</w:t>
            </w:r>
          </w:p>
        </w:tc>
        <w:tc>
          <w:tcPr>
            <w:tcW w:w="331" w:type="dxa"/>
            <w:tcBorders/>
            <w:shd w:fill="CEDBE0" w:val="clear"/>
            <w:vAlign w:val="center"/>
          </w:tcPr>
          <w:p>
            <w:pPr>
              <w:pStyle w:val="TableContents"/>
              <w:bidi w:val="0"/>
              <w:spacing w:lineRule="auto" w:line="285"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Changes in other operating assets and liabilities, net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(84)</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(89)</w:t>
            </w:r>
          </w:p>
        </w:tc>
        <w:tc>
          <w:tcPr>
            <w:tcW w:w="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Net cash provided by operating activities</w:t>
            </w:r>
          </w:p>
        </w:tc>
        <w:tc>
          <w:tcPr>
            <w:tcW w:w="34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400</w:t>
            </w:r>
          </w:p>
        </w:tc>
        <w:tc>
          <w:tcPr>
            <w:tcW w:w="34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154</w:t>
            </w:r>
          </w:p>
        </w:tc>
        <w:tc>
          <w:tcPr>
            <w:tcW w:w="3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rFonts w:ascii="Arial Narrow" w:hAnsi="Arial Narrow"/>
                <w:b/>
                <w:sz w:val="20"/>
              </w:rPr>
            </w:pPr>
            <w:r>
              <w:rPr>
                <w:rFonts w:ascii="Arial Narrow" w:hAnsi="Arial Narrow"/>
                <w:b/>
                <w:sz w:val="20"/>
              </w:rPr>
              <w:t>Cash flows from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Capital expenditures</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496"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(52)</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(84)</w:t>
            </w:r>
          </w:p>
        </w:tc>
        <w:tc>
          <w:tcPr>
            <w:tcW w:w="331" w:type="dxa"/>
            <w:tcBorders/>
            <w:shd w:fill="CEDBE0" w:val="clear"/>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Investment in equity of unconsolidated affiliates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Proceeds from disposal of assets, net of costs to sell</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496"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26</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10</w:t>
            </w:r>
          </w:p>
        </w:tc>
        <w:tc>
          <w:tcPr>
            <w:tcW w:w="331" w:type="dxa"/>
            <w:tcBorders/>
            <w:shd w:fill="CEDBE0" w:val="clear"/>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Proceeds from disposal of investment in note receivable from unconsolidated affiliate</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Proceeds from disposal of investment in equity of unconsolidated affiliate</w:t>
            </w:r>
          </w:p>
        </w:tc>
        <w:tc>
          <w:tcPr>
            <w:tcW w:w="34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4</w:t>
            </w:r>
          </w:p>
        </w:tc>
        <w:tc>
          <w:tcPr>
            <w:tcW w:w="3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Net cash used in investing activities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(15)</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(70)</w:t>
            </w:r>
          </w:p>
        </w:tc>
        <w:tc>
          <w:tcPr>
            <w:tcW w:w="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rFonts w:ascii="Arial Narrow" w:hAnsi="Arial Narrow"/>
                <w:b/>
                <w:sz w:val="20"/>
              </w:rPr>
            </w:pPr>
            <w:r>
              <w:rPr>
                <w:rFonts w:ascii="Arial Narrow" w:hAnsi="Arial Narrow"/>
                <w:b/>
                <w:sz w:val="20"/>
              </w:rPr>
              <w:t>Cash flows from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shd w:fill="CEDBE0" w:val="cle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 xml:space="preserve">Repayments of debt </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496"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(586)</w:t>
            </w:r>
          </w:p>
        </w:tc>
        <w:tc>
          <w:tcPr>
            <w:tcW w:w="346" w:type="dxa"/>
            <w:tcBorders/>
            <w:shd w:fill="CEDBE0" w:val="clear"/>
            <w:vAlign w:val="center"/>
          </w:tcPr>
          <w:p>
            <w:pPr>
              <w:pStyle w:val="TableContents"/>
              <w:bidi w:val="0"/>
              <w:spacing w:lineRule="auto" w:line="285" w:before="0" w:after="0"/>
              <w:ind w:left="0" w:right="0" w:hanging="0"/>
              <w:jc w:val="left"/>
              <w:rPr/>
            </w:pPr>
            <w:r>
              <w:rPr/>
              <w:t>​</w:t>
            </w:r>
          </w:p>
        </w:tc>
        <w:tc>
          <w:tcPr>
            <w:tcW w:w="196" w:type="dxa"/>
            <w:tcBorders/>
            <w:shd w:fill="CEDBE0" w:val="clear"/>
            <w:vAlign w:val="center"/>
          </w:tcPr>
          <w:p>
            <w:pPr>
              <w:pStyle w:val="TableContents"/>
              <w:bidi w:val="0"/>
              <w:spacing w:lineRule="auto" w:line="285" w:before="0" w:after="0"/>
              <w:ind w:left="0" w:right="0" w:hanging="0"/>
              <w:jc w:val="left"/>
              <w:rPr/>
            </w:pPr>
            <w:r>
              <w:rPr/>
              <w:t>​</w:t>
            </w:r>
          </w:p>
        </w:tc>
        <w:tc>
          <w:tcPr>
            <w:tcW w:w="631" w:type="dxa"/>
            <w:tcBorders/>
            <w:shd w:fill="CEDBE0" w:val="cle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(240)</w:t>
            </w:r>
          </w:p>
        </w:tc>
        <w:tc>
          <w:tcPr>
            <w:tcW w:w="331" w:type="dxa"/>
            <w:tcBorders/>
            <w:shd w:fill="CEDBE0" w:val="clear"/>
            <w:vAlign w:val="center"/>
          </w:tcPr>
          <w:p>
            <w:pPr>
              <w:pStyle w:val="TableContents"/>
              <w:bidi w:val="0"/>
              <w:spacing w:lineRule="auto" w:line="285"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Other, net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(13)</w:t>
            </w:r>
          </w:p>
        </w:tc>
        <w:tc>
          <w:tcPr>
            <w:tcW w:w="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Net cash used in financing activities</w:t>
            </w:r>
          </w:p>
        </w:tc>
        <w:tc>
          <w:tcPr>
            <w:tcW w:w="34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(587)</w:t>
            </w:r>
          </w:p>
        </w:tc>
        <w:tc>
          <w:tcPr>
            <w:tcW w:w="34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(253)</w:t>
            </w:r>
          </w:p>
        </w:tc>
        <w:tc>
          <w:tcPr>
            <w:tcW w:w="3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6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49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331" w:type="dxa"/>
            <w:tcBorders/>
            <w:vAlign w:val="center"/>
          </w:tcPr>
          <w:p>
            <w:pPr>
              <w:pStyle w:val="TableContents"/>
              <w:bidi w:val="0"/>
              <w:spacing w:lineRule="auto" w:line="285" w:before="0" w:after="0"/>
              <w:ind w:left="0" w:right="0" w:hanging="0"/>
              <w:jc w:val="left"/>
              <w:rPr/>
            </w:pPr>
            <w:r>
              <w:rPr/>
              <w:t>​</w:t>
            </w:r>
          </w:p>
        </w:tc>
      </w:tr>
      <w:tr>
        <w:trPr/>
        <w:tc>
          <w:tcPr>
            <w:tcW w:w="609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Net decrease in unrestricted and restricted cash and cash equivalents</w:t>
            </w:r>
          </w:p>
        </w:tc>
        <w:tc>
          <w:tcPr>
            <w:tcW w:w="34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(202)</w:t>
            </w:r>
          </w:p>
        </w:tc>
        <w:tc>
          <w:tcPr>
            <w:tcW w:w="34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(169)</w:t>
            </w:r>
          </w:p>
        </w:tc>
        <w:tc>
          <w:tcPr>
            <w:tcW w:w="331" w:type="dxa"/>
            <w:tcBorders>
              <w:bottom w:val="single" w:sz="2"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r>
        <w:trPr/>
        <w:tc>
          <w:tcPr>
            <w:tcW w:w="60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Unrestricted and restricted cash and cash equivalents, beginning of period</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997</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941</w:t>
            </w:r>
          </w:p>
        </w:tc>
        <w:tc>
          <w:tcPr>
            <w:tcW w:w="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6091"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Unrestricted and restricted cash and cash equivalents, end of period</w:t>
            </w:r>
          </w:p>
        </w:tc>
        <w:tc>
          <w:tcPr>
            <w:tcW w:w="34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pPr>
            <w:r>
              <w:rPr/>
              <w:t> </w:t>
            </w:r>
          </w:p>
        </w:tc>
        <w:tc>
          <w:tcPr>
            <w:tcW w:w="19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49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795</w:t>
            </w:r>
          </w:p>
        </w:tc>
        <w:tc>
          <w:tcPr>
            <w:tcW w:w="34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c>
          <w:tcPr>
            <w:tcW w:w="196"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rFonts w:ascii="Arial Narrow" w:hAnsi="Arial Narrow"/>
                <w:sz w:val="20"/>
              </w:rPr>
            </w:pPr>
            <w:r>
              <w:rPr>
                <w:rFonts w:ascii="Arial Narrow" w:hAnsi="Arial Narrow"/>
                <w:sz w:val="20"/>
              </w:rPr>
              <w:t>$</w:t>
            </w:r>
          </w:p>
        </w:tc>
        <w:tc>
          <w:tcPr>
            <w:tcW w:w="631"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right"/>
              <w:rPr>
                <w:rFonts w:ascii="Arial Narrow" w:hAnsi="Arial Narrow"/>
                <w:sz w:val="20"/>
              </w:rPr>
            </w:pPr>
            <w:r>
              <w:rPr>
                <w:rFonts w:ascii="Arial Narrow" w:hAnsi="Arial Narrow"/>
                <w:sz w:val="20"/>
              </w:rPr>
              <w:t>772</w:t>
            </w:r>
          </w:p>
        </w:tc>
        <w:tc>
          <w:tcPr>
            <w:tcW w:w="331" w:type="dxa"/>
            <w:tcBorders>
              <w:bottom w:val="single" w:sz="18" w:space="0" w:color="000000"/>
            </w:tcBorders>
            <w:shd w:fill="CEDBE0" w:val="clear"/>
            <w:tcMar>
              <w:bottom w:w="28" w:type="dxa"/>
            </w:tcM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6249" w:type="dxa"/>
        <w:jc w:val="left"/>
        <w:tblInd w:w="0" w:type="dxa"/>
        <w:tblLayout w:type="fixed"/>
        <w:tblCellMar>
          <w:top w:w="0" w:type="dxa"/>
          <w:left w:w="0" w:type="dxa"/>
          <w:bottom w:w="0" w:type="dxa"/>
          <w:right w:w="0" w:type="dxa"/>
        </w:tblCellMar>
      </w:tblPr>
      <w:tblGrid>
        <w:gridCol w:w="2866"/>
        <w:gridCol w:w="346"/>
        <w:gridCol w:w="254"/>
        <w:gridCol w:w="466"/>
        <w:gridCol w:w="226"/>
        <w:gridCol w:w="219"/>
        <w:gridCol w:w="546"/>
        <w:gridCol w:w="226"/>
        <w:gridCol w:w="254"/>
        <w:gridCol w:w="466"/>
        <w:gridCol w:w="226"/>
        <w:gridCol w:w="154"/>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819910" cy="175260"/>
                      <wp:effectExtent l="0" t="0" r="0" b="0"/>
                      <wp:wrapNone/>
                      <wp:docPr id="61" name="Frame59"/>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2"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61290" cy="175260"/>
                      <wp:effectExtent l="0" t="0" r="0" b="0"/>
                      <wp:wrapNone/>
                      <wp:docPr id="63" name="Frame61"/>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95910" cy="175260"/>
                      <wp:effectExtent l="0" t="0" r="0" b="0"/>
                      <wp:wrapNone/>
                      <wp:docPr id="64" name="Frame6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3510" cy="175260"/>
                      <wp:effectExtent l="0" t="0" r="0" b="0"/>
                      <wp:wrapNone/>
                      <wp:docPr id="65" name="Frame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9065" cy="175260"/>
                      <wp:effectExtent l="0" t="0" r="0" b="0"/>
                      <wp:wrapNone/>
                      <wp:docPr id="66" name="Frame64"/>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46710" cy="175260"/>
                      <wp:effectExtent l="0" t="0" r="0" b="0"/>
                      <wp:wrapNone/>
                      <wp:docPr id="67" name="Frame65"/>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3510" cy="175260"/>
                      <wp:effectExtent l="0" t="0" r="0" b="0"/>
                      <wp:wrapNone/>
                      <wp:docPr id="68" name="Frame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1290" cy="175260"/>
                      <wp:effectExtent l="0" t="0" r="0" b="0"/>
                      <wp:wrapNone/>
                      <wp:docPr id="69" name="Frame67"/>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95910" cy="175260"/>
                      <wp:effectExtent l="0" t="0" r="0" b="0"/>
                      <wp:wrapNone/>
                      <wp:docPr id="70" name="Frame6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43510" cy="175260"/>
                      <wp:effectExtent l="0" t="0" r="0" b="0"/>
                      <wp:wrapNone/>
                      <wp:docPr id="71" name="Frame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97790" cy="175260"/>
                      <wp:effectExtent l="0" t="0" r="0" b="0"/>
                      <wp:wrapNone/>
                      <wp:docPr id="72" name="Frame7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249" w:type="dxa"/>
            <w:gridSpan w:val="12"/>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TRANSOCEAN LTD. AND SUBSIDIARIES</w:t>
            </w:r>
          </w:p>
        </w:tc>
      </w:tr>
      <w:tr>
        <w:trPr/>
        <w:tc>
          <w:tcPr>
            <w:tcW w:w="6249" w:type="dxa"/>
            <w:gridSpan w:val="12"/>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FLEET OPERATING STATISTICS</w:t>
            </w:r>
          </w:p>
        </w:tc>
      </w:tr>
      <w:tr>
        <w:trPr/>
        <w:tc>
          <w:tcPr>
            <w:tcW w:w="28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54" w:type="dxa"/>
            <w:tcBorders/>
            <w:vAlign w:val="center"/>
          </w:tcPr>
          <w:p>
            <w:pPr>
              <w:pStyle w:val="TableContents"/>
              <w:bidi w:val="0"/>
              <w:spacing w:lineRule="auto" w:line="285" w:before="0" w:after="0"/>
              <w:ind w:left="0" w:right="0" w:hanging="0"/>
              <w:jc w:val="center"/>
              <w:rPr/>
            </w:pPr>
            <w:r>
              <w:rPr/>
              <w:t>​</w:t>
            </w:r>
          </w:p>
        </w:tc>
        <w:tc>
          <w:tcPr>
            <w:tcW w:w="46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219" w:type="dxa"/>
            <w:tcBorders/>
            <w:vAlign w:val="center"/>
          </w:tcPr>
          <w:p>
            <w:pPr>
              <w:pStyle w:val="TableContents"/>
              <w:bidi w:val="0"/>
              <w:spacing w:lineRule="auto" w:line="285" w:before="0" w:after="0"/>
              <w:ind w:left="0" w:right="0" w:hanging="0"/>
              <w:jc w:val="center"/>
              <w:rPr/>
            </w:pPr>
            <w:r>
              <w:rPr/>
              <w:t>​</w:t>
            </w:r>
          </w:p>
        </w:tc>
        <w:tc>
          <w:tcPr>
            <w:tcW w:w="54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254" w:type="dxa"/>
            <w:tcBorders/>
            <w:vAlign w:val="center"/>
          </w:tcPr>
          <w:p>
            <w:pPr>
              <w:pStyle w:val="TableContents"/>
              <w:bidi w:val="0"/>
              <w:spacing w:lineRule="auto" w:line="285" w:before="0" w:after="0"/>
              <w:ind w:left="0" w:right="0" w:hanging="0"/>
              <w:jc w:val="center"/>
              <w:rPr/>
            </w:pPr>
            <w:r>
              <w:rPr/>
              <w:t>​</w:t>
            </w:r>
          </w:p>
        </w:tc>
        <w:tc>
          <w:tcPr>
            <w:tcW w:w="46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8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54"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19" w:type="dxa"/>
            <w:tcBorders/>
            <w:vAlign w:val="center"/>
          </w:tcPr>
          <w:p>
            <w:pPr>
              <w:pStyle w:val="TableContents"/>
              <w:bidi w:val="0"/>
              <w:spacing w:lineRule="auto" w:line="285" w:before="0" w:after="0"/>
              <w:ind w:left="0" w:right="0" w:hanging="0"/>
              <w:jc w:val="left"/>
              <w:rPr/>
            </w:pPr>
            <w:r>
              <w:rPr/>
              <w:t>​</w:t>
            </w:r>
          </w:p>
        </w:tc>
        <w:tc>
          <w:tcPr>
            <w:tcW w:w="5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8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657"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 xml:space="preserve">Three months ended </w:t>
            </w:r>
          </w:p>
        </w:tc>
        <w:tc>
          <w:tcPr>
            <w:tcW w:w="2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8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720"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226" w:type="dxa"/>
            <w:tcBorders/>
            <w:vAlign w:val="center"/>
          </w:tcPr>
          <w:p>
            <w:pPr>
              <w:pStyle w:val="TableContents"/>
              <w:bidi w:val="0"/>
              <w:spacing w:lineRule="auto" w:line="285" w:before="0" w:after="0"/>
              <w:ind w:left="0" w:right="0" w:hanging="0"/>
              <w:jc w:val="center"/>
              <w:rPr/>
            </w:pPr>
            <w:r>
              <w:rPr/>
              <w:t>​</w:t>
            </w:r>
          </w:p>
        </w:tc>
        <w:tc>
          <w:tcPr>
            <w:tcW w:w="765"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March 31,</w:t>
            </w:r>
          </w:p>
        </w:tc>
        <w:tc>
          <w:tcPr>
            <w:tcW w:w="226" w:type="dxa"/>
            <w:tcBorders/>
            <w:vAlign w:val="center"/>
          </w:tcPr>
          <w:p>
            <w:pPr>
              <w:pStyle w:val="TableContents"/>
              <w:bidi w:val="0"/>
              <w:spacing w:lineRule="auto" w:line="285" w:before="0" w:after="0"/>
              <w:ind w:left="0" w:right="0" w:hanging="0"/>
              <w:jc w:val="center"/>
              <w:rPr/>
            </w:pPr>
            <w:r>
              <w:rPr/>
              <w:t>​</w:t>
            </w:r>
          </w:p>
        </w:tc>
        <w:tc>
          <w:tcPr>
            <w:tcW w:w="720"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226"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86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Contract Drilling Revenues (in millions)</w:t>
            </w:r>
          </w:p>
        </w:tc>
        <w:tc>
          <w:tcPr>
            <w:tcW w:w="346" w:type="dxa"/>
            <w:tcBorders/>
            <w:vAlign w:val="center"/>
          </w:tcPr>
          <w:p>
            <w:pPr>
              <w:pStyle w:val="TableContents"/>
              <w:bidi w:val="0"/>
              <w:spacing w:lineRule="auto" w:line="285" w:before="0" w:after="0"/>
              <w:ind w:left="0" w:right="0" w:hanging="0"/>
              <w:jc w:val="center"/>
              <w:rPr/>
            </w:pPr>
            <w:r>
              <w:rPr/>
              <w:t>  ​ ​ ​</w:t>
            </w:r>
          </w:p>
        </w:tc>
        <w:tc>
          <w:tcPr>
            <w:tcW w:w="72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226" w:type="dxa"/>
            <w:tcBorders/>
            <w:vAlign w:val="center"/>
          </w:tcPr>
          <w:p>
            <w:pPr>
              <w:pStyle w:val="TableContents"/>
              <w:bidi w:val="0"/>
              <w:spacing w:lineRule="auto" w:line="285" w:before="0" w:after="0"/>
              <w:ind w:left="0" w:right="0" w:hanging="0"/>
              <w:jc w:val="center"/>
              <w:rPr/>
            </w:pPr>
            <w:r>
              <w:rPr/>
              <w:t>  ​</w:t>
            </w:r>
          </w:p>
        </w:tc>
        <w:tc>
          <w:tcPr>
            <w:tcW w:w="76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226" w:type="dxa"/>
            <w:tcBorders/>
            <w:vAlign w:val="center"/>
          </w:tcPr>
          <w:p>
            <w:pPr>
              <w:pStyle w:val="TableContents"/>
              <w:bidi w:val="0"/>
              <w:spacing w:lineRule="auto" w:line="285" w:before="0" w:after="0"/>
              <w:ind w:left="0" w:right="0" w:hanging="0"/>
              <w:jc w:val="center"/>
              <w:rPr/>
            </w:pPr>
            <w:r>
              <w:rPr/>
              <w:t>  ​</w:t>
            </w:r>
          </w:p>
        </w:tc>
        <w:tc>
          <w:tcPr>
            <w:tcW w:w="72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2025</w:t>
            </w:r>
          </w:p>
        </w:tc>
        <w:tc>
          <w:tcPr>
            <w:tcW w:w="226"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86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Ultra-deepwater floaters</w:t>
            </w:r>
          </w:p>
        </w:tc>
        <w:tc>
          <w:tcPr>
            <w:tcW w:w="346" w:type="dxa"/>
            <w:tcBorders/>
            <w:vAlign w:val="center"/>
          </w:tcPr>
          <w:p>
            <w:pPr>
              <w:pStyle w:val="TableContents"/>
              <w:bidi w:val="0"/>
              <w:spacing w:lineRule="auto" w:line="285" w:before="0" w:after="0"/>
              <w:ind w:left="0" w:right="0" w:hanging="0"/>
              <w:jc w:val="right"/>
              <w:rPr/>
            </w:pPr>
            <w:r>
              <w:rPr/>
              <w:t>​</w:t>
            </w:r>
          </w:p>
        </w:tc>
        <w:tc>
          <w:tcPr>
            <w:tcW w:w="254"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623</w:t>
            </w:r>
          </w:p>
        </w:tc>
        <w:tc>
          <w:tcPr>
            <w:tcW w:w="226" w:type="dxa"/>
            <w:tcBorders/>
            <w:vAlign w:val="center"/>
          </w:tcPr>
          <w:p>
            <w:pPr>
              <w:pStyle w:val="TableContents"/>
              <w:bidi w:val="0"/>
              <w:spacing w:lineRule="auto" w:line="285" w:before="0" w:after="0"/>
              <w:ind w:left="0" w:right="0" w:hanging="0"/>
              <w:jc w:val="right"/>
              <w:rPr/>
            </w:pPr>
            <w:r>
              <w:rPr/>
              <w:t>​</w:t>
            </w:r>
          </w:p>
        </w:tc>
        <w:tc>
          <w:tcPr>
            <w:tcW w:w="21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748</w:t>
            </w:r>
          </w:p>
        </w:tc>
        <w:tc>
          <w:tcPr>
            <w:tcW w:w="226" w:type="dxa"/>
            <w:tcBorders/>
            <w:vAlign w:val="center"/>
          </w:tcPr>
          <w:p>
            <w:pPr>
              <w:pStyle w:val="TableContents"/>
              <w:bidi w:val="0"/>
              <w:spacing w:lineRule="auto" w:line="285" w:before="0" w:after="0"/>
              <w:ind w:left="0" w:right="0" w:hanging="0"/>
              <w:jc w:val="right"/>
              <w:rPr/>
            </w:pPr>
            <w:r>
              <w:rPr/>
              <w:t>​</w:t>
            </w:r>
          </w:p>
        </w:tc>
        <w:tc>
          <w:tcPr>
            <w:tcW w:w="254"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699</w:t>
            </w:r>
          </w:p>
        </w:tc>
        <w:tc>
          <w:tcPr>
            <w:tcW w:w="226"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86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Harsh environment floaters</w:t>
            </w:r>
          </w:p>
        </w:tc>
        <w:tc>
          <w:tcPr>
            <w:tcW w:w="346" w:type="dxa"/>
            <w:tcBorders/>
            <w:vAlign w:val="center"/>
          </w:tcPr>
          <w:p>
            <w:pPr>
              <w:pStyle w:val="TableContents"/>
              <w:bidi w:val="0"/>
              <w:spacing w:lineRule="auto" w:line="285" w:before="0" w:after="0"/>
              <w:ind w:left="0" w:right="0" w:hanging="0"/>
              <w:jc w:val="right"/>
              <w:rPr/>
            </w:pPr>
            <w:r>
              <w:rPr/>
              <w:t>​</w:t>
            </w:r>
          </w:p>
        </w:tc>
        <w:tc>
          <w:tcPr>
            <w:tcW w:w="2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343</w:t>
            </w:r>
          </w:p>
        </w:tc>
        <w:tc>
          <w:tcPr>
            <w:tcW w:w="226" w:type="dxa"/>
            <w:tcBorders/>
            <w:vAlign w:val="center"/>
          </w:tcPr>
          <w:p>
            <w:pPr>
              <w:pStyle w:val="TableContents"/>
              <w:bidi w:val="0"/>
              <w:spacing w:lineRule="auto" w:line="285" w:before="0" w:after="0"/>
              <w:ind w:left="0" w:right="0" w:hanging="0"/>
              <w:jc w:val="right"/>
              <w:rPr/>
            </w:pPr>
            <w:r>
              <w:rPr/>
              <w:t>​</w:t>
            </w:r>
          </w:p>
        </w:tc>
        <w:tc>
          <w:tcPr>
            <w:tcW w:w="21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333</w:t>
            </w:r>
          </w:p>
        </w:tc>
        <w:tc>
          <w:tcPr>
            <w:tcW w:w="226" w:type="dxa"/>
            <w:tcBorders/>
            <w:vAlign w:val="center"/>
          </w:tcPr>
          <w:p>
            <w:pPr>
              <w:pStyle w:val="TableContents"/>
              <w:bidi w:val="0"/>
              <w:spacing w:lineRule="auto" w:line="285" w:before="0" w:after="0"/>
              <w:ind w:left="0" w:right="0" w:hanging="0"/>
              <w:jc w:val="right"/>
              <w:rPr/>
            </w:pPr>
            <w:r>
              <w:rPr/>
              <w:t>​</w:t>
            </w:r>
          </w:p>
        </w:tc>
        <w:tc>
          <w:tcPr>
            <w:tcW w:w="25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289</w:t>
            </w:r>
          </w:p>
        </w:tc>
        <w:tc>
          <w:tcPr>
            <w:tcW w:w="226"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86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Total contract drilling revenues</w:t>
            </w:r>
          </w:p>
        </w:tc>
        <w:tc>
          <w:tcPr>
            <w:tcW w:w="346" w:type="dxa"/>
            <w:tcBorders/>
            <w:vAlign w:val="center"/>
          </w:tcPr>
          <w:p>
            <w:pPr>
              <w:pStyle w:val="TableContents"/>
              <w:bidi w:val="0"/>
              <w:spacing w:lineRule="auto" w:line="285" w:before="0" w:after="0"/>
              <w:ind w:left="0" w:right="0" w:hanging="0"/>
              <w:jc w:val="right"/>
              <w:rPr/>
            </w:pPr>
            <w:r>
              <w:rPr/>
              <w:t>​</w:t>
            </w:r>
          </w:p>
        </w:tc>
        <w:tc>
          <w:tcPr>
            <w:tcW w:w="254"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966</w:t>
            </w:r>
          </w:p>
        </w:tc>
        <w:tc>
          <w:tcPr>
            <w:tcW w:w="226" w:type="dxa"/>
            <w:tcBorders/>
            <w:vAlign w:val="center"/>
          </w:tcPr>
          <w:p>
            <w:pPr>
              <w:pStyle w:val="TableContents"/>
              <w:bidi w:val="0"/>
              <w:spacing w:lineRule="auto" w:line="285" w:before="0" w:after="0"/>
              <w:ind w:left="0" w:right="0" w:hanging="0"/>
              <w:jc w:val="right"/>
              <w:rPr/>
            </w:pPr>
            <w:r>
              <w:rPr/>
              <w:t>​</w:t>
            </w:r>
          </w:p>
        </w:tc>
        <w:tc>
          <w:tcPr>
            <w:tcW w:w="219"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1,081</w:t>
            </w:r>
          </w:p>
        </w:tc>
        <w:tc>
          <w:tcPr>
            <w:tcW w:w="226" w:type="dxa"/>
            <w:tcBorders/>
            <w:vAlign w:val="center"/>
          </w:tcPr>
          <w:p>
            <w:pPr>
              <w:pStyle w:val="TableContents"/>
              <w:bidi w:val="0"/>
              <w:spacing w:lineRule="auto" w:line="285" w:before="0" w:after="0"/>
              <w:ind w:left="0" w:right="0" w:hanging="0"/>
              <w:jc w:val="right"/>
              <w:rPr/>
            </w:pPr>
            <w:r>
              <w:rPr/>
              <w:t>​</w:t>
            </w:r>
          </w:p>
        </w:tc>
        <w:tc>
          <w:tcPr>
            <w:tcW w:w="254"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988</w:t>
            </w:r>
          </w:p>
        </w:tc>
        <w:tc>
          <w:tcPr>
            <w:tcW w:w="226"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tbl>
      <w:tblPr>
        <w:tblW w:w="5685" w:type="dxa"/>
        <w:jc w:val="left"/>
        <w:tblInd w:w="0" w:type="dxa"/>
        <w:tblLayout w:type="fixed"/>
        <w:tblCellMar>
          <w:top w:w="0" w:type="dxa"/>
          <w:left w:w="0" w:type="dxa"/>
          <w:bottom w:w="0" w:type="dxa"/>
          <w:right w:w="0" w:type="dxa"/>
        </w:tblCellMar>
      </w:tblPr>
      <w:tblGrid>
        <w:gridCol w:w="2161"/>
        <w:gridCol w:w="346"/>
        <w:gridCol w:w="181"/>
        <w:gridCol w:w="601"/>
        <w:gridCol w:w="226"/>
        <w:gridCol w:w="181"/>
        <w:gridCol w:w="601"/>
        <w:gridCol w:w="226"/>
        <w:gridCol w:w="181"/>
        <w:gridCol w:w="601"/>
        <w:gridCol w:w="226"/>
        <w:gridCol w:w="154"/>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72235" cy="175260"/>
                      <wp:effectExtent l="0" t="0" r="0" b="0"/>
                      <wp:wrapNone/>
                      <wp:docPr id="73" name="Frame71"/>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74"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14935" cy="175260"/>
                      <wp:effectExtent l="0" t="0" r="0" b="0"/>
                      <wp:wrapNone/>
                      <wp:docPr id="75" name="Frame7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81635" cy="175260"/>
                      <wp:effectExtent l="0" t="0" r="0" b="0"/>
                      <wp:wrapNone/>
                      <wp:docPr id="76" name="Frame7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3510" cy="175260"/>
                      <wp:effectExtent l="0" t="0" r="0" b="0"/>
                      <wp:wrapNone/>
                      <wp:docPr id="77" name="Frame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14935" cy="175260"/>
                      <wp:effectExtent l="0" t="0" r="0" b="0"/>
                      <wp:wrapNone/>
                      <wp:docPr id="78" name="Frame7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81635" cy="175260"/>
                      <wp:effectExtent l="0" t="0" r="0" b="0"/>
                      <wp:wrapNone/>
                      <wp:docPr id="79" name="Frame7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3510" cy="175260"/>
                      <wp:effectExtent l="0" t="0" r="0" b="0"/>
                      <wp:wrapNone/>
                      <wp:docPr id="80" name="Frame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14935" cy="175260"/>
                      <wp:effectExtent l="0" t="0" r="0" b="0"/>
                      <wp:wrapNone/>
                      <wp:docPr id="81" name="Frame7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81635" cy="175260"/>
                      <wp:effectExtent l="0" t="0" r="0" b="0"/>
                      <wp:wrapNone/>
                      <wp:docPr id="82" name="Frame8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43510" cy="175260"/>
                      <wp:effectExtent l="0" t="0" r="0" b="0"/>
                      <wp:wrapNone/>
                      <wp:docPr id="83" name="Frame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7790" cy="175260"/>
                      <wp:effectExtent l="0" t="0" r="0" b="0"/>
                      <wp:wrapNone/>
                      <wp:docPr id="84" name="Frame8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798"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 xml:space="preserve">Three months ended </w:t>
            </w:r>
          </w:p>
        </w:tc>
        <w:tc>
          <w:tcPr>
            <w:tcW w:w="2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78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226" w:type="dxa"/>
            <w:tcBorders/>
            <w:vAlign w:val="center"/>
          </w:tcPr>
          <w:p>
            <w:pPr>
              <w:pStyle w:val="TableContents"/>
              <w:bidi w:val="0"/>
              <w:spacing w:lineRule="auto" w:line="285" w:before="0" w:after="0"/>
              <w:ind w:left="0" w:right="0" w:hanging="0"/>
              <w:jc w:val="center"/>
              <w:rPr/>
            </w:pPr>
            <w:r>
              <w:rPr/>
              <w:t>​</w:t>
            </w:r>
          </w:p>
        </w:tc>
        <w:tc>
          <w:tcPr>
            <w:tcW w:w="78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March 31,</w:t>
            </w:r>
          </w:p>
        </w:tc>
        <w:tc>
          <w:tcPr>
            <w:tcW w:w="226" w:type="dxa"/>
            <w:tcBorders/>
            <w:vAlign w:val="center"/>
          </w:tcPr>
          <w:p>
            <w:pPr>
              <w:pStyle w:val="TableContents"/>
              <w:bidi w:val="0"/>
              <w:spacing w:lineRule="auto" w:line="285" w:before="0" w:after="0"/>
              <w:ind w:left="0" w:right="0" w:hanging="0"/>
              <w:jc w:val="center"/>
              <w:rPr/>
            </w:pPr>
            <w:r>
              <w:rPr/>
              <w:t>​</w:t>
            </w:r>
          </w:p>
        </w:tc>
        <w:tc>
          <w:tcPr>
            <w:tcW w:w="78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226"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b/>
                <w:sz w:val="18"/>
              </w:rPr>
              <w:t xml:space="preserve">Average Daily Revenue </w:t>
            </w:r>
            <w:r>
              <w:rPr>
                <w:rFonts w:ascii="Arial Narrow" w:hAnsi="Arial Narrow"/>
                <w:b/>
                <w:sz w:val="14"/>
              </w:rPr>
              <w:t>(1)</w:t>
            </w:r>
          </w:p>
        </w:tc>
        <w:tc>
          <w:tcPr>
            <w:tcW w:w="346" w:type="dxa"/>
            <w:tcBorders/>
            <w:vAlign w:val="center"/>
          </w:tcPr>
          <w:p>
            <w:pPr>
              <w:pStyle w:val="TableContents"/>
              <w:bidi w:val="0"/>
              <w:spacing w:lineRule="auto" w:line="285"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226" w:type="dxa"/>
            <w:tcBorders/>
            <w:vAlign w:val="center"/>
          </w:tcPr>
          <w:p>
            <w:pPr>
              <w:pStyle w:val="TableContents"/>
              <w:bidi w:val="0"/>
              <w:spacing w:lineRule="auto" w:line="285"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226" w:type="dxa"/>
            <w:tcBorders/>
            <w:vAlign w:val="center"/>
          </w:tcPr>
          <w:p>
            <w:pPr>
              <w:pStyle w:val="TableContents"/>
              <w:bidi w:val="0"/>
              <w:spacing w:lineRule="auto" w:line="285"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2025</w:t>
            </w:r>
          </w:p>
        </w:tc>
        <w:tc>
          <w:tcPr>
            <w:tcW w:w="226" w:type="dxa"/>
            <w:tcBorders/>
            <w:vAlign w:val="center"/>
          </w:tcPr>
          <w:p>
            <w:pPr>
              <w:pStyle w:val="TableContents"/>
              <w:bidi w:val="0"/>
              <w:spacing w:lineRule="auto" w:line="285" w:before="0" w:after="0"/>
              <w:ind w:left="0" w:right="0" w:hanging="0"/>
              <w:jc w:val="center"/>
              <w:rPr/>
            </w:pPr>
            <w:r>
              <w:rPr/>
              <w:t>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16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Ultra-deepwater floaters</w:t>
            </w:r>
          </w:p>
        </w:tc>
        <w:tc>
          <w:tcPr>
            <w:tcW w:w="34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455,500</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480,700</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0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457,200</w:t>
            </w:r>
          </w:p>
        </w:tc>
        <w:tc>
          <w:tcPr>
            <w:tcW w:w="226"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16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Harsh environment floaters</w:t>
            </w:r>
          </w:p>
        </w:tc>
        <w:tc>
          <w:tcPr>
            <w:tcW w:w="34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510,000</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463,800</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462,400</w:t>
            </w:r>
          </w:p>
        </w:tc>
        <w:tc>
          <w:tcPr>
            <w:tcW w:w="226"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216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Total fleet average daily revenue</w:t>
            </w:r>
          </w:p>
        </w:tc>
        <w:tc>
          <w:tcPr>
            <w:tcW w:w="34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0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472,500</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0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475,600</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0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458,600</w:t>
            </w:r>
          </w:p>
        </w:tc>
        <w:tc>
          <w:tcPr>
            <w:tcW w:w="226"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tbl>
      <w:tblPr>
        <w:tblW w:w="5739" w:type="dxa"/>
        <w:jc w:val="left"/>
        <w:tblInd w:w="0" w:type="dxa"/>
        <w:tblLayout w:type="fixed"/>
        <w:tblCellMar>
          <w:top w:w="0" w:type="dxa"/>
          <w:left w:w="0" w:type="dxa"/>
          <w:bottom w:w="0" w:type="dxa"/>
          <w:right w:w="0" w:type="dxa"/>
        </w:tblCellMar>
      </w:tblPr>
      <w:tblGrid>
        <w:gridCol w:w="2476"/>
        <w:gridCol w:w="226"/>
        <w:gridCol w:w="226"/>
        <w:gridCol w:w="438"/>
        <w:gridCol w:w="282"/>
        <w:gridCol w:w="226"/>
        <w:gridCol w:w="466"/>
        <w:gridCol w:w="299"/>
        <w:gridCol w:w="226"/>
        <w:gridCol w:w="438"/>
        <w:gridCol w:w="282"/>
        <w:gridCol w:w="154"/>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572260" cy="175260"/>
                      <wp:effectExtent l="0" t="0" r="0" b="0"/>
                      <wp:wrapNone/>
                      <wp:docPr id="85" name="Frame83"/>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3510" cy="175260"/>
                      <wp:effectExtent l="0" t="0" r="0" b="0"/>
                      <wp:wrapNone/>
                      <wp:docPr id="86" name="Frame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3510" cy="175260"/>
                      <wp:effectExtent l="0" t="0" r="0" b="0"/>
                      <wp:wrapNone/>
                      <wp:docPr id="87" name="Frame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78130" cy="175260"/>
                      <wp:effectExtent l="0" t="0" r="0" b="0"/>
                      <wp:wrapNone/>
                      <wp:docPr id="88" name="Frame86"/>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9070" cy="175260"/>
                      <wp:effectExtent l="0" t="0" r="0" b="0"/>
                      <wp:wrapNone/>
                      <wp:docPr id="89" name="Frame87"/>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43510" cy="175260"/>
                      <wp:effectExtent l="0" t="0" r="0" b="0"/>
                      <wp:wrapNone/>
                      <wp:docPr id="90" name="Frame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95910" cy="175260"/>
                      <wp:effectExtent l="0" t="0" r="0" b="0"/>
                      <wp:wrapNone/>
                      <wp:docPr id="91" name="Frame8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89865" cy="175260"/>
                      <wp:effectExtent l="0" t="0" r="0" b="0"/>
                      <wp:wrapNone/>
                      <wp:docPr id="92" name="Frame9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43510" cy="175260"/>
                      <wp:effectExtent l="0" t="0" r="0" b="0"/>
                      <wp:wrapNone/>
                      <wp:docPr id="93" name="Frame9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78130" cy="175260"/>
                      <wp:effectExtent l="0" t="0" r="0" b="0"/>
                      <wp:wrapNone/>
                      <wp:docPr id="94" name="Frame92"/>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79070" cy="175260"/>
                      <wp:effectExtent l="0" t="0" r="0" b="0"/>
                      <wp:wrapNone/>
                      <wp:docPr id="95" name="Frame93"/>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97790" cy="175260"/>
                      <wp:effectExtent l="0" t="0" r="0" b="0"/>
                      <wp:wrapNone/>
                      <wp:docPr id="96" name="Frame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38"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99"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38"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7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657"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 xml:space="preserve">Three months ended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47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720"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226" w:type="dxa"/>
            <w:tcBorders/>
            <w:vAlign w:val="center"/>
          </w:tcPr>
          <w:p>
            <w:pPr>
              <w:pStyle w:val="TableContents"/>
              <w:bidi w:val="0"/>
              <w:spacing w:lineRule="auto" w:line="285" w:before="0" w:after="0"/>
              <w:ind w:left="0" w:right="0" w:hanging="0"/>
              <w:jc w:val="left"/>
              <w:rPr/>
            </w:pPr>
            <w:r>
              <w:rPr/>
              <w:t>​</w:t>
            </w:r>
          </w:p>
        </w:tc>
        <w:tc>
          <w:tcPr>
            <w:tcW w:w="765"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March 31,</w:t>
            </w:r>
          </w:p>
        </w:tc>
        <w:tc>
          <w:tcPr>
            <w:tcW w:w="226" w:type="dxa"/>
            <w:tcBorders/>
            <w:vAlign w:val="center"/>
          </w:tcPr>
          <w:p>
            <w:pPr>
              <w:pStyle w:val="TableContents"/>
              <w:bidi w:val="0"/>
              <w:spacing w:lineRule="auto" w:line="285" w:before="0" w:after="0"/>
              <w:ind w:left="0" w:right="0" w:hanging="0"/>
              <w:jc w:val="left"/>
              <w:rPr/>
            </w:pPr>
            <w:r>
              <w:rPr/>
              <w:t>​</w:t>
            </w:r>
          </w:p>
        </w:tc>
        <w:tc>
          <w:tcPr>
            <w:tcW w:w="720"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476"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b/>
                <w:sz w:val="18"/>
              </w:rPr>
              <w:t xml:space="preserve">Revenue Efficiency </w:t>
            </w:r>
            <w:r>
              <w:rPr>
                <w:rFonts w:ascii="Arial Narrow" w:hAnsi="Arial Narrow"/>
                <w:b/>
                <w:sz w:val="14"/>
              </w:rPr>
              <w:t>(2)</w:t>
            </w:r>
          </w:p>
        </w:tc>
        <w:tc>
          <w:tcPr>
            <w:tcW w:w="226" w:type="dxa"/>
            <w:tcBorders/>
            <w:vAlign w:val="center"/>
          </w:tcPr>
          <w:p>
            <w:pPr>
              <w:pStyle w:val="TableContents"/>
              <w:bidi w:val="0"/>
              <w:spacing w:lineRule="auto" w:line="285" w:before="0" w:after="0"/>
              <w:ind w:left="0" w:right="0" w:hanging="0"/>
              <w:jc w:val="left"/>
              <w:rPr/>
            </w:pPr>
            <w:r>
              <w:rPr/>
              <w:t>  ​</w:t>
            </w:r>
          </w:p>
        </w:tc>
        <w:tc>
          <w:tcPr>
            <w:tcW w:w="226" w:type="dxa"/>
            <w:tcBorders/>
            <w:vAlign w:val="center"/>
          </w:tcPr>
          <w:p>
            <w:pPr>
              <w:pStyle w:val="TableContents"/>
              <w:bidi w:val="0"/>
              <w:spacing w:lineRule="auto" w:line="285" w:before="0" w:after="0"/>
              <w:ind w:left="0" w:right="0" w:hanging="0"/>
              <w:jc w:val="left"/>
              <w:rPr/>
            </w:pPr>
            <w:r>
              <w:rPr/>
              <w:t>  ​</w:t>
            </w:r>
          </w:p>
        </w:tc>
        <w:tc>
          <w:tcPr>
            <w:tcW w:w="72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226" w:type="dxa"/>
            <w:tcBorders/>
            <w:vAlign w:val="center"/>
          </w:tcPr>
          <w:p>
            <w:pPr>
              <w:pStyle w:val="TableContents"/>
              <w:bidi w:val="0"/>
              <w:spacing w:lineRule="auto" w:line="285" w:before="0" w:after="0"/>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226" w:type="dxa"/>
            <w:tcBorders/>
            <w:vAlign w:val="center"/>
          </w:tcPr>
          <w:p>
            <w:pPr>
              <w:pStyle w:val="TableContents"/>
              <w:bidi w:val="0"/>
              <w:spacing w:lineRule="auto" w:line="285" w:before="0" w:after="0"/>
              <w:ind w:left="0" w:right="0" w:hanging="0"/>
              <w:jc w:val="left"/>
              <w:rPr/>
            </w:pPr>
            <w:r>
              <w:rPr/>
              <w:t>  ​</w:t>
            </w:r>
          </w:p>
        </w:tc>
        <w:tc>
          <w:tcPr>
            <w:tcW w:w="72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2025</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47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Ultra-deepwater floaters</w:t>
            </w:r>
          </w:p>
        </w:tc>
        <w:tc>
          <w:tcPr>
            <w:tcW w:w="2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38"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95.7</w:t>
            </w:r>
          </w:p>
        </w:tc>
        <w:tc>
          <w:tcPr>
            <w:tcW w:w="282"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226"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97.6</w:t>
            </w:r>
          </w:p>
        </w:tc>
        <w:tc>
          <w:tcPr>
            <w:tcW w:w="29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226" w:type="dxa"/>
            <w:tcBorders/>
            <w:vAlign w:val="center"/>
          </w:tcPr>
          <w:p>
            <w:pPr>
              <w:pStyle w:val="TableContents"/>
              <w:bidi w:val="0"/>
              <w:spacing w:lineRule="auto" w:line="285" w:before="0" w:after="0"/>
              <w:ind w:left="0" w:right="0" w:hanging="0"/>
              <w:jc w:val="left"/>
              <w:rPr/>
            </w:pPr>
            <w:r>
              <w:rPr/>
              <w:t>​</w:t>
            </w:r>
          </w:p>
        </w:tc>
        <w:tc>
          <w:tcPr>
            <w:tcW w:w="438"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96.7</w:t>
            </w:r>
          </w:p>
        </w:tc>
        <w:tc>
          <w:tcPr>
            <w:tcW w:w="282"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7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Harsh environment floaters</w:t>
            </w:r>
          </w:p>
        </w:tc>
        <w:tc>
          <w:tcPr>
            <w:tcW w:w="2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99.5</w:t>
            </w:r>
          </w:p>
        </w:tc>
        <w:tc>
          <w:tcPr>
            <w:tcW w:w="2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226" w:type="dxa"/>
            <w:tcBorders/>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96.7</w:t>
            </w:r>
          </w:p>
        </w:tc>
        <w:tc>
          <w:tcPr>
            <w:tcW w:w="29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226" w:type="dxa"/>
            <w:tcBorders/>
            <w:vAlign w:val="center"/>
          </w:tcPr>
          <w:p>
            <w:pPr>
              <w:pStyle w:val="TableContents"/>
              <w:bidi w:val="0"/>
              <w:spacing w:lineRule="auto" w:line="285" w:before="0" w:after="0"/>
              <w:ind w:left="0" w:right="0" w:hanging="0"/>
              <w:jc w:val="left"/>
              <w:rPr/>
            </w:pPr>
            <w:r>
              <w:rPr/>
              <w:t>​</w:t>
            </w:r>
          </w:p>
        </w:tc>
        <w:tc>
          <w:tcPr>
            <w:tcW w:w="4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96.3</w:t>
            </w:r>
          </w:p>
        </w:tc>
        <w:tc>
          <w:tcPr>
            <w:tcW w:w="2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47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Total fleet average revenue efficiency</w:t>
            </w:r>
          </w:p>
        </w:tc>
        <w:tc>
          <w:tcPr>
            <w:tcW w:w="2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38"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97.0</w:t>
            </w:r>
          </w:p>
        </w:tc>
        <w:tc>
          <w:tcPr>
            <w:tcW w:w="282"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226" w:type="dxa"/>
            <w:tcBorders/>
            <w:vAlign w:val="center"/>
          </w:tcPr>
          <w:p>
            <w:pPr>
              <w:pStyle w:val="TableContents"/>
              <w:bidi w:val="0"/>
              <w:spacing w:lineRule="auto" w:line="285" w:before="0" w:after="0"/>
              <w:ind w:left="0" w:right="0" w:hanging="0"/>
              <w:jc w:val="left"/>
              <w:rPr/>
            </w:pPr>
            <w:r>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97.3</w:t>
            </w:r>
          </w:p>
        </w:tc>
        <w:tc>
          <w:tcPr>
            <w:tcW w:w="299"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226" w:type="dxa"/>
            <w:tcBorders/>
            <w:vAlign w:val="center"/>
          </w:tcPr>
          <w:p>
            <w:pPr>
              <w:pStyle w:val="TableContents"/>
              <w:bidi w:val="0"/>
              <w:spacing w:lineRule="auto" w:line="285" w:before="0" w:after="0"/>
              <w:ind w:left="0" w:right="0" w:hanging="0"/>
              <w:jc w:val="left"/>
              <w:rPr/>
            </w:pPr>
            <w:r>
              <w:rPr/>
              <w:t>​</w:t>
            </w:r>
          </w:p>
        </w:tc>
        <w:tc>
          <w:tcPr>
            <w:tcW w:w="438"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96.6</w:t>
            </w:r>
          </w:p>
        </w:tc>
        <w:tc>
          <w:tcPr>
            <w:tcW w:w="282"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22"/>
        <w:gridCol w:w="469"/>
        <w:gridCol w:w="469"/>
        <w:gridCol w:w="868"/>
        <w:gridCol w:w="558"/>
        <w:gridCol w:w="469"/>
        <w:gridCol w:w="999"/>
        <w:gridCol w:w="533"/>
        <w:gridCol w:w="469"/>
        <w:gridCol w:w="868"/>
        <w:gridCol w:w="558"/>
        <w:gridCol w:w="323"/>
      </w:tblGrid>
      <w:tr>
        <w:trPr/>
        <w:tc>
          <w:tcPr>
            <w:tcW w:w="3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299970" cy="175260"/>
                      <wp:effectExtent l="0" t="0" r="0" b="0"/>
                      <wp:wrapNone/>
                      <wp:docPr id="97" name="Frame95"/>
                      <a:graphic xmlns:a="http://schemas.openxmlformats.org/drawingml/2006/main">
                        <a:graphicData uri="http://schemas.microsoft.com/office/word/2010/wordprocessingShape">
                          <wps:wsp>
                            <wps:cNvSpPr txBox="1"/>
                            <wps:spPr>
                              <a:xfrm>
                                <a:off x="0" y="0"/>
                                <a:ext cx="2299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97815" cy="175260"/>
                      <wp:effectExtent l="0" t="0" r="0" b="0"/>
                      <wp:wrapNone/>
                      <wp:docPr id="98" name="Frame96"/>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97815" cy="175260"/>
                      <wp:effectExtent l="0" t="0" r="0" b="0"/>
                      <wp:wrapNone/>
                      <wp:docPr id="99" name="Frame97"/>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51180" cy="175260"/>
                      <wp:effectExtent l="0" t="0" r="0" b="0"/>
                      <wp:wrapNone/>
                      <wp:docPr id="100" name="Frame98"/>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54330" cy="175260"/>
                      <wp:effectExtent l="0" t="0" r="0" b="0"/>
                      <wp:wrapNone/>
                      <wp:docPr id="101" name="Frame99"/>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97815" cy="175260"/>
                      <wp:effectExtent l="0" t="0" r="0" b="0"/>
                      <wp:wrapNone/>
                      <wp:docPr id="102" name="Frame100"/>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34365" cy="175260"/>
                      <wp:effectExtent l="0" t="0" r="0" b="0"/>
                      <wp:wrapNone/>
                      <wp:docPr id="103" name="Frame101"/>
                      <a:graphic xmlns:a="http://schemas.openxmlformats.org/drawingml/2006/main">
                        <a:graphicData uri="http://schemas.microsoft.com/office/word/2010/wordprocessingShape">
                          <wps:wsp>
                            <wps:cNvSpPr txBox="1"/>
                            <wps:spPr>
                              <a:xfrm>
                                <a:off x="0" y="0"/>
                                <a:ext cx="634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38455" cy="175260"/>
                      <wp:effectExtent l="0" t="0" r="0" b="0"/>
                      <wp:wrapNone/>
                      <wp:docPr id="104" name="Frame102"/>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97815" cy="175260"/>
                      <wp:effectExtent l="0" t="0" r="0" b="0"/>
                      <wp:wrapNone/>
                      <wp:docPr id="105" name="Frame103"/>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51180" cy="175260"/>
                      <wp:effectExtent l="0" t="0" r="0" b="0"/>
                      <wp:wrapNone/>
                      <wp:docPr id="106" name="Frame104"/>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54330" cy="175260"/>
                      <wp:effectExtent l="0" t="0" r="0" b="0"/>
                      <wp:wrapNone/>
                      <wp:docPr id="107" name="Frame105"/>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5105" cy="175260"/>
                      <wp:effectExtent l="0" t="0" r="0" b="0"/>
                      <wp:wrapNone/>
                      <wp:docPr id="108" name="Frame106"/>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22"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center"/>
              <w:rPr/>
            </w:pPr>
            <w:r>
              <w:rPr/>
              <w:t>​</w:t>
            </w:r>
          </w:p>
        </w:tc>
        <w:tc>
          <w:tcPr>
            <w:tcW w:w="469" w:type="dxa"/>
            <w:tcBorders/>
            <w:vAlign w:val="center"/>
          </w:tcPr>
          <w:p>
            <w:pPr>
              <w:pStyle w:val="TableContents"/>
              <w:bidi w:val="0"/>
              <w:spacing w:lineRule="auto" w:line="285" w:before="0" w:after="0"/>
              <w:ind w:left="0" w:right="0" w:hanging="0"/>
              <w:jc w:val="center"/>
              <w:rPr/>
            </w:pPr>
            <w:r>
              <w:rPr/>
              <w:t>​</w:t>
            </w:r>
          </w:p>
        </w:tc>
        <w:tc>
          <w:tcPr>
            <w:tcW w:w="5322"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 xml:space="preserve">Three months ended </w:t>
            </w:r>
          </w:p>
        </w:tc>
        <w:tc>
          <w:tcPr>
            <w:tcW w:w="323" w:type="dxa"/>
            <w:tcBorders/>
            <w:vAlign w:val="center"/>
          </w:tcPr>
          <w:p>
            <w:pPr>
              <w:pStyle w:val="TableContents"/>
              <w:bidi w:val="0"/>
              <w:spacing w:lineRule="auto" w:line="285" w:before="0" w:after="0"/>
              <w:ind w:left="0" w:right="0" w:hanging="0"/>
              <w:jc w:val="center"/>
              <w:rPr/>
            </w:pPr>
            <w:r>
              <w:rPr/>
              <w:t>​</w:t>
            </w:r>
          </w:p>
        </w:tc>
      </w:tr>
      <w:tr>
        <w:trPr/>
        <w:tc>
          <w:tcPr>
            <w:tcW w:w="3622"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center"/>
              <w:rPr/>
            </w:pPr>
            <w:r>
              <w:rPr/>
              <w:t>  ​</w:t>
            </w:r>
          </w:p>
        </w:tc>
        <w:tc>
          <w:tcPr>
            <w:tcW w:w="469" w:type="dxa"/>
            <w:tcBorders/>
            <w:vAlign w:val="center"/>
          </w:tcPr>
          <w:p>
            <w:pPr>
              <w:pStyle w:val="TableContents"/>
              <w:bidi w:val="0"/>
              <w:spacing w:lineRule="auto" w:line="285" w:before="0" w:after="0"/>
              <w:ind w:left="0" w:right="0" w:hanging="0"/>
              <w:jc w:val="left"/>
              <w:rPr/>
            </w:pPr>
            <w:r>
              <w:rPr/>
              <w:t>  ​</w:t>
            </w:r>
          </w:p>
        </w:tc>
        <w:tc>
          <w:tcPr>
            <w:tcW w:w="1426"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469" w:type="dxa"/>
            <w:tcBorders/>
            <w:vAlign w:val="center"/>
          </w:tcPr>
          <w:p>
            <w:pPr>
              <w:pStyle w:val="TableContents"/>
              <w:bidi w:val="0"/>
              <w:spacing w:lineRule="auto" w:line="285" w:before="0" w:after="0"/>
              <w:ind w:left="0" w:right="0" w:hanging="0"/>
              <w:jc w:val="left"/>
              <w:rPr/>
            </w:pPr>
            <w:r>
              <w:rPr/>
              <w:t>  ​</w:t>
            </w:r>
          </w:p>
        </w:tc>
        <w:tc>
          <w:tcPr>
            <w:tcW w:w="153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March 31,</w:t>
            </w:r>
          </w:p>
        </w:tc>
        <w:tc>
          <w:tcPr>
            <w:tcW w:w="469" w:type="dxa"/>
            <w:tcBorders/>
            <w:vAlign w:val="center"/>
          </w:tcPr>
          <w:p>
            <w:pPr>
              <w:pStyle w:val="TableContents"/>
              <w:bidi w:val="0"/>
              <w:spacing w:lineRule="auto" w:line="285" w:before="0" w:after="0"/>
              <w:ind w:left="0" w:right="0" w:hanging="0"/>
              <w:jc w:val="left"/>
              <w:rPr/>
            </w:pPr>
            <w:r>
              <w:rPr/>
              <w:t>  ​</w:t>
            </w:r>
          </w:p>
        </w:tc>
        <w:tc>
          <w:tcPr>
            <w:tcW w:w="1426"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323" w:type="dxa"/>
            <w:tcBorders/>
            <w:vAlign w:val="center"/>
          </w:tcPr>
          <w:p>
            <w:pPr>
              <w:pStyle w:val="TableContents"/>
              <w:bidi w:val="0"/>
              <w:spacing w:lineRule="auto" w:line="285" w:before="0" w:after="0"/>
              <w:ind w:left="0" w:right="0" w:hanging="0"/>
              <w:jc w:val="center"/>
              <w:rPr/>
            </w:pPr>
            <w:r>
              <w:rPr/>
              <w:t>​</w:t>
            </w:r>
          </w:p>
        </w:tc>
      </w:tr>
      <w:tr>
        <w:trPr/>
        <w:tc>
          <w:tcPr>
            <w:tcW w:w="3622"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b/>
                <w:sz w:val="18"/>
              </w:rPr>
              <w:t xml:space="preserve">Utilization </w:t>
            </w:r>
            <w:r>
              <w:rPr>
                <w:rFonts w:ascii="Arial Narrow" w:hAnsi="Arial Narrow"/>
                <w:b/>
                <w:sz w:val="14"/>
              </w:rPr>
              <w:t>(3)</w:t>
            </w:r>
          </w:p>
        </w:tc>
        <w:tc>
          <w:tcPr>
            <w:tcW w:w="469" w:type="dxa"/>
            <w:tcBorders/>
            <w:vAlign w:val="center"/>
          </w:tcPr>
          <w:p>
            <w:pPr>
              <w:pStyle w:val="TableContents"/>
              <w:bidi w:val="0"/>
              <w:spacing w:lineRule="auto" w:line="285" w:before="0" w:after="0"/>
              <w:ind w:left="0" w:right="0" w:hanging="0"/>
              <w:jc w:val="center"/>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469" w:type="dxa"/>
            <w:tcBorders/>
            <w:vAlign w:val="center"/>
          </w:tcPr>
          <w:p>
            <w:pPr>
              <w:pStyle w:val="TableContents"/>
              <w:bidi w:val="0"/>
              <w:spacing w:lineRule="auto" w:line="285" w:before="0" w:after="0"/>
              <w:ind w:left="0" w:right="0" w:hanging="0"/>
              <w:jc w:val="left"/>
              <w:rPr/>
            </w:pPr>
            <w:r>
              <w:rPr/>
              <w:t>​</w:t>
            </w:r>
          </w:p>
        </w:tc>
        <w:tc>
          <w:tcPr>
            <w:tcW w:w="15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469" w:type="dxa"/>
            <w:tcBorders/>
            <w:vAlign w:val="center"/>
          </w:tcPr>
          <w:p>
            <w:pPr>
              <w:pStyle w:val="TableContents"/>
              <w:bidi w:val="0"/>
              <w:spacing w:lineRule="auto" w:line="285" w:before="0" w:after="0"/>
              <w:ind w:left="0" w:right="0" w:hanging="0"/>
              <w:jc w:val="left"/>
              <w:rPr/>
            </w:pPr>
            <w:r>
              <w:rPr/>
              <w:t>​</w:t>
            </w:r>
          </w:p>
        </w:tc>
        <w:tc>
          <w:tcPr>
            <w:tcW w:w="14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2025</w:t>
            </w:r>
          </w:p>
        </w:tc>
        <w:tc>
          <w:tcPr>
            <w:tcW w:w="323" w:type="dxa"/>
            <w:tcBorders/>
            <w:vAlign w:val="center"/>
          </w:tcPr>
          <w:p>
            <w:pPr>
              <w:pStyle w:val="TableContents"/>
              <w:bidi w:val="0"/>
              <w:spacing w:lineRule="auto" w:line="285" w:before="0" w:after="0"/>
              <w:ind w:left="0" w:right="0" w:hanging="0"/>
              <w:jc w:val="center"/>
              <w:rPr/>
            </w:pPr>
            <w:r>
              <w:rPr/>
              <w:t>​</w:t>
            </w:r>
          </w:p>
        </w:tc>
      </w:tr>
      <w:tr>
        <w:trPr/>
        <w:tc>
          <w:tcPr>
            <w:tcW w:w="3622"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Ultra-deepwater floaters</w:t>
            </w:r>
          </w:p>
        </w:tc>
        <w:tc>
          <w:tcPr>
            <w:tcW w:w="469" w:type="dxa"/>
            <w:tcBorders/>
            <w:vAlign w:val="center"/>
          </w:tcPr>
          <w:p>
            <w:pPr>
              <w:pStyle w:val="TableContents"/>
              <w:bidi w:val="0"/>
              <w:spacing w:lineRule="auto" w:line="285" w:before="0" w:after="0"/>
              <w:ind w:left="0" w:right="0" w:hanging="0"/>
              <w:jc w:val="right"/>
              <w:rPr/>
            </w:pPr>
            <w:r>
              <w:rPr/>
              <w:t>​</w:t>
            </w:r>
          </w:p>
        </w:tc>
        <w:tc>
          <w:tcPr>
            <w:tcW w:w="469" w:type="dxa"/>
            <w:tcBorders/>
            <w:vAlign w:val="center"/>
          </w:tcPr>
          <w:p>
            <w:pPr>
              <w:pStyle w:val="TableContents"/>
              <w:bidi w:val="0"/>
              <w:spacing w:lineRule="auto" w:line="285" w:before="0" w:after="0"/>
              <w:ind w:left="0" w:right="0" w:hanging="0"/>
              <w:jc w:val="right"/>
              <w:rPr/>
            </w:pPr>
            <w:r>
              <w:rPr/>
              <w:t>​</w:t>
            </w:r>
          </w:p>
        </w:tc>
        <w:tc>
          <w:tcPr>
            <w:tcW w:w="868"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72.6</w:t>
            </w:r>
          </w:p>
        </w:tc>
        <w:tc>
          <w:tcPr>
            <w:tcW w:w="558"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9" w:type="dxa"/>
            <w:tcBorders/>
            <w:vAlign w:val="center"/>
          </w:tcPr>
          <w:p>
            <w:pPr>
              <w:pStyle w:val="TableContents"/>
              <w:bidi w:val="0"/>
              <w:spacing w:lineRule="auto" w:line="285" w:before="0" w:after="0"/>
              <w:ind w:left="0" w:right="0" w:hanging="0"/>
              <w:jc w:val="left"/>
              <w:rPr/>
            </w:pPr>
            <w:r>
              <w:rPr/>
              <w:t>​</w:t>
            </w:r>
          </w:p>
        </w:tc>
        <w:tc>
          <w:tcPr>
            <w:tcW w:w="999"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82.1</w:t>
            </w:r>
          </w:p>
        </w:tc>
        <w:tc>
          <w:tcPr>
            <w:tcW w:w="533"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9"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64.7</w:t>
            </w:r>
          </w:p>
        </w:tc>
        <w:tc>
          <w:tcPr>
            <w:tcW w:w="558"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323" w:type="dxa"/>
            <w:tcBorders/>
            <w:vAlign w:val="center"/>
          </w:tcPr>
          <w:p>
            <w:pPr>
              <w:pStyle w:val="TableContents"/>
              <w:bidi w:val="0"/>
              <w:spacing w:lineRule="auto" w:line="285" w:before="0" w:after="0"/>
              <w:ind w:left="0" w:right="0" w:hanging="0"/>
              <w:jc w:val="left"/>
              <w:rPr/>
            </w:pPr>
            <w:r>
              <w:rPr/>
              <w:t>​</w:t>
            </w:r>
          </w:p>
        </w:tc>
      </w:tr>
      <w:tr>
        <w:trPr/>
        <w:tc>
          <w:tcPr>
            <w:tcW w:w="3622"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Harsh environment floaters</w:t>
            </w:r>
          </w:p>
        </w:tc>
        <w:tc>
          <w:tcPr>
            <w:tcW w:w="469" w:type="dxa"/>
            <w:tcBorders/>
            <w:vAlign w:val="center"/>
          </w:tcPr>
          <w:p>
            <w:pPr>
              <w:pStyle w:val="TableContents"/>
              <w:bidi w:val="0"/>
              <w:spacing w:lineRule="auto" w:line="285" w:before="0" w:after="0"/>
              <w:ind w:left="0" w:right="0" w:hanging="0"/>
              <w:jc w:val="right"/>
              <w:rPr/>
            </w:pPr>
            <w:r>
              <w:rPr/>
              <w:t>​</w:t>
            </w:r>
          </w:p>
        </w:tc>
        <w:tc>
          <w:tcPr>
            <w:tcW w:w="469" w:type="dxa"/>
            <w:tcBorders/>
            <w:vAlign w:val="center"/>
          </w:tcPr>
          <w:p>
            <w:pPr>
              <w:pStyle w:val="TableContents"/>
              <w:bidi w:val="0"/>
              <w:spacing w:lineRule="auto" w:line="285" w:before="0" w:after="0"/>
              <w:ind w:left="0" w:right="0" w:hanging="0"/>
              <w:jc w:val="right"/>
              <w:rPr/>
            </w:pPr>
            <w:r>
              <w:rPr/>
              <w:t>​</w:t>
            </w:r>
          </w:p>
        </w:tc>
        <w:tc>
          <w:tcPr>
            <w:tcW w:w="8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94.2</w:t>
            </w:r>
          </w:p>
        </w:tc>
        <w:tc>
          <w:tcPr>
            <w:tcW w:w="5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9" w:type="dxa"/>
            <w:tcBorders/>
            <w:vAlign w:val="center"/>
          </w:tcPr>
          <w:p>
            <w:pPr>
              <w:pStyle w:val="TableContents"/>
              <w:bidi w:val="0"/>
              <w:spacing w:lineRule="auto" w:line="285" w:before="0" w:after="0"/>
              <w:ind w:left="0" w:right="0" w:hanging="0"/>
              <w:jc w:val="left"/>
              <w:rPr/>
            </w:pPr>
            <w:r>
              <w:rPr/>
              <w:t>​</w:t>
            </w:r>
          </w:p>
        </w:tc>
        <w:tc>
          <w:tcPr>
            <w:tcW w:w="9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100.0</w:t>
            </w:r>
          </w:p>
        </w:tc>
        <w:tc>
          <w:tcPr>
            <w:tcW w:w="5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9" w:type="dxa"/>
            <w:tcBorders/>
            <w:vAlign w:val="center"/>
          </w:tcPr>
          <w:p>
            <w:pPr>
              <w:pStyle w:val="TableContents"/>
              <w:bidi w:val="0"/>
              <w:spacing w:lineRule="auto" w:line="285" w:before="0" w:after="0"/>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75.3</w:t>
            </w:r>
          </w:p>
        </w:tc>
        <w:tc>
          <w:tcPr>
            <w:tcW w:w="5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323" w:type="dxa"/>
            <w:tcBorders/>
            <w:vAlign w:val="center"/>
          </w:tcPr>
          <w:p>
            <w:pPr>
              <w:pStyle w:val="TableContents"/>
              <w:bidi w:val="0"/>
              <w:spacing w:lineRule="auto" w:line="285" w:before="0" w:after="0"/>
              <w:ind w:left="0" w:right="0" w:hanging="0"/>
              <w:jc w:val="left"/>
              <w:rPr/>
            </w:pPr>
            <w:r>
              <w:rPr/>
              <w:t>​</w:t>
            </w:r>
          </w:p>
        </w:tc>
      </w:tr>
      <w:tr>
        <w:trPr/>
        <w:tc>
          <w:tcPr>
            <w:tcW w:w="3622"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Total fleet average rig utilization</w:t>
            </w:r>
          </w:p>
        </w:tc>
        <w:tc>
          <w:tcPr>
            <w:tcW w:w="469" w:type="dxa"/>
            <w:tcBorders/>
            <w:vAlign w:val="center"/>
          </w:tcPr>
          <w:p>
            <w:pPr>
              <w:pStyle w:val="TableContents"/>
              <w:bidi w:val="0"/>
              <w:spacing w:lineRule="auto" w:line="285" w:before="0" w:after="0"/>
              <w:ind w:left="0" w:right="0" w:hanging="0"/>
              <w:jc w:val="right"/>
              <w:rPr/>
            </w:pPr>
            <w:r>
              <w:rPr/>
              <w:t>​</w:t>
            </w:r>
          </w:p>
        </w:tc>
        <w:tc>
          <w:tcPr>
            <w:tcW w:w="469" w:type="dxa"/>
            <w:tcBorders/>
            <w:vAlign w:val="center"/>
          </w:tcPr>
          <w:p>
            <w:pPr>
              <w:pStyle w:val="TableContents"/>
              <w:bidi w:val="0"/>
              <w:spacing w:lineRule="auto" w:line="285" w:before="0" w:after="0"/>
              <w:ind w:left="0" w:right="0" w:hanging="0"/>
              <w:jc w:val="right"/>
              <w:rPr/>
            </w:pPr>
            <w:r>
              <w:rPr/>
              <w:t>​</w:t>
            </w:r>
          </w:p>
        </w:tc>
        <w:tc>
          <w:tcPr>
            <w:tcW w:w="868"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78.2</w:t>
            </w:r>
          </w:p>
        </w:tc>
        <w:tc>
          <w:tcPr>
            <w:tcW w:w="558"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9" w:type="dxa"/>
            <w:tcBorders/>
            <w:vAlign w:val="center"/>
          </w:tcPr>
          <w:p>
            <w:pPr>
              <w:pStyle w:val="TableContents"/>
              <w:bidi w:val="0"/>
              <w:spacing w:lineRule="auto" w:line="285" w:before="0" w:after="0"/>
              <w:ind w:left="0" w:right="0" w:hanging="0"/>
              <w:jc w:val="right"/>
              <w:rPr/>
            </w:pPr>
            <w:r>
              <w:rPr/>
              <w:t>​</w:t>
            </w:r>
          </w:p>
        </w:tc>
        <w:tc>
          <w:tcPr>
            <w:tcW w:w="999"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86.7</w:t>
            </w:r>
          </w:p>
        </w:tc>
        <w:tc>
          <w:tcPr>
            <w:tcW w:w="533"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9" w:type="dxa"/>
            <w:tcBorders/>
            <w:vAlign w:val="center"/>
          </w:tcPr>
          <w:p>
            <w:pPr>
              <w:pStyle w:val="TableContents"/>
              <w:bidi w:val="0"/>
              <w:spacing w:lineRule="auto" w:line="285" w:before="0" w:after="0"/>
              <w:ind w:left="0" w:right="0" w:hanging="0"/>
              <w:jc w:val="right"/>
              <w:rPr/>
            </w:pPr>
            <w:r>
              <w:rPr/>
              <w:t>​</w:t>
            </w:r>
          </w:p>
        </w:tc>
        <w:tc>
          <w:tcPr>
            <w:tcW w:w="868"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67.3</w:t>
            </w:r>
          </w:p>
        </w:tc>
        <w:tc>
          <w:tcPr>
            <w:tcW w:w="558"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323" w:type="dxa"/>
            <w:tcBorders/>
            <w:vAlign w:val="center"/>
          </w:tcPr>
          <w:p>
            <w:pPr>
              <w:pStyle w:val="TableContents"/>
              <w:bidi w:val="0"/>
              <w:spacing w:lineRule="auto" w:line="285" w:before="0" w:after="0"/>
              <w:ind w:left="0" w:right="0" w:hanging="0"/>
              <w:jc w:val="left"/>
              <w:rPr/>
            </w:pPr>
            <w:r>
              <w:rPr/>
              <w:t>​</w:t>
            </w:r>
          </w:p>
        </w:tc>
      </w:tr>
      <w:tr>
        <w:trPr/>
        <w:tc>
          <w:tcPr>
            <w:tcW w:w="3622"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0"/>
              <w:ind w:left="0" w:right="0" w:hanging="0"/>
              <w:jc w:val="left"/>
              <w:rPr/>
            </w:pPr>
            <w:r>
              <w:rPr/>
              <w:t>​</w:t>
            </w:r>
          </w:p>
        </w:tc>
        <w:tc>
          <w:tcPr>
            <w:tcW w:w="558"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999" w:type="dxa"/>
            <w:tcBorders/>
            <w:vAlign w:val="center"/>
          </w:tcPr>
          <w:p>
            <w:pPr>
              <w:pStyle w:val="TableContents"/>
              <w:bidi w:val="0"/>
              <w:spacing w:lineRule="auto" w:line="285" w:before="0" w:after="0"/>
              <w:ind w:left="0" w:right="0" w:hanging="0"/>
              <w:jc w:val="left"/>
              <w:rPr/>
            </w:pPr>
            <w:r>
              <w:rPr/>
              <w:t>​</w:t>
            </w:r>
          </w:p>
        </w:tc>
        <w:tc>
          <w:tcPr>
            <w:tcW w:w="533"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0"/>
              <w:ind w:left="0" w:right="0" w:hanging="0"/>
              <w:jc w:val="left"/>
              <w:rPr/>
            </w:pPr>
            <w:r>
              <w:rPr/>
              <w:t>​</w:t>
            </w:r>
          </w:p>
        </w:tc>
        <w:tc>
          <w:tcPr>
            <w:tcW w:w="558"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left"/>
              <w:rPr/>
            </w:pPr>
            <w:r>
              <w:rPr/>
              <w:t>​</w:t>
            </w:r>
          </w:p>
        </w:tc>
      </w:tr>
      <w:tr>
        <w:trPr/>
        <w:tc>
          <w:tcPr>
            <w:tcW w:w="3622"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0"/>
              <w:ind w:left="0" w:right="0" w:hanging="0"/>
              <w:jc w:val="left"/>
              <w:rPr/>
            </w:pPr>
            <w:r>
              <w:rPr/>
              <w:t>​</w:t>
            </w:r>
          </w:p>
        </w:tc>
        <w:tc>
          <w:tcPr>
            <w:tcW w:w="558"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999" w:type="dxa"/>
            <w:tcBorders/>
            <w:vAlign w:val="center"/>
          </w:tcPr>
          <w:p>
            <w:pPr>
              <w:pStyle w:val="TableContents"/>
              <w:bidi w:val="0"/>
              <w:spacing w:lineRule="auto" w:line="285" w:before="0" w:after="0"/>
              <w:ind w:left="0" w:right="0" w:hanging="0"/>
              <w:jc w:val="left"/>
              <w:rPr/>
            </w:pPr>
            <w:r>
              <w:rPr/>
              <w:t>​</w:t>
            </w:r>
          </w:p>
        </w:tc>
        <w:tc>
          <w:tcPr>
            <w:tcW w:w="533"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0"/>
              <w:ind w:left="0" w:right="0" w:hanging="0"/>
              <w:jc w:val="left"/>
              <w:rPr/>
            </w:pPr>
            <w:r>
              <w:rPr/>
              <w:t>​</w:t>
            </w:r>
          </w:p>
        </w:tc>
        <w:tc>
          <w:tcPr>
            <w:tcW w:w="558"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left"/>
              <w:rPr/>
            </w:pPr>
            <w:r>
              <w:rPr/>
              <w:t>​</w:t>
            </w:r>
          </w:p>
        </w:tc>
      </w:tr>
      <w:tr>
        <w:trPr/>
        <w:tc>
          <w:tcPr>
            <w:tcW w:w="10205" w:type="dxa"/>
            <w:gridSpan w:val="12"/>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4"/>
              </w:rPr>
              <w:t>(1)</w:t>
            </w:r>
            <w:r>
              <w:rPr>
                <w:rFonts w:ascii="Arial Narrow" w:hAnsi="Arial Narrow"/>
                <w:sz w:val="18"/>
              </w:rPr>
              <w:t xml:space="preserve"> Average daily revenue is defined as operating revenues, excluding revenues for contract terminations, reimbursements and contract intangible amortization, earned per operating day. An operating day is defined as a day for which a rig is contracted to earn a dayrate during the firm contract period after operations commence.</w:t>
            </w:r>
          </w:p>
        </w:tc>
      </w:tr>
      <w:tr>
        <w:trPr/>
        <w:tc>
          <w:tcPr>
            <w:tcW w:w="3622"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0"/>
              <w:ind w:left="0" w:right="0" w:hanging="0"/>
              <w:jc w:val="right"/>
              <w:rPr/>
            </w:pPr>
            <w:r>
              <w:rPr/>
              <w:t>​</w:t>
            </w:r>
          </w:p>
        </w:tc>
        <w:tc>
          <w:tcPr>
            <w:tcW w:w="558"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999" w:type="dxa"/>
            <w:tcBorders/>
            <w:vAlign w:val="center"/>
          </w:tcPr>
          <w:p>
            <w:pPr>
              <w:pStyle w:val="TableContents"/>
              <w:bidi w:val="0"/>
              <w:spacing w:lineRule="auto" w:line="285" w:before="0" w:after="0"/>
              <w:ind w:left="0" w:right="0" w:hanging="0"/>
              <w:jc w:val="right"/>
              <w:rPr/>
            </w:pPr>
            <w:r>
              <w:rPr/>
              <w:t>​</w:t>
            </w:r>
          </w:p>
        </w:tc>
        <w:tc>
          <w:tcPr>
            <w:tcW w:w="533"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0"/>
              <w:ind w:left="0" w:right="0" w:hanging="0"/>
              <w:jc w:val="right"/>
              <w:rPr/>
            </w:pPr>
            <w:r>
              <w:rPr/>
              <w:t>​</w:t>
            </w:r>
          </w:p>
        </w:tc>
        <w:tc>
          <w:tcPr>
            <w:tcW w:w="558"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left"/>
              <w:rPr/>
            </w:pPr>
            <w:r>
              <w:rPr/>
              <w:t>​</w:t>
            </w:r>
          </w:p>
        </w:tc>
      </w:tr>
      <w:tr>
        <w:trPr/>
        <w:tc>
          <w:tcPr>
            <w:tcW w:w="10205" w:type="dxa"/>
            <w:gridSpan w:val="12"/>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4"/>
              </w:rPr>
              <w:t>(2)</w:t>
            </w:r>
            <w:r>
              <w:rPr>
                <w:rFonts w:ascii="Arial Narrow" w:hAnsi="Arial Narrow"/>
                <w:sz w:val="18"/>
              </w:rPr>
              <w:t xml:space="preserve"> Revenue efficiency is defined as actual operating revenues, excluding revenues for contract terminations and reimbursements, for the measurement period divided by the maximum revenue calculated for the measurement period, expressed as a percentage.  Maximum revenue is defined as the greatest amount of contract drilling revenues the drilling unit could earn for the measurement period, excluding revenues for incentive provisions, reimbursements and contract terminations.</w:t>
            </w:r>
          </w:p>
        </w:tc>
      </w:tr>
      <w:tr>
        <w:trPr/>
        <w:tc>
          <w:tcPr>
            <w:tcW w:w="3622"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0"/>
              <w:ind w:left="0" w:right="0" w:hanging="0"/>
              <w:jc w:val="right"/>
              <w:rPr/>
            </w:pPr>
            <w:r>
              <w:rPr/>
              <w:t>​</w:t>
            </w:r>
          </w:p>
        </w:tc>
        <w:tc>
          <w:tcPr>
            <w:tcW w:w="558"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999" w:type="dxa"/>
            <w:tcBorders/>
            <w:vAlign w:val="center"/>
          </w:tcPr>
          <w:p>
            <w:pPr>
              <w:pStyle w:val="TableContents"/>
              <w:bidi w:val="0"/>
              <w:spacing w:lineRule="auto" w:line="285" w:before="0" w:after="0"/>
              <w:ind w:left="0" w:right="0" w:hanging="0"/>
              <w:jc w:val="right"/>
              <w:rPr/>
            </w:pPr>
            <w:r>
              <w:rPr/>
              <w:t>​</w:t>
            </w:r>
          </w:p>
        </w:tc>
        <w:tc>
          <w:tcPr>
            <w:tcW w:w="533" w:type="dxa"/>
            <w:tcBorders/>
            <w:vAlign w:val="center"/>
          </w:tcPr>
          <w:p>
            <w:pPr>
              <w:pStyle w:val="TableContents"/>
              <w:bidi w:val="0"/>
              <w:spacing w:lineRule="auto" w:line="285" w:before="0" w:after="0"/>
              <w:ind w:left="0" w:right="0" w:hanging="0"/>
              <w:jc w:val="left"/>
              <w:rPr/>
            </w:pPr>
            <w:r>
              <w:rPr/>
              <w:t>​</w:t>
            </w:r>
          </w:p>
        </w:tc>
        <w:tc>
          <w:tcPr>
            <w:tcW w:w="469" w:type="dxa"/>
            <w:tcBorders/>
            <w:vAlign w:val="center"/>
          </w:tcPr>
          <w:p>
            <w:pPr>
              <w:pStyle w:val="TableContents"/>
              <w:bidi w:val="0"/>
              <w:spacing w:lineRule="auto" w:line="285" w:before="0" w:after="0"/>
              <w:ind w:left="0" w:right="0" w:hanging="0"/>
              <w:jc w:val="left"/>
              <w:rPr/>
            </w:pPr>
            <w:r>
              <w:rPr/>
              <w:t>​</w:t>
            </w:r>
          </w:p>
        </w:tc>
        <w:tc>
          <w:tcPr>
            <w:tcW w:w="868" w:type="dxa"/>
            <w:tcBorders/>
            <w:vAlign w:val="center"/>
          </w:tcPr>
          <w:p>
            <w:pPr>
              <w:pStyle w:val="TableContents"/>
              <w:bidi w:val="0"/>
              <w:spacing w:lineRule="auto" w:line="285" w:before="0" w:after="0"/>
              <w:ind w:left="0" w:right="0" w:hanging="0"/>
              <w:jc w:val="right"/>
              <w:rPr/>
            </w:pPr>
            <w:r>
              <w:rPr/>
              <w:t>​</w:t>
            </w:r>
          </w:p>
        </w:tc>
        <w:tc>
          <w:tcPr>
            <w:tcW w:w="558" w:type="dxa"/>
            <w:tcBorders/>
            <w:vAlign w:val="center"/>
          </w:tcPr>
          <w:p>
            <w:pPr>
              <w:pStyle w:val="TableContents"/>
              <w:bidi w:val="0"/>
              <w:spacing w:lineRule="auto" w:line="285" w:before="0" w:after="0"/>
              <w:ind w:left="0" w:right="0" w:hanging="0"/>
              <w:jc w:val="left"/>
              <w:rPr/>
            </w:pPr>
            <w:r>
              <w:rPr/>
              <w:t>​</w:t>
            </w:r>
          </w:p>
        </w:tc>
        <w:tc>
          <w:tcPr>
            <w:tcW w:w="323" w:type="dxa"/>
            <w:tcBorders/>
            <w:vAlign w:val="center"/>
          </w:tcPr>
          <w:p>
            <w:pPr>
              <w:pStyle w:val="TableContents"/>
              <w:bidi w:val="0"/>
              <w:spacing w:lineRule="auto" w:line="285" w:before="0" w:after="0"/>
              <w:ind w:left="0" w:right="0" w:hanging="0"/>
              <w:jc w:val="left"/>
              <w:rPr/>
            </w:pPr>
            <w:r>
              <w:rPr/>
              <w:t>​</w:t>
            </w:r>
          </w:p>
        </w:tc>
      </w:tr>
      <w:tr>
        <w:trPr/>
        <w:tc>
          <w:tcPr>
            <w:tcW w:w="10205" w:type="dxa"/>
            <w:gridSpan w:val="12"/>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4"/>
              </w:rPr>
              <w:t>(3)</w:t>
            </w:r>
            <w:r>
              <w:rPr>
                <w:rFonts w:ascii="Arial Narrow" w:hAnsi="Arial Narrow"/>
                <w:sz w:val="18"/>
              </w:rPr>
              <w:t xml:space="preserve"> Rig utilization is defined as the total number of operating days divided by the total number of rig calendar days in the measurement period, expressed as a percentage.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10201" w:type="dxa"/>
        <w:jc w:val="left"/>
        <w:tblInd w:w="0" w:type="dxa"/>
        <w:tblLayout w:type="fixed"/>
        <w:tblCellMar>
          <w:top w:w="0" w:type="dxa"/>
          <w:left w:w="0" w:type="dxa"/>
          <w:bottom w:w="0" w:type="dxa"/>
          <w:right w:w="0" w:type="dxa"/>
        </w:tblCellMar>
      </w:tblPr>
      <w:tblGrid>
        <w:gridCol w:w="4186"/>
        <w:gridCol w:w="226"/>
        <w:gridCol w:w="181"/>
        <w:gridCol w:w="541"/>
        <w:gridCol w:w="109"/>
        <w:gridCol w:w="209"/>
        <w:gridCol w:w="436"/>
        <w:gridCol w:w="109"/>
        <w:gridCol w:w="181"/>
        <w:gridCol w:w="541"/>
        <w:gridCol w:w="109"/>
        <w:gridCol w:w="181"/>
        <w:gridCol w:w="541"/>
        <w:gridCol w:w="109"/>
        <w:gridCol w:w="181"/>
        <w:gridCol w:w="541"/>
        <w:gridCol w:w="109"/>
        <w:gridCol w:w="181"/>
        <w:gridCol w:w="466"/>
        <w:gridCol w:w="226"/>
        <w:gridCol w:w="181"/>
        <w:gridCol w:w="466"/>
        <w:gridCol w:w="191"/>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658110" cy="175260"/>
                      <wp:effectExtent l="0" t="0" r="0" b="0"/>
                      <wp:wrapNone/>
                      <wp:docPr id="109" name="Frame107"/>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3510" cy="175260"/>
                      <wp:effectExtent l="0" t="0" r="0" b="0"/>
                      <wp:wrapNone/>
                      <wp:docPr id="110" name="Frame10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14935" cy="175260"/>
                      <wp:effectExtent l="0" t="0" r="0" b="0"/>
                      <wp:wrapNone/>
                      <wp:docPr id="111" name="Frame10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43535" cy="175260"/>
                      <wp:effectExtent l="0" t="0" r="0" b="0"/>
                      <wp:wrapNone/>
                      <wp:docPr id="112" name="Frame11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13"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2715" cy="175260"/>
                      <wp:effectExtent l="0" t="0" r="0" b="0"/>
                      <wp:wrapNone/>
                      <wp:docPr id="114" name="Frame112"/>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76860" cy="175260"/>
                      <wp:effectExtent l="0" t="0" r="0" b="0"/>
                      <wp:wrapNone/>
                      <wp:docPr id="115" name="Frame11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9215" cy="175260"/>
                      <wp:effectExtent l="0" t="0" r="0" b="0"/>
                      <wp:wrapNone/>
                      <wp:docPr id="116"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14935" cy="175260"/>
                      <wp:effectExtent l="0" t="0" r="0" b="0"/>
                      <wp:wrapNone/>
                      <wp:docPr id="117" name="Frame11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43535" cy="175260"/>
                      <wp:effectExtent l="0" t="0" r="0" b="0"/>
                      <wp:wrapNone/>
                      <wp:docPr id="118" name="Frame11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19"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14935" cy="175260"/>
                      <wp:effectExtent l="0" t="0" r="0" b="0"/>
                      <wp:wrapNone/>
                      <wp:docPr id="120" name="Frame11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43535" cy="175260"/>
                      <wp:effectExtent l="0" t="0" r="0" b="0"/>
                      <wp:wrapNone/>
                      <wp:docPr id="121" name="Frame11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22"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14935" cy="175260"/>
                      <wp:effectExtent l="0" t="0" r="0" b="0"/>
                      <wp:wrapNone/>
                      <wp:docPr id="123" name="Frame1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43535" cy="175260"/>
                      <wp:effectExtent l="0" t="0" r="0" b="0"/>
                      <wp:wrapNone/>
                      <wp:docPr id="124" name="Frame12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25"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14935" cy="175260"/>
                      <wp:effectExtent l="0" t="0" r="0" b="0"/>
                      <wp:wrapNone/>
                      <wp:docPr id="126" name="Frame12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95910" cy="175260"/>
                      <wp:effectExtent l="0" t="0" r="0" b="0"/>
                      <wp:wrapNone/>
                      <wp:docPr id="127" name="Frame12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3510" cy="175260"/>
                      <wp:effectExtent l="0" t="0" r="0" b="0"/>
                      <wp:wrapNone/>
                      <wp:docPr id="128" name="Frame1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14935" cy="175260"/>
                      <wp:effectExtent l="0" t="0" r="0" b="0"/>
                      <wp:wrapNone/>
                      <wp:docPr id="129" name="Frame1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95910" cy="175260"/>
                      <wp:effectExtent l="0" t="0" r="0" b="0"/>
                      <wp:wrapNone/>
                      <wp:docPr id="130" name="Frame12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1285" cy="175260"/>
                      <wp:effectExtent l="0" t="0" r="0" b="0"/>
                      <wp:wrapNone/>
                      <wp:docPr id="131" name="Frame12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010" w:type="dxa"/>
            <w:gridSpan w:val="22"/>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Transocean Ltd. and subsidiaries</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10010" w:type="dxa"/>
            <w:gridSpan w:val="22"/>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Non-GAAP Financial Measures and Reconciliations</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10010" w:type="dxa"/>
            <w:gridSpan w:val="22"/>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Adjusted Net Income (Loss) and Adjusted Diluted Earnings (Loss) Per Share</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10010" w:type="dxa"/>
            <w:gridSpan w:val="22"/>
            <w:tcBorders/>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(in millions, except per share data)</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center"/>
              <w:rPr/>
            </w:pPr>
            <w:r>
              <w:rPr/>
              <w:t>​</w:t>
            </w:r>
          </w:p>
        </w:tc>
        <w:tc>
          <w:tcPr>
            <w:tcW w:w="43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46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46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center"/>
              <w:rPr/>
            </w:pPr>
            <w:r>
              <w:rPr/>
              <w:t>​</w:t>
            </w:r>
          </w:p>
        </w:tc>
        <w:tc>
          <w:tcPr>
            <w:tcW w:w="43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46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46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109" w:type="dxa"/>
            <w:tcBorders/>
            <w:vAlign w:val="center"/>
          </w:tcPr>
          <w:p>
            <w:pPr>
              <w:pStyle w:val="TableContents"/>
              <w:bidi w:val="0"/>
              <w:spacing w:lineRule="auto" w:line="285" w:before="0" w:after="0"/>
              <w:ind w:left="0" w:right="0" w:hanging="0"/>
              <w:jc w:val="center"/>
              <w:rPr/>
            </w:pPr>
            <w:r>
              <w:rPr/>
              <w:t>​</w:t>
            </w:r>
          </w:p>
        </w:tc>
        <w:tc>
          <w:tcPr>
            <w:tcW w:w="647"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QTD</w:t>
            </w:r>
          </w:p>
        </w:tc>
        <w:tc>
          <w:tcPr>
            <w:tcW w:w="226" w:type="dxa"/>
            <w:tcBorders/>
            <w:vAlign w:val="center"/>
          </w:tcPr>
          <w:p>
            <w:pPr>
              <w:pStyle w:val="TableContents"/>
              <w:bidi w:val="0"/>
              <w:spacing w:lineRule="auto" w:line="285" w:before="0" w:after="0"/>
              <w:ind w:left="0" w:right="0" w:hanging="0"/>
              <w:jc w:val="center"/>
              <w:rPr/>
            </w:pPr>
            <w:r>
              <w:rPr/>
              <w:t>​</w:t>
            </w:r>
          </w:p>
        </w:tc>
        <w:tc>
          <w:tcPr>
            <w:tcW w:w="647"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  ​</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06/30/26</w:t>
            </w:r>
          </w:p>
        </w:tc>
        <w:tc>
          <w:tcPr>
            <w:tcW w:w="109" w:type="dxa"/>
            <w:tcBorders/>
            <w:vAlign w:val="center"/>
          </w:tcPr>
          <w:p>
            <w:pPr>
              <w:pStyle w:val="TableContents"/>
              <w:bidi w:val="0"/>
              <w:spacing w:lineRule="auto" w:line="285" w:before="0" w:after="0"/>
              <w:ind w:left="0" w:right="0" w:hanging="0"/>
              <w:jc w:val="center"/>
              <w:rPr/>
            </w:pPr>
            <w:r>
              <w:rPr/>
              <w:t>​</w:t>
            </w:r>
          </w:p>
        </w:tc>
        <w:tc>
          <w:tcPr>
            <w:tcW w:w="6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06/30/26</w:t>
            </w:r>
          </w:p>
        </w:tc>
        <w:tc>
          <w:tcPr>
            <w:tcW w:w="226" w:type="dxa"/>
            <w:tcBorders/>
            <w:vAlign w:val="center"/>
          </w:tcPr>
          <w:p>
            <w:pPr>
              <w:pStyle w:val="TableContents"/>
              <w:bidi w:val="0"/>
              <w:spacing w:lineRule="auto" w:line="285" w:before="0" w:after="0"/>
              <w:ind w:left="0" w:right="0" w:hanging="0"/>
              <w:jc w:val="center"/>
              <w:rPr/>
            </w:pPr>
            <w:r>
              <w:rPr/>
              <w:t>  ​</w:t>
            </w:r>
          </w:p>
        </w:tc>
        <w:tc>
          <w:tcPr>
            <w:tcW w:w="6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03/31/26</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Net income</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241</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170</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Acquisition and restructuring costs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12</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Gain (loss) on disposal of assets, net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retirement of debt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Discrete tax items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(137)</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(27)</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Adjusted Net Income (Loss)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130</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158</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Diluted earnings per share</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0.21</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0.04</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Acquisition and restructuring costs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0.02</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0.01</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Gain (loss) on disposal of assets, net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retirement of debt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0.01</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4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Discrete tax items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(0.12)</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(0.02)</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(0.10)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Adjusted Diluted Earnings (Loss) Per Share</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0.12</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0.03</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center"/>
              <w:rPr/>
            </w:pPr>
            <w:r>
              <w:rPr/>
              <w:t>​</w:t>
            </w:r>
          </w:p>
        </w:tc>
        <w:tc>
          <w:tcPr>
            <w:tcW w:w="43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46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466"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QTD</w:t>
            </w:r>
          </w:p>
        </w:tc>
        <w:tc>
          <w:tcPr>
            <w:tcW w:w="109"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QTD</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109" w:type="dxa"/>
            <w:tcBorders/>
            <w:vAlign w:val="center"/>
          </w:tcPr>
          <w:p>
            <w:pPr>
              <w:pStyle w:val="TableContents"/>
              <w:bidi w:val="0"/>
              <w:spacing w:lineRule="auto" w:line="285" w:before="0" w:after="0"/>
              <w:ind w:left="0" w:right="0" w:hanging="0"/>
              <w:jc w:val="center"/>
              <w:rPr/>
            </w:pPr>
            <w:r>
              <w:rPr/>
              <w:t>​</w:t>
            </w:r>
          </w:p>
        </w:tc>
        <w:tc>
          <w:tcPr>
            <w:tcW w:w="647"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QTD</w:t>
            </w:r>
          </w:p>
        </w:tc>
        <w:tc>
          <w:tcPr>
            <w:tcW w:w="226" w:type="dxa"/>
            <w:tcBorders/>
            <w:vAlign w:val="center"/>
          </w:tcPr>
          <w:p>
            <w:pPr>
              <w:pStyle w:val="TableContents"/>
              <w:bidi w:val="0"/>
              <w:spacing w:lineRule="auto" w:line="285" w:before="0" w:after="0"/>
              <w:ind w:left="0" w:right="0" w:hanging="0"/>
              <w:jc w:val="center"/>
              <w:rPr/>
            </w:pPr>
            <w:r>
              <w:rPr/>
              <w:t>​</w:t>
            </w:r>
          </w:p>
        </w:tc>
        <w:tc>
          <w:tcPr>
            <w:tcW w:w="647"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  ​</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12/31/25</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12/31/25</w:t>
            </w:r>
          </w:p>
        </w:tc>
        <w:tc>
          <w:tcPr>
            <w:tcW w:w="109" w:type="dxa"/>
            <w:tcBorders/>
            <w:vAlign w:val="center"/>
          </w:tcPr>
          <w:p>
            <w:pPr>
              <w:pStyle w:val="TableContents"/>
              <w:bidi w:val="0"/>
              <w:spacing w:lineRule="auto" w:line="285" w:before="0" w:after="0"/>
              <w:ind w:left="0" w:right="0" w:hanging="0"/>
              <w:jc w:val="left"/>
              <w:rPr/>
            </w:pPr>
            <w:r>
              <w:rPr/>
              <w:t>​</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09/30/25</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09/30/25</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06/30/25</w:t>
            </w:r>
          </w:p>
        </w:tc>
        <w:tc>
          <w:tcPr>
            <w:tcW w:w="109" w:type="dxa"/>
            <w:tcBorders/>
            <w:vAlign w:val="center"/>
          </w:tcPr>
          <w:p>
            <w:pPr>
              <w:pStyle w:val="TableContents"/>
              <w:bidi w:val="0"/>
              <w:spacing w:lineRule="auto" w:line="285" w:before="0" w:after="0"/>
              <w:ind w:left="0" w:right="0" w:hanging="0"/>
              <w:jc w:val="center"/>
              <w:rPr/>
            </w:pPr>
            <w:r>
              <w:rPr/>
              <w:t>​</w:t>
            </w:r>
          </w:p>
        </w:tc>
        <w:tc>
          <w:tcPr>
            <w:tcW w:w="6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06/30/25</w:t>
            </w:r>
          </w:p>
        </w:tc>
        <w:tc>
          <w:tcPr>
            <w:tcW w:w="226" w:type="dxa"/>
            <w:tcBorders/>
            <w:vAlign w:val="center"/>
          </w:tcPr>
          <w:p>
            <w:pPr>
              <w:pStyle w:val="TableContents"/>
              <w:bidi w:val="0"/>
              <w:spacing w:lineRule="auto" w:line="285" w:before="0" w:after="0"/>
              <w:ind w:left="0" w:right="0" w:hanging="0"/>
              <w:jc w:val="center"/>
              <w:rPr/>
            </w:pPr>
            <w:r>
              <w:rPr/>
              <w:t>  ​</w:t>
            </w:r>
          </w:p>
        </w:tc>
        <w:tc>
          <w:tcPr>
            <w:tcW w:w="6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03/31/25</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Net income (loss) attributable to controlling interest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(2,915)</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3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25</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(2,940)</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(1,923)</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(1,017)</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(938)</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Restructuring costs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impairment of assets, net of tax</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3,036</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3,036</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1,908</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1,128</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1,128</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Gain on disposal of assets, net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conversion of debt to equity</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99</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99</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75</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Gain on retirement of debt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Discrete tax items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(179)</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(182)</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(181)</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(195)</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Adjusted Net Income (Loss)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37</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3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21</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16</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62</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(46)</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Diluted earnings (loss) per share</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(3.04)</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3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0.02</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(3.23)</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(2.00)</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(1.15)</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(1.06)</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(0.11)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Restructuring costs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impairment of assets, net of tax</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3.16</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3.34</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1.98</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1.27</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1.27</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Gain on disposal of assets, net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conversion of debt to equity</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0.10</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0.11</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0.08</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0.03</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0.03</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Gain on retirement of debt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 </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4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466"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Discrete tax items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(0.18)</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 </w:t>
            </w:r>
          </w:p>
        </w:tc>
        <w:tc>
          <w:tcPr>
            <w:tcW w:w="43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(0.20)</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(0.20)</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(0.22)</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Dilutive effect, 4.625% exchangeable bonds due December 2029</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(0.03)</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(0.05)</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(0.02)</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Adjusted Diluted Earnings (Loss) Per Share</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0.04</w:t>
            </w:r>
          </w:p>
        </w:tc>
        <w:tc>
          <w:tcPr>
            <w:tcW w:w="109" w:type="dxa"/>
            <w:tcBorders/>
            <w:vAlign w:val="center"/>
          </w:tcPr>
          <w:p>
            <w:pPr>
              <w:pStyle w:val="TableContents"/>
              <w:bidi w:val="0"/>
              <w:spacing w:lineRule="auto" w:line="285" w:before="0" w:after="0"/>
              <w:ind w:left="0" w:right="0" w:hanging="0"/>
              <w:jc w:val="right"/>
              <w:rPr/>
            </w:pPr>
            <w:r>
              <w:rPr/>
              <w:t>​</w:t>
            </w:r>
          </w:p>
        </w:tc>
        <w:tc>
          <w:tcPr>
            <w:tcW w:w="209"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3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0.02</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(0.01)</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0.06</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(0.10)</w:t>
            </w:r>
          </w:p>
        </w:tc>
        <w:tc>
          <w:tcPr>
            <w:tcW w:w="109"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(0.10)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418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9"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30" w:right="0" w:hanging="0"/>
        <w:jc w:val="left"/>
        <w:rPr/>
      </w:pPr>
      <w:r>
        <w:rPr/>
        <w:t>​</w:t>
      </w:r>
    </w:p>
    <w:p>
      <w:pPr>
        <w:pStyle w:val="TextBody"/>
        <w:bidi w:val="0"/>
        <w:spacing w:lineRule="auto" w:line="285" w:before="0" w:after="0"/>
        <w:ind w:left="3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9409" w:type="dxa"/>
        <w:jc w:val="left"/>
        <w:tblInd w:w="0" w:type="dxa"/>
        <w:tblLayout w:type="fixed"/>
        <w:tblCellMar>
          <w:top w:w="0" w:type="dxa"/>
          <w:left w:w="0" w:type="dxa"/>
          <w:bottom w:w="0" w:type="dxa"/>
          <w:right w:w="0" w:type="dxa"/>
        </w:tblCellMar>
      </w:tblPr>
      <w:tblGrid>
        <w:gridCol w:w="2626"/>
        <w:gridCol w:w="226"/>
        <w:gridCol w:w="181"/>
        <w:gridCol w:w="541"/>
        <w:gridCol w:w="241"/>
        <w:gridCol w:w="185"/>
        <w:gridCol w:w="460"/>
        <w:gridCol w:w="241"/>
        <w:gridCol w:w="181"/>
        <w:gridCol w:w="541"/>
        <w:gridCol w:w="241"/>
        <w:gridCol w:w="181"/>
        <w:gridCol w:w="541"/>
        <w:gridCol w:w="241"/>
        <w:gridCol w:w="181"/>
        <w:gridCol w:w="541"/>
        <w:gridCol w:w="241"/>
        <w:gridCol w:w="181"/>
        <w:gridCol w:w="466"/>
        <w:gridCol w:w="241"/>
        <w:gridCol w:w="185"/>
        <w:gridCol w:w="460"/>
        <w:gridCol w:w="28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667510" cy="175260"/>
                      <wp:effectExtent l="0" t="0" r="0" b="0"/>
                      <wp:wrapNone/>
                      <wp:docPr id="132" name="Frame130"/>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43510" cy="175260"/>
                      <wp:effectExtent l="0" t="0" r="0" b="0"/>
                      <wp:wrapNone/>
                      <wp:docPr id="133" name="Frame1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14935" cy="175260"/>
                      <wp:effectExtent l="0" t="0" r="0" b="0"/>
                      <wp:wrapNone/>
                      <wp:docPr id="134" name="Frame13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43535" cy="175260"/>
                      <wp:effectExtent l="0" t="0" r="0" b="0"/>
                      <wp:wrapNone/>
                      <wp:docPr id="135" name="Frame13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3035" cy="175260"/>
                      <wp:effectExtent l="0" t="0" r="0" b="0"/>
                      <wp:wrapNone/>
                      <wp:docPr id="136" name="Frame13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17475" cy="175260"/>
                      <wp:effectExtent l="0" t="0" r="0" b="0"/>
                      <wp:wrapNone/>
                      <wp:docPr id="137" name="Frame135"/>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92100" cy="175260"/>
                      <wp:effectExtent l="0" t="0" r="0" b="0"/>
                      <wp:wrapNone/>
                      <wp:docPr id="138" name="Frame136"/>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3035" cy="175260"/>
                      <wp:effectExtent l="0" t="0" r="0" b="0"/>
                      <wp:wrapNone/>
                      <wp:docPr id="139" name="Frame13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14935" cy="175260"/>
                      <wp:effectExtent l="0" t="0" r="0" b="0"/>
                      <wp:wrapNone/>
                      <wp:docPr id="140" name="Frame13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43535" cy="175260"/>
                      <wp:effectExtent l="0" t="0" r="0" b="0"/>
                      <wp:wrapNone/>
                      <wp:docPr id="141" name="Frame13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3035" cy="175260"/>
                      <wp:effectExtent l="0" t="0" r="0" b="0"/>
                      <wp:wrapNone/>
                      <wp:docPr id="142" name="Frame14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14935" cy="175260"/>
                      <wp:effectExtent l="0" t="0" r="0" b="0"/>
                      <wp:wrapNone/>
                      <wp:docPr id="143" name="Frame1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43535" cy="175260"/>
                      <wp:effectExtent l="0" t="0" r="0" b="0"/>
                      <wp:wrapNone/>
                      <wp:docPr id="144" name="Frame14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3035" cy="175260"/>
                      <wp:effectExtent l="0" t="0" r="0" b="0"/>
                      <wp:wrapNone/>
                      <wp:docPr id="145" name="Frame14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14935" cy="175260"/>
                      <wp:effectExtent l="0" t="0" r="0" b="0"/>
                      <wp:wrapNone/>
                      <wp:docPr id="146" name="Frame14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43535" cy="175260"/>
                      <wp:effectExtent l="0" t="0" r="0" b="0"/>
                      <wp:wrapNone/>
                      <wp:docPr id="147" name="Frame14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3035" cy="175260"/>
                      <wp:effectExtent l="0" t="0" r="0" b="0"/>
                      <wp:wrapNone/>
                      <wp:docPr id="148" name="Frame14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14935" cy="175260"/>
                      <wp:effectExtent l="0" t="0" r="0" b="0"/>
                      <wp:wrapNone/>
                      <wp:docPr id="149" name="Frame14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95910" cy="175260"/>
                      <wp:effectExtent l="0" t="0" r="0" b="0"/>
                      <wp:wrapNone/>
                      <wp:docPr id="150" name="Frame14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53035" cy="175260"/>
                      <wp:effectExtent l="0" t="0" r="0" b="0"/>
                      <wp:wrapNone/>
                      <wp:docPr id="151" name="Frame14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17475" cy="175260"/>
                      <wp:effectExtent l="0" t="0" r="0" b="0"/>
                      <wp:wrapNone/>
                      <wp:docPr id="152" name="Frame150"/>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92100" cy="175260"/>
                      <wp:effectExtent l="0" t="0" r="0" b="0"/>
                      <wp:wrapNone/>
                      <wp:docPr id="153" name="Frame151"/>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1610" cy="175260"/>
                      <wp:effectExtent l="0" t="0" r="0" b="0"/>
                      <wp:wrapNone/>
                      <wp:docPr id="154" name="Frame15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9123" w:type="dxa"/>
            <w:gridSpan w:val="22"/>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Transocean Ltd. and subsidiaries</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9123" w:type="dxa"/>
            <w:gridSpan w:val="22"/>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Non-GAAP Financial Measures and Reconciliations</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9123" w:type="dxa"/>
            <w:gridSpan w:val="22"/>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Earnings Before Interest, Taxes, Depreciation and Amortization and Related Margins</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9123" w:type="dxa"/>
            <w:gridSpan w:val="22"/>
            <w:tcBorders/>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(in millions, except percentages)</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5" w:type="dxa"/>
            <w:tcBorders/>
            <w:vAlign w:val="center"/>
          </w:tcPr>
          <w:p>
            <w:pPr>
              <w:pStyle w:val="TableContents"/>
              <w:bidi w:val="0"/>
              <w:spacing w:lineRule="auto" w:line="285" w:before="0" w:after="0"/>
              <w:ind w:left="0" w:right="0" w:hanging="0"/>
              <w:jc w:val="center"/>
              <w:rPr/>
            </w:pPr>
            <w:r>
              <w:rPr/>
              <w:t>​</w:t>
            </w:r>
          </w:p>
        </w:tc>
        <w:tc>
          <w:tcPr>
            <w:tcW w:w="460"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466"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5" w:type="dxa"/>
            <w:tcBorders/>
            <w:vAlign w:val="center"/>
          </w:tcPr>
          <w:p>
            <w:pPr>
              <w:pStyle w:val="TableContents"/>
              <w:bidi w:val="0"/>
              <w:spacing w:lineRule="auto" w:line="285" w:before="0" w:after="0"/>
              <w:ind w:left="0" w:right="0" w:hanging="0"/>
              <w:jc w:val="center"/>
              <w:rPr/>
            </w:pPr>
            <w:r>
              <w:rPr/>
              <w:t>​</w:t>
            </w:r>
          </w:p>
        </w:tc>
        <w:tc>
          <w:tcPr>
            <w:tcW w:w="460"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5" w:type="dxa"/>
            <w:tcBorders/>
            <w:vAlign w:val="center"/>
          </w:tcPr>
          <w:p>
            <w:pPr>
              <w:pStyle w:val="TableContents"/>
              <w:bidi w:val="0"/>
              <w:spacing w:lineRule="auto" w:line="285" w:before="0" w:after="0"/>
              <w:ind w:left="0" w:right="0" w:hanging="0"/>
              <w:jc w:val="center"/>
              <w:rPr/>
            </w:pPr>
            <w:r>
              <w:rPr/>
              <w:t>​</w:t>
            </w:r>
          </w:p>
        </w:tc>
        <w:tc>
          <w:tcPr>
            <w:tcW w:w="460"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466"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5" w:type="dxa"/>
            <w:tcBorders/>
            <w:vAlign w:val="center"/>
          </w:tcPr>
          <w:p>
            <w:pPr>
              <w:pStyle w:val="TableContents"/>
              <w:bidi w:val="0"/>
              <w:spacing w:lineRule="auto" w:line="285" w:before="0" w:after="0"/>
              <w:ind w:left="0" w:right="0" w:hanging="0"/>
              <w:jc w:val="center"/>
              <w:rPr/>
            </w:pPr>
            <w:r>
              <w:rPr/>
              <w:t>​</w:t>
            </w:r>
          </w:p>
        </w:tc>
        <w:tc>
          <w:tcPr>
            <w:tcW w:w="460"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645" w:type="dxa"/>
            <w:gridSpan w:val="2"/>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241" w:type="dxa"/>
            <w:tcBorders/>
            <w:vAlign w:val="center"/>
          </w:tcPr>
          <w:p>
            <w:pPr>
              <w:pStyle w:val="TableContents"/>
              <w:bidi w:val="0"/>
              <w:spacing w:lineRule="auto" w:line="285" w:before="0" w:after="0"/>
              <w:ind w:left="0" w:right="0" w:hanging="0"/>
              <w:jc w:val="left"/>
              <w:rPr/>
            </w:pPr>
            <w:r>
              <w:rPr/>
              <w:t>​</w:t>
            </w:r>
          </w:p>
        </w:tc>
        <w:tc>
          <w:tcPr>
            <w:tcW w:w="647"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QTD</w:t>
            </w:r>
          </w:p>
        </w:tc>
        <w:tc>
          <w:tcPr>
            <w:tcW w:w="241" w:type="dxa"/>
            <w:tcBorders/>
            <w:vAlign w:val="center"/>
          </w:tcPr>
          <w:p>
            <w:pPr>
              <w:pStyle w:val="TableContents"/>
              <w:bidi w:val="0"/>
              <w:spacing w:lineRule="auto" w:line="285" w:before="0" w:after="0"/>
              <w:ind w:left="0" w:right="0" w:hanging="0"/>
              <w:jc w:val="left"/>
              <w:rPr/>
            </w:pPr>
            <w:r>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  ​</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645" w:type="dxa"/>
            <w:gridSpan w:val="2"/>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06/30/26</w:t>
            </w:r>
          </w:p>
        </w:tc>
        <w:tc>
          <w:tcPr>
            <w:tcW w:w="241" w:type="dxa"/>
            <w:tcBorders/>
            <w:vAlign w:val="center"/>
          </w:tcPr>
          <w:p>
            <w:pPr>
              <w:pStyle w:val="TableContents"/>
              <w:bidi w:val="0"/>
              <w:spacing w:lineRule="auto" w:line="285" w:before="0" w:after="0"/>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06/30/26</w:t>
            </w:r>
          </w:p>
        </w:tc>
        <w:tc>
          <w:tcPr>
            <w:tcW w:w="241" w:type="dxa"/>
            <w:tcBorders/>
            <w:vAlign w:val="center"/>
          </w:tcPr>
          <w:p>
            <w:pPr>
              <w:pStyle w:val="TableContents"/>
              <w:bidi w:val="0"/>
              <w:spacing w:lineRule="auto" w:line="285" w:before="0" w:after="0"/>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03/31/26</w:t>
            </w:r>
          </w:p>
        </w:tc>
        <w:tc>
          <w:tcPr>
            <w:tcW w:w="286" w:type="dxa"/>
            <w:tcBorders/>
            <w:vAlign w:val="center"/>
          </w:tcPr>
          <w:p>
            <w:pPr>
              <w:pStyle w:val="TableContents"/>
              <w:bidi w:val="0"/>
              <w:spacing w:lineRule="auto" w:line="285" w:before="0" w:after="0"/>
              <w:ind w:left="0" w:right="0" w:hanging="0"/>
              <w:jc w:val="left"/>
              <w:rPr/>
            </w:pPr>
            <w:r>
              <w:rPr/>
              <w:t> </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0"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6"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0"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Contract drilling revenues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2,047</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966</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1,081</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Net income</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241</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170</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71</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Interest expense, net of interest income</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234</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(32)</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266</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Income tax expense (benefit)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(40)</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14</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(54)</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Depreciation and amortization</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291</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148</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143</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EBITDA</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726</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300</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426</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0"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6"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0"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Acquisition and restructuring costs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12</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Gain on disposal of assets, net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retirement of debt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Adjusted EBITDA</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752</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312</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0"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440</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Profit margin</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11.8</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17.7</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6.5</w:t>
            </w:r>
          </w:p>
        </w:tc>
        <w:tc>
          <w:tcPr>
            <w:tcW w:w="2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EBITDA margin</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35.4</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31.0</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39.4</w:t>
            </w:r>
          </w:p>
        </w:tc>
        <w:tc>
          <w:tcPr>
            <w:tcW w:w="2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Adjusted EBITDA margin</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36.7</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32.2</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40.7</w:t>
            </w:r>
          </w:p>
        </w:tc>
        <w:tc>
          <w:tcPr>
            <w:tcW w:w="2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241" w:type="dxa"/>
            <w:tcBorders/>
            <w:vAlign w:val="center"/>
          </w:tcPr>
          <w:p>
            <w:pPr>
              <w:pStyle w:val="TableContents"/>
              <w:bidi w:val="0"/>
              <w:spacing w:lineRule="auto" w:line="285" w:before="0" w:after="0"/>
              <w:ind w:left="0" w:right="0" w:hanging="0"/>
              <w:jc w:val="left"/>
              <w:rPr/>
            </w:pPr>
            <w:r>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QTD</w:t>
            </w:r>
          </w:p>
        </w:tc>
        <w:tc>
          <w:tcPr>
            <w:tcW w:w="241"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241"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QTD</w:t>
            </w:r>
          </w:p>
        </w:tc>
        <w:tc>
          <w:tcPr>
            <w:tcW w:w="241" w:type="dxa"/>
            <w:tcBorders/>
            <w:vAlign w:val="center"/>
          </w:tcPr>
          <w:p>
            <w:pPr>
              <w:pStyle w:val="TableContents"/>
              <w:bidi w:val="0"/>
              <w:spacing w:lineRule="auto" w:line="285" w:before="0" w:after="0"/>
              <w:ind w:left="0" w:right="0" w:hanging="0"/>
              <w:jc w:val="left"/>
              <w:rPr/>
            </w:pPr>
            <w:r>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241" w:type="dxa"/>
            <w:tcBorders/>
            <w:vAlign w:val="center"/>
          </w:tcPr>
          <w:p>
            <w:pPr>
              <w:pStyle w:val="TableContents"/>
              <w:bidi w:val="0"/>
              <w:spacing w:lineRule="auto" w:line="285" w:before="0" w:after="0"/>
              <w:ind w:left="0" w:right="0" w:hanging="0"/>
              <w:jc w:val="left"/>
              <w:rPr/>
            </w:pPr>
            <w:r>
              <w:rPr/>
              <w:t>​</w:t>
            </w:r>
          </w:p>
        </w:tc>
        <w:tc>
          <w:tcPr>
            <w:tcW w:w="647"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QTD</w:t>
            </w:r>
          </w:p>
        </w:tc>
        <w:tc>
          <w:tcPr>
            <w:tcW w:w="241" w:type="dxa"/>
            <w:tcBorders/>
            <w:vAlign w:val="center"/>
          </w:tcPr>
          <w:p>
            <w:pPr>
              <w:pStyle w:val="TableContents"/>
              <w:bidi w:val="0"/>
              <w:spacing w:lineRule="auto" w:line="285" w:before="0" w:after="0"/>
              <w:ind w:left="0" w:right="0" w:hanging="0"/>
              <w:jc w:val="left"/>
              <w:rPr/>
            </w:pPr>
            <w:r>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YTD</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12/31/25</w:t>
            </w:r>
          </w:p>
        </w:tc>
        <w:tc>
          <w:tcPr>
            <w:tcW w:w="241" w:type="dxa"/>
            <w:tcBorders/>
            <w:vAlign w:val="center"/>
          </w:tcPr>
          <w:p>
            <w:pPr>
              <w:pStyle w:val="TableContents"/>
              <w:bidi w:val="0"/>
              <w:spacing w:lineRule="auto" w:line="285" w:before="0" w:after="0"/>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12/31/25</w:t>
            </w:r>
          </w:p>
        </w:tc>
        <w:tc>
          <w:tcPr>
            <w:tcW w:w="241" w:type="dxa"/>
            <w:tcBorders/>
            <w:vAlign w:val="center"/>
          </w:tcPr>
          <w:p>
            <w:pPr>
              <w:pStyle w:val="TableContents"/>
              <w:bidi w:val="0"/>
              <w:spacing w:lineRule="auto" w:line="285" w:before="0" w:after="0"/>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09/30/25</w:t>
            </w:r>
          </w:p>
        </w:tc>
        <w:tc>
          <w:tcPr>
            <w:tcW w:w="241" w:type="dxa"/>
            <w:tcBorders/>
            <w:vAlign w:val="center"/>
          </w:tcPr>
          <w:p>
            <w:pPr>
              <w:pStyle w:val="TableContents"/>
              <w:bidi w:val="0"/>
              <w:spacing w:lineRule="auto" w:line="285" w:before="0" w:after="0"/>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09/30/25</w:t>
            </w:r>
          </w:p>
        </w:tc>
        <w:tc>
          <w:tcPr>
            <w:tcW w:w="241" w:type="dxa"/>
            <w:tcBorders/>
            <w:vAlign w:val="center"/>
          </w:tcPr>
          <w:p>
            <w:pPr>
              <w:pStyle w:val="TableContents"/>
              <w:bidi w:val="0"/>
              <w:spacing w:lineRule="auto" w:line="285" w:before="0" w:after="0"/>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06/30/25</w:t>
            </w:r>
          </w:p>
        </w:tc>
        <w:tc>
          <w:tcPr>
            <w:tcW w:w="241" w:type="dxa"/>
            <w:tcBorders/>
            <w:vAlign w:val="center"/>
          </w:tcPr>
          <w:p>
            <w:pPr>
              <w:pStyle w:val="TableContents"/>
              <w:bidi w:val="0"/>
              <w:spacing w:lineRule="auto" w:line="285" w:before="0" w:after="0"/>
              <w:ind w:left="0" w:right="0" w:hanging="0"/>
              <w:jc w:val="left"/>
              <w:rPr/>
            </w:pPr>
            <w:r>
              <w:rPr/>
              <w:t> </w:t>
            </w:r>
          </w:p>
        </w:tc>
        <w:tc>
          <w:tcPr>
            <w:tcW w:w="6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06/30/25</w:t>
            </w:r>
          </w:p>
        </w:tc>
        <w:tc>
          <w:tcPr>
            <w:tcW w:w="241" w:type="dxa"/>
            <w:tcBorders/>
            <w:vAlign w:val="center"/>
          </w:tcPr>
          <w:p>
            <w:pPr>
              <w:pStyle w:val="TableContents"/>
              <w:bidi w:val="0"/>
              <w:spacing w:lineRule="auto" w:line="285" w:before="0" w:after="0"/>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03/31/25</w:t>
            </w:r>
          </w:p>
        </w:tc>
        <w:tc>
          <w:tcPr>
            <w:tcW w:w="286" w:type="dxa"/>
            <w:tcBorders/>
            <w:vAlign w:val="center"/>
          </w:tcPr>
          <w:p>
            <w:pPr>
              <w:pStyle w:val="TableContents"/>
              <w:bidi w:val="0"/>
              <w:spacing w:lineRule="auto" w:line="285" w:before="0" w:after="0"/>
              <w:ind w:left="0" w:right="0" w:hanging="0"/>
              <w:jc w:val="left"/>
              <w:rPr/>
            </w:pPr>
            <w:r>
              <w:rPr/>
              <w:t> </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0"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6"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0"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Contract drilling revenues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3,965</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1,043</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2,922</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1,028</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1,894</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988</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906</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Net income (loss)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(2,915)</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25</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(2,940)</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(1,923)</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(1,017)</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(938)</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(79)</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Interest expense, net of interest income</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515</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163</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352</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142</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210</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102</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108</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Income tax expense (benefit)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(33)</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57</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(90)</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26</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(116)</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(155)</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39</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Depreciation and amortization</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659</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147</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512</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161</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351</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175</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176</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EBITDA</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(1,774)</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392</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(2,166)</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(1,594)</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(572)</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(816)</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244</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0"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6" w:type="dxa"/>
            <w:tcBorders/>
            <w:vAlign w:val="center"/>
          </w:tcPr>
          <w:p>
            <w:pPr>
              <w:pStyle w:val="TableContents"/>
              <w:bidi w:val="0"/>
              <w:spacing w:lineRule="auto" w:line="285" w:before="0" w:after="0"/>
              <w:ind w:left="0" w:right="0" w:hanging="0"/>
              <w:jc w:val="center"/>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60"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Restructuring costs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impairment of assets</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3,049</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3,049</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1,913</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1,136</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1,136</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Gain on disposal of assets, net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Gain on retirement of debt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conversion of debt to equity</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99</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99</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75</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Adjusted EBITDA</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1,370</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0"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385</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985</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397</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588</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344</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60"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244</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Profit (loss) margin</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(73.5)</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(100.6)</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(187.0)</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(53.7)</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(94.9)</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(8.7)</w:t>
            </w:r>
          </w:p>
        </w:tc>
        <w:tc>
          <w:tcPr>
            <w:tcW w:w="2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EBITDA margin</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(44.8)</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37.5</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(74.1)</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(154.9)</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(30.2)</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(82.5)</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26.9</w:t>
            </w:r>
          </w:p>
        </w:tc>
        <w:tc>
          <w:tcPr>
            <w:tcW w:w="2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r>
      <w:tr>
        <w:trPr/>
        <w:tc>
          <w:tcPr>
            <w:tcW w:w="26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Adjusted EBITDA margin</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34.6</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36.8</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33.8</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38.7</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31.1</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34.9</w:t>
            </w:r>
          </w:p>
        </w:tc>
        <w:tc>
          <w:tcPr>
            <w:tcW w:w="24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26.9</w:t>
            </w:r>
          </w:p>
        </w:tc>
        <w:tc>
          <w:tcPr>
            <w:tcW w:w="28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w:t>
            </w:r>
          </w:p>
        </w:tc>
        <w:tc>
          <w:tcPr>
            <w:tcW w:w="185" w:type="dxa"/>
            <w:tcBorders/>
            <w:vAlign w:val="center"/>
          </w:tcPr>
          <w:p>
            <w:pPr>
              <w:pStyle w:val="TableContents"/>
              <w:bidi w:val="0"/>
              <w:spacing w:lineRule="auto" w:line="285" w:before="0" w:after="0"/>
              <w:ind w:left="0" w:right="0" w:hanging="0"/>
              <w:jc w:val="left"/>
              <w:rPr/>
            </w:pPr>
            <w:r>
              <w:rPr/>
              <w:t>​</w:t>
            </w:r>
          </w:p>
        </w:tc>
        <w:tc>
          <w:tcPr>
            <w:tcW w:w="460" w:type="dxa"/>
            <w:tcBorders/>
            <w:vAlign w:val="center"/>
          </w:tcPr>
          <w:p>
            <w:pPr>
              <w:pStyle w:val="TableContents"/>
              <w:bidi w:val="0"/>
              <w:spacing w:lineRule="auto" w:line="285" w:before="0" w:after="0"/>
              <w:ind w:left="0" w:right="0" w:hanging="0"/>
              <w:jc w:val="left"/>
              <w:rPr/>
            </w:pPr>
            <w:r>
              <w:rPr/>
              <w:t>​</w:t>
            </w:r>
          </w:p>
        </w:tc>
        <w:tc>
          <w:tcPr>
            <w:tcW w:w="28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30" w:right="0" w:hanging="0"/>
        <w:jc w:val="center"/>
        <w:rPr/>
      </w:pPr>
      <w:r>
        <w:rPr/>
        <w:t>​</w:t>
      </w:r>
    </w:p>
    <w:p>
      <w:pPr>
        <w:pStyle w:val="TextBody"/>
        <w:bidi w:val="0"/>
        <w:spacing w:lineRule="auto" w:line="285" w:before="0" w:after="0"/>
        <w:ind w:left="3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8512" w:type="dxa"/>
        <w:jc w:val="left"/>
        <w:tblInd w:w="0" w:type="dxa"/>
        <w:tblLayout w:type="fixed"/>
        <w:tblCellMar>
          <w:top w:w="0" w:type="dxa"/>
          <w:left w:w="0" w:type="dxa"/>
          <w:bottom w:w="0" w:type="dxa"/>
          <w:right w:w="0" w:type="dxa"/>
        </w:tblCellMar>
      </w:tblPr>
      <w:tblGrid>
        <w:gridCol w:w="2926"/>
        <w:gridCol w:w="109"/>
        <w:gridCol w:w="181"/>
        <w:gridCol w:w="541"/>
        <w:gridCol w:w="109"/>
        <w:gridCol w:w="181"/>
        <w:gridCol w:w="541"/>
        <w:gridCol w:w="109"/>
        <w:gridCol w:w="194"/>
        <w:gridCol w:w="451"/>
        <w:gridCol w:w="109"/>
        <w:gridCol w:w="194"/>
        <w:gridCol w:w="451"/>
        <w:gridCol w:w="109"/>
        <w:gridCol w:w="194"/>
        <w:gridCol w:w="451"/>
        <w:gridCol w:w="109"/>
        <w:gridCol w:w="221"/>
        <w:gridCol w:w="424"/>
        <w:gridCol w:w="109"/>
        <w:gridCol w:w="194"/>
        <w:gridCol w:w="451"/>
        <w:gridCol w:w="154"/>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58010" cy="175260"/>
                      <wp:effectExtent l="0" t="0" r="0" b="0"/>
                      <wp:wrapNone/>
                      <wp:docPr id="155" name="Frame15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56"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14935" cy="175260"/>
                      <wp:effectExtent l="0" t="0" r="0" b="0"/>
                      <wp:wrapNone/>
                      <wp:docPr id="157" name="Frame15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43535" cy="175260"/>
                      <wp:effectExtent l="0" t="0" r="0" b="0"/>
                      <wp:wrapNone/>
                      <wp:docPr id="158" name="Frame15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59"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14935" cy="175260"/>
                      <wp:effectExtent l="0" t="0" r="0" b="0"/>
                      <wp:wrapNone/>
                      <wp:docPr id="160" name="Frame15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43535" cy="175260"/>
                      <wp:effectExtent l="0" t="0" r="0" b="0"/>
                      <wp:wrapNone/>
                      <wp:docPr id="161" name="Frame15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62"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3190" cy="175260"/>
                      <wp:effectExtent l="0" t="0" r="0" b="0"/>
                      <wp:wrapNone/>
                      <wp:docPr id="163" name="Frame161"/>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86385" cy="175260"/>
                      <wp:effectExtent l="0" t="0" r="0" b="0"/>
                      <wp:wrapNone/>
                      <wp:docPr id="164" name="Frame16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65"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3190" cy="175260"/>
                      <wp:effectExtent l="0" t="0" r="0" b="0"/>
                      <wp:wrapNone/>
                      <wp:docPr id="166" name="Frame164"/>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86385" cy="175260"/>
                      <wp:effectExtent l="0" t="0" r="0" b="0"/>
                      <wp:wrapNone/>
                      <wp:docPr id="167" name="Frame16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68"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3190" cy="175260"/>
                      <wp:effectExtent l="0" t="0" r="0" b="0"/>
                      <wp:wrapNone/>
                      <wp:docPr id="169" name="Frame167"/>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86385" cy="175260"/>
                      <wp:effectExtent l="0" t="0" r="0" b="0"/>
                      <wp:wrapNone/>
                      <wp:docPr id="170" name="Frame16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1"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40335" cy="175260"/>
                      <wp:effectExtent l="0" t="0" r="0" b="0"/>
                      <wp:wrapNone/>
                      <wp:docPr id="172" name="Frame17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69240" cy="175260"/>
                      <wp:effectExtent l="0" t="0" r="0" b="0"/>
                      <wp:wrapNone/>
                      <wp:docPr id="173" name="Frame171"/>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74"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3190" cy="175260"/>
                      <wp:effectExtent l="0" t="0" r="0" b="0"/>
                      <wp:wrapNone/>
                      <wp:docPr id="175" name="Frame173"/>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86385" cy="175260"/>
                      <wp:effectExtent l="0" t="0" r="0" b="0"/>
                      <wp:wrapNone/>
                      <wp:docPr id="176" name="Frame174"/>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7790" cy="175260"/>
                      <wp:effectExtent l="0" t="0" r="0" b="0"/>
                      <wp:wrapNone/>
                      <wp:docPr id="177" name="Frame17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8512" w:type="dxa"/>
            <w:gridSpan w:val="23"/>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Transocean Ltd. and subsidiaries</w:t>
            </w:r>
          </w:p>
        </w:tc>
      </w:tr>
      <w:tr>
        <w:trPr/>
        <w:tc>
          <w:tcPr>
            <w:tcW w:w="8512" w:type="dxa"/>
            <w:gridSpan w:val="23"/>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Non-GAAP Financial Measures and Reconciliations</w:t>
            </w:r>
          </w:p>
        </w:tc>
      </w:tr>
      <w:tr>
        <w:trPr/>
        <w:tc>
          <w:tcPr>
            <w:tcW w:w="8512" w:type="dxa"/>
            <w:gridSpan w:val="23"/>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Free Cash Flow and Levered Free Cash Flow</w:t>
            </w:r>
          </w:p>
        </w:tc>
      </w:tr>
      <w:tr>
        <w:trPr/>
        <w:tc>
          <w:tcPr>
            <w:tcW w:w="8512" w:type="dxa"/>
            <w:gridSpan w:val="23"/>
            <w:tcBorders/>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(in millions)</w:t>
            </w:r>
          </w:p>
        </w:tc>
      </w:tr>
      <w:tr>
        <w:trPr/>
        <w:tc>
          <w:tcPr>
            <w:tcW w:w="29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24"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24"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YTD</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QTD</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YTD</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722"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06/30/26</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06/30/26</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03/31/26</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181"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4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194"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4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4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221"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4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194"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45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Net cash provided by operating activities</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194"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400</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22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24"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236</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94"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164</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Capital expenditures</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(52)</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2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(28)</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Free Cash Flow</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348</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pPr>
            <w:r>
              <w:rPr/>
              <w:t>​</w:t>
            </w:r>
          </w:p>
        </w:tc>
        <w:tc>
          <w:tcPr>
            <w:tcW w:w="424"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212</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136</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pPr>
            <w:r>
              <w:rPr/>
              <w:t>​</w:t>
            </w:r>
          </w:p>
        </w:tc>
        <w:tc>
          <w:tcPr>
            <w:tcW w:w="42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Debt repayments</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(586)</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pPr>
            <w:r>
              <w:rPr/>
              <w:t>​</w:t>
            </w:r>
          </w:p>
        </w:tc>
        <w:tc>
          <w:tcPr>
            <w:tcW w:w="424"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(30)</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(556)</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Debt repayments, paid from debt proceeds</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2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Levered Free Cash Flow</w:t>
            </w:r>
          </w:p>
        </w:tc>
        <w:tc>
          <w:tcPr>
            <w:tcW w:w="109"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left"/>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left"/>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(238)</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24"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182</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(420)</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24"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24"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24"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YTD</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722" w:type="dxa"/>
            <w:gridSpan w:val="2"/>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QTD</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YTD</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QTD</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YTD</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QTD</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YTD</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12/31/25</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7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12/31/25</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09/30/25</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09/30/25</w:t>
            </w:r>
          </w:p>
        </w:tc>
        <w:tc>
          <w:tcPr>
            <w:tcW w:w="109" w:type="dxa"/>
            <w:tcBorders/>
            <w:vAlign w:val="center"/>
          </w:tcPr>
          <w:p>
            <w:pPr>
              <w:pStyle w:val="TableContents"/>
              <w:bidi w:val="0"/>
              <w:spacing w:lineRule="auto" w:line="285" w:before="0" w:after="0"/>
              <w:ind w:left="0" w:right="0" w:hanging="0"/>
              <w:jc w:val="center"/>
              <w:rPr/>
            </w:pPr>
            <w:r>
              <w:rPr/>
              <w:t>​</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06/30/25</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06/30/25</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03/31/25</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181"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4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194"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4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4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221"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4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194"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45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Net cash provided by operating activities</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749</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18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349</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400</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194"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246</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154</w:t>
            </w:r>
          </w:p>
        </w:tc>
        <w:tc>
          <w:tcPr>
            <w:tcW w:w="109"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22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24"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128</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94"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26</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Capital expenditures</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(123)</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(28)</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(95)</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(84)</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2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(60)</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Free Cash Flow</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626</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321</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305</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235</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70</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pPr>
            <w:r>
              <w:rPr/>
              <w:t>​</w:t>
            </w:r>
          </w:p>
        </w:tc>
        <w:tc>
          <w:tcPr>
            <w:tcW w:w="424"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104</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(34)</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pPr>
            <w:r>
              <w:rPr/>
              <w:t>​</w:t>
            </w:r>
          </w:p>
        </w:tc>
        <w:tc>
          <w:tcPr>
            <w:tcW w:w="42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Debt repayments</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(1,556)</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pPr>
            <w:r>
              <w:rPr/>
              <w:t>​</w:t>
            </w:r>
          </w:p>
        </w:tc>
        <w:tc>
          <w:tcPr>
            <w:tcW w:w="54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(1,106)</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(450)</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(210)</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(240)</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pPr>
            <w:r>
              <w:rPr/>
              <w:t>​</w:t>
            </w:r>
          </w:p>
        </w:tc>
        <w:tc>
          <w:tcPr>
            <w:tcW w:w="424"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(30)</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pPr>
            <w:r>
              <w:rPr/>
              <w:t>​</w:t>
            </w:r>
          </w:p>
        </w:tc>
        <w:tc>
          <w:tcPr>
            <w:tcW w:w="4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(210)</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Debt repayments, paid from debt proceeds</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492</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5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492</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2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4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Levered Free Cash Flow</w:t>
            </w:r>
          </w:p>
        </w:tc>
        <w:tc>
          <w:tcPr>
            <w:tcW w:w="109" w:type="dxa"/>
            <w:tcBorders/>
            <w:vAlign w:val="center"/>
          </w:tcPr>
          <w:p>
            <w:pPr>
              <w:pStyle w:val="TableContents"/>
              <w:bidi w:val="0"/>
              <w:spacing w:lineRule="auto" w:line="285" w:before="0" w:after="0"/>
              <w:ind w:left="0" w:right="0" w:hanging="0"/>
              <w:jc w:val="center"/>
              <w:rPr/>
            </w:pPr>
            <w:r>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(438)</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54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(293)</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(145)</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25</w:t>
            </w:r>
          </w:p>
        </w:tc>
        <w:tc>
          <w:tcPr>
            <w:tcW w:w="109" w:type="dxa"/>
            <w:tcBorders/>
            <w:vAlign w:val="center"/>
          </w:tcPr>
          <w:p>
            <w:pPr>
              <w:pStyle w:val="TableContents"/>
              <w:bidi w:val="0"/>
              <w:spacing w:lineRule="auto" w:line="285" w:before="0" w:after="0"/>
              <w:ind w:left="0" w:right="0" w:hanging="0"/>
              <w:jc w:val="center"/>
              <w:rPr/>
            </w:pPr>
            <w:r>
              <w:rPr/>
              <w:t>​</w:t>
            </w:r>
          </w:p>
        </w:tc>
        <w:tc>
          <w:tcPr>
            <w:tcW w:w="194"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(170)</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24"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74</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45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(244)</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24"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54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22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24"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94"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451" w:type="dxa"/>
            <w:tcBorders/>
            <w:vAlign w:val="center"/>
          </w:tcPr>
          <w:p>
            <w:pPr>
              <w:pStyle w:val="TableContents"/>
              <w:bidi w:val="0"/>
              <w:spacing w:lineRule="auto" w:line="285" w:before="0" w:after="0"/>
              <w:ind w:left="0" w:right="0" w:hanging="0"/>
              <w:jc w:val="center"/>
              <w:rPr/>
            </w:pPr>
            <w:r>
              <w:rPr/>
              <w:t>​</w:t>
            </w:r>
          </w:p>
        </w:tc>
        <w:tc>
          <w:tcPr>
            <w:tcW w:w="154" w:type="dxa"/>
            <w:tcBorders/>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6945" w:type="dxa"/>
        <w:jc w:val="left"/>
        <w:tblInd w:w="0" w:type="dxa"/>
        <w:tblLayout w:type="fixed"/>
        <w:tblCellMar>
          <w:top w:w="0" w:type="dxa"/>
          <w:left w:w="0" w:type="dxa"/>
          <w:bottom w:w="0" w:type="dxa"/>
          <w:right w:w="0" w:type="dxa"/>
        </w:tblCellMar>
      </w:tblPr>
      <w:tblGrid>
        <w:gridCol w:w="2611"/>
        <w:gridCol w:w="109"/>
        <w:gridCol w:w="109"/>
        <w:gridCol w:w="109"/>
        <w:gridCol w:w="646"/>
        <w:gridCol w:w="181"/>
        <w:gridCol w:w="109"/>
        <w:gridCol w:w="109"/>
        <w:gridCol w:w="646"/>
        <w:gridCol w:w="181"/>
        <w:gridCol w:w="109"/>
        <w:gridCol w:w="109"/>
        <w:gridCol w:w="646"/>
        <w:gridCol w:w="181"/>
        <w:gridCol w:w="109"/>
        <w:gridCol w:w="109"/>
        <w:gridCol w:w="646"/>
        <w:gridCol w:w="226"/>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657985" cy="175260"/>
                      <wp:effectExtent l="0" t="0" r="0" b="0"/>
                      <wp:wrapNone/>
                      <wp:docPr id="178" name="Frame176"/>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79"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0"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1"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10210" cy="175260"/>
                      <wp:effectExtent l="0" t="0" r="0" b="0"/>
                      <wp:wrapNone/>
                      <wp:docPr id="182" name="Frame18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14935" cy="175260"/>
                      <wp:effectExtent l="0" t="0" r="0" b="0"/>
                      <wp:wrapNone/>
                      <wp:docPr id="183" name="Frame18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84"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85"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10210" cy="175260"/>
                      <wp:effectExtent l="0" t="0" r="0" b="0"/>
                      <wp:wrapNone/>
                      <wp:docPr id="186" name="Frame18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14935" cy="175260"/>
                      <wp:effectExtent l="0" t="0" r="0" b="0"/>
                      <wp:wrapNone/>
                      <wp:docPr id="187" name="Frame18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88"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89"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10210" cy="175260"/>
                      <wp:effectExtent l="0" t="0" r="0" b="0"/>
                      <wp:wrapNone/>
                      <wp:docPr id="190" name="Frame18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14935" cy="175260"/>
                      <wp:effectExtent l="0" t="0" r="0" b="0"/>
                      <wp:wrapNone/>
                      <wp:docPr id="191" name="Frame189"/>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192"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193"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10210" cy="175260"/>
                      <wp:effectExtent l="0" t="0" r="0" b="0"/>
                      <wp:wrapNone/>
                      <wp:docPr id="194" name="Frame19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3510" cy="175260"/>
                      <wp:effectExtent l="0" t="0" r="0" b="0"/>
                      <wp:wrapNone/>
                      <wp:docPr id="195" name="Frame19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945" w:type="dxa"/>
            <w:gridSpan w:val="18"/>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Transocean Ltd. and subsidiaries</w:t>
            </w:r>
          </w:p>
        </w:tc>
      </w:tr>
      <w:tr>
        <w:trPr/>
        <w:tc>
          <w:tcPr>
            <w:tcW w:w="6945" w:type="dxa"/>
            <w:gridSpan w:val="18"/>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Non-GAAP Financial Measures and Reconciliations</w:t>
            </w:r>
          </w:p>
        </w:tc>
      </w:tr>
      <w:tr>
        <w:trPr/>
        <w:tc>
          <w:tcPr>
            <w:tcW w:w="6945" w:type="dxa"/>
            <w:gridSpan w:val="18"/>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Net Debt and Net Debt to EBITDA Ratio</w:t>
            </w:r>
          </w:p>
        </w:tc>
      </w:tr>
      <w:tr>
        <w:trPr/>
        <w:tc>
          <w:tcPr>
            <w:tcW w:w="6945" w:type="dxa"/>
            <w:gridSpan w:val="18"/>
            <w:tcBorders/>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(in millions, except ratios)</w:t>
            </w:r>
          </w:p>
        </w:tc>
      </w:tr>
      <w:tr>
        <w:trPr/>
        <w:tc>
          <w:tcPr>
            <w:tcW w:w="261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06/30/26</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03/31/26</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Debt, total principal amount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$ 5,107</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$ 5,137</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Cash and cash equivalents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(509)</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(330)</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Restricted cash and cash equivalents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(286)</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(285)</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Net Debt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$ 4,312</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$ 4,522</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Adjusted EBITDA, trailing four quarters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$ 1,534</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$ 1,566</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Net Debt to EBITDA Ratio</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2.8</w:t>
            </w:r>
          </w:p>
        </w:tc>
        <w:tc>
          <w:tcPr>
            <w:tcW w:w="181" w:type="dxa"/>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x</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2.9</w:t>
            </w:r>
          </w:p>
        </w:tc>
        <w:tc>
          <w:tcPr>
            <w:tcW w:w="226" w:type="dxa"/>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x</w:t>
            </w:r>
          </w:p>
        </w:tc>
      </w:tr>
      <w:tr>
        <w:trPr/>
        <w:tc>
          <w:tcPr>
            <w:tcW w:w="261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color w:val="FFFFFF"/>
              </w:rPr>
            </w:pPr>
            <w:r>
              <w:rPr>
                <w:color w:val="FFFFFF"/>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12/31/25</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09/30/25</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06/30/25</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03/31/25</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Debt, total principal amount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$ 5,686</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$ 6,297</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$ 6,654</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$ 6,734</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Cash and cash equivalents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(620)</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(833)</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(377)</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(263)</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Restricted cash and cash equivalents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(377)</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(417)</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(395)</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(428)</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Net Debt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$ 4,689</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$ 5,047</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$ 5,882</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$ 6,043</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Adjusted EBITDA, trailing four quarters</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$ 1,370</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$ 1,308</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$ 1,253</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$ 1,193</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center"/>
              <w:rPr/>
            </w:pPr>
            <w:r>
              <w:rPr/>
              <w:t>​</w:t>
            </w:r>
          </w:p>
        </w:tc>
      </w:tr>
      <w:tr>
        <w:trPr/>
        <w:tc>
          <w:tcPr>
            <w:tcW w:w="2611"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Net Debt to EBITDA Ratio</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3.4</w:t>
            </w:r>
          </w:p>
        </w:tc>
        <w:tc>
          <w:tcPr>
            <w:tcW w:w="181" w:type="dxa"/>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x</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3.9</w:t>
            </w:r>
          </w:p>
        </w:tc>
        <w:tc>
          <w:tcPr>
            <w:tcW w:w="181" w:type="dxa"/>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x</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4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4.7</w:t>
            </w:r>
          </w:p>
        </w:tc>
        <w:tc>
          <w:tcPr>
            <w:tcW w:w="181" w:type="dxa"/>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x</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color w:val="FFFFFF"/>
              </w:rPr>
            </w:pPr>
            <w:r>
              <w:rPr>
                <w:color w:val="FFFFFF"/>
              </w:rPr>
              <w:t>​</w:t>
            </w:r>
          </w:p>
        </w:tc>
        <w:tc>
          <w:tcPr>
            <w:tcW w:w="646"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5.1</w:t>
            </w:r>
          </w:p>
        </w:tc>
        <w:tc>
          <w:tcPr>
            <w:tcW w:w="226" w:type="dxa"/>
            <w:tcBorders/>
            <w:vAlign w:val="center"/>
          </w:tcPr>
          <w:p>
            <w:pPr>
              <w:pStyle w:val="TableContents"/>
              <w:bidi w:val="0"/>
              <w:spacing w:lineRule="auto" w:line="285" w:before="0" w:after="0"/>
              <w:ind w:left="0" w:right="0" w:hanging="0"/>
              <w:jc w:val="center"/>
              <w:rPr>
                <w:rFonts w:ascii="Arial Narrow" w:hAnsi="Arial Narrow"/>
                <w:b/>
                <w:sz w:val="18"/>
              </w:rPr>
            </w:pPr>
            <w:r>
              <w:rPr>
                <w:rFonts w:ascii="Arial Narrow" w:hAnsi="Arial Narrow"/>
                <w:b/>
                <w:sz w:val="18"/>
              </w:rPr>
              <w:t>x</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799"/>
        <w:gridCol w:w="156"/>
        <w:gridCol w:w="313"/>
        <w:gridCol w:w="651"/>
        <w:gridCol w:w="498"/>
        <w:gridCol w:w="267"/>
        <w:gridCol w:w="763"/>
        <w:gridCol w:w="498"/>
        <w:gridCol w:w="260"/>
        <w:gridCol w:w="743"/>
        <w:gridCol w:w="498"/>
        <w:gridCol w:w="273"/>
        <w:gridCol w:w="692"/>
        <w:gridCol w:w="498"/>
        <w:gridCol w:w="260"/>
        <w:gridCol w:w="743"/>
        <w:gridCol w:w="293"/>
      </w:tblGrid>
      <w:tr>
        <w:trPr/>
        <w:tc>
          <w:tcPr>
            <w:tcW w:w="2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777365" cy="175260"/>
                      <wp:effectExtent l="0" t="0" r="0" b="0"/>
                      <wp:wrapNone/>
                      <wp:docPr id="196" name="Frame194"/>
                      <a:graphic xmlns:a="http://schemas.openxmlformats.org/drawingml/2006/main">
                        <a:graphicData uri="http://schemas.microsoft.com/office/word/2010/wordprocessingShape">
                          <wps:wsp>
                            <wps:cNvSpPr txBox="1"/>
                            <wps:spPr>
                              <a:xfrm>
                                <a:off x="0" y="0"/>
                                <a:ext cx="1777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9060" cy="175260"/>
                      <wp:effectExtent l="0" t="0" r="0" b="0"/>
                      <wp:wrapNone/>
                      <wp:docPr id="197" name="Frame195"/>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98755" cy="175260"/>
                      <wp:effectExtent l="0" t="0" r="0" b="0"/>
                      <wp:wrapNone/>
                      <wp:docPr id="198" name="Frame196"/>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13385" cy="175260"/>
                      <wp:effectExtent l="0" t="0" r="0" b="0"/>
                      <wp:wrapNone/>
                      <wp:docPr id="199" name="Frame197"/>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16230" cy="175260"/>
                      <wp:effectExtent l="0" t="0" r="0" b="0"/>
                      <wp:wrapNone/>
                      <wp:docPr id="200" name="Frame198"/>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69545" cy="175260"/>
                      <wp:effectExtent l="0" t="0" r="0" b="0"/>
                      <wp:wrapNone/>
                      <wp:docPr id="201" name="Frame19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84505" cy="175260"/>
                      <wp:effectExtent l="0" t="0" r="0" b="0"/>
                      <wp:wrapNone/>
                      <wp:docPr id="202" name="Frame200"/>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16230" cy="175260"/>
                      <wp:effectExtent l="0" t="0" r="0" b="0"/>
                      <wp:wrapNone/>
                      <wp:docPr id="203" name="Frame201"/>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65100" cy="175260"/>
                      <wp:effectExtent l="0" t="0" r="0" b="0"/>
                      <wp:wrapNone/>
                      <wp:docPr id="204" name="Frame20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71805" cy="175260"/>
                      <wp:effectExtent l="0" t="0" r="0" b="0"/>
                      <wp:wrapNone/>
                      <wp:docPr id="205" name="Frame203"/>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16230" cy="175260"/>
                      <wp:effectExtent l="0" t="0" r="0" b="0"/>
                      <wp:wrapNone/>
                      <wp:docPr id="206" name="Frame204"/>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73355" cy="175260"/>
                      <wp:effectExtent l="0" t="0" r="0" b="0"/>
                      <wp:wrapNone/>
                      <wp:docPr id="207" name="Frame205"/>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39420" cy="175260"/>
                      <wp:effectExtent l="0" t="0" r="0" b="0"/>
                      <wp:wrapNone/>
                      <wp:docPr id="208" name="Frame206"/>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16230" cy="175260"/>
                      <wp:effectExtent l="0" t="0" r="0" b="0"/>
                      <wp:wrapNone/>
                      <wp:docPr id="209" name="Frame207"/>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65100" cy="175260"/>
                      <wp:effectExtent l="0" t="0" r="0" b="0"/>
                      <wp:wrapNone/>
                      <wp:docPr id="210" name="Frame20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71805" cy="175260"/>
                      <wp:effectExtent l="0" t="0" r="0" b="0"/>
                      <wp:wrapNone/>
                      <wp:docPr id="211" name="Frame209"/>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86055" cy="175260"/>
                      <wp:effectExtent l="0" t="0" r="0" b="0"/>
                      <wp:wrapNone/>
                      <wp:docPr id="212" name="Frame210"/>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center"/>
              <w:rPr/>
            </w:pPr>
            <w:r>
              <w:rPr/>
              <w:t>​</w:t>
            </w:r>
          </w:p>
        </w:tc>
        <w:tc>
          <w:tcPr>
            <w:tcW w:w="313" w:type="dxa"/>
            <w:tcBorders/>
            <w:vAlign w:val="center"/>
          </w:tcPr>
          <w:p>
            <w:pPr>
              <w:pStyle w:val="TableContents"/>
              <w:bidi w:val="0"/>
              <w:spacing w:lineRule="auto" w:line="285" w:before="0" w:after="0"/>
              <w:ind w:left="0" w:right="0" w:hanging="0"/>
              <w:jc w:val="center"/>
              <w:rPr/>
            </w:pPr>
            <w:r>
              <w:rPr/>
              <w:t>​</w:t>
            </w:r>
          </w:p>
        </w:tc>
        <w:tc>
          <w:tcPr>
            <w:tcW w:w="651"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67" w:type="dxa"/>
            <w:tcBorders/>
            <w:vAlign w:val="center"/>
          </w:tcPr>
          <w:p>
            <w:pPr>
              <w:pStyle w:val="TableContents"/>
              <w:bidi w:val="0"/>
              <w:spacing w:lineRule="auto" w:line="285" w:before="0" w:after="0"/>
              <w:ind w:left="0" w:right="0" w:hanging="0"/>
              <w:jc w:val="center"/>
              <w:rPr/>
            </w:pPr>
            <w:r>
              <w:rPr/>
              <w:t>​</w:t>
            </w:r>
          </w:p>
        </w:tc>
        <w:tc>
          <w:tcPr>
            <w:tcW w:w="763"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60" w:type="dxa"/>
            <w:tcBorders/>
            <w:vAlign w:val="center"/>
          </w:tcPr>
          <w:p>
            <w:pPr>
              <w:pStyle w:val="TableContents"/>
              <w:bidi w:val="0"/>
              <w:spacing w:lineRule="auto" w:line="285" w:before="0" w:after="0"/>
              <w:ind w:left="0" w:right="0" w:hanging="0"/>
              <w:jc w:val="center"/>
              <w:rPr/>
            </w:pPr>
            <w:r>
              <w:rPr/>
              <w:t>​</w:t>
            </w:r>
          </w:p>
        </w:tc>
        <w:tc>
          <w:tcPr>
            <w:tcW w:w="743"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73" w:type="dxa"/>
            <w:tcBorders/>
            <w:vAlign w:val="center"/>
          </w:tcPr>
          <w:p>
            <w:pPr>
              <w:pStyle w:val="TableContents"/>
              <w:bidi w:val="0"/>
              <w:spacing w:lineRule="auto" w:line="285" w:before="0" w:after="0"/>
              <w:ind w:left="0" w:right="0" w:hanging="0"/>
              <w:jc w:val="center"/>
              <w:rPr/>
            </w:pPr>
            <w:r>
              <w:rPr/>
              <w:t>​</w:t>
            </w:r>
          </w:p>
        </w:tc>
        <w:tc>
          <w:tcPr>
            <w:tcW w:w="692"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center"/>
              <w:rPr/>
            </w:pPr>
            <w:r>
              <w:rPr/>
              <w:t>​</w:t>
            </w:r>
          </w:p>
        </w:tc>
      </w:tr>
      <w:tr>
        <w:trPr/>
        <w:tc>
          <w:tcPr>
            <w:tcW w:w="9912" w:type="dxa"/>
            <w:gridSpan w:val="16"/>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Transocean Ltd. and subsidiaries</w:t>
            </w:r>
          </w:p>
        </w:tc>
        <w:tc>
          <w:tcPr>
            <w:tcW w:w="293" w:type="dxa"/>
            <w:tcBorders/>
            <w:vAlign w:val="center"/>
          </w:tcPr>
          <w:p>
            <w:pPr>
              <w:pStyle w:val="TableContents"/>
              <w:bidi w:val="0"/>
              <w:spacing w:lineRule="auto" w:line="285" w:before="0" w:after="0"/>
              <w:ind w:left="0" w:right="0" w:hanging="0"/>
              <w:jc w:val="center"/>
              <w:rPr/>
            </w:pPr>
            <w:r>
              <w:rPr/>
              <w:t>​</w:t>
            </w:r>
          </w:p>
        </w:tc>
      </w:tr>
      <w:tr>
        <w:trPr/>
        <w:tc>
          <w:tcPr>
            <w:tcW w:w="9912" w:type="dxa"/>
            <w:gridSpan w:val="16"/>
            <w:tcBorders/>
            <w:vAlign w:val="center"/>
          </w:tcPr>
          <w:p>
            <w:pPr>
              <w:pStyle w:val="TableContents"/>
              <w:bidi w:val="0"/>
              <w:spacing w:lineRule="auto" w:line="285" w:before="0" w:after="0"/>
              <w:ind w:left="0" w:right="0" w:hanging="0"/>
              <w:jc w:val="center"/>
              <w:rPr>
                <w:rFonts w:ascii="Arial Narrow" w:hAnsi="Arial Narrow"/>
                <w:b/>
                <w:sz w:val="22"/>
              </w:rPr>
            </w:pPr>
            <w:r>
              <w:rPr>
                <w:rFonts w:ascii="Arial Narrow" w:hAnsi="Arial Narrow"/>
                <w:b/>
                <w:sz w:val="22"/>
              </w:rPr>
              <w:t>Supplemental Effective Tax Rate Analysis</w:t>
            </w:r>
          </w:p>
        </w:tc>
        <w:tc>
          <w:tcPr>
            <w:tcW w:w="293" w:type="dxa"/>
            <w:tcBorders/>
            <w:vAlign w:val="center"/>
          </w:tcPr>
          <w:p>
            <w:pPr>
              <w:pStyle w:val="TableContents"/>
              <w:bidi w:val="0"/>
              <w:spacing w:lineRule="auto" w:line="285" w:before="0" w:after="0"/>
              <w:ind w:left="0" w:right="0" w:hanging="0"/>
              <w:jc w:val="center"/>
              <w:rPr/>
            </w:pPr>
            <w:r>
              <w:rPr/>
              <w:t>​</w:t>
            </w:r>
          </w:p>
        </w:tc>
      </w:tr>
      <w:tr>
        <w:trPr/>
        <w:tc>
          <w:tcPr>
            <w:tcW w:w="9912" w:type="dxa"/>
            <w:gridSpan w:val="16"/>
            <w:tcBorders/>
            <w:vAlign w:val="center"/>
          </w:tcPr>
          <w:p>
            <w:pPr>
              <w:pStyle w:val="TableContents"/>
              <w:bidi w:val="0"/>
              <w:spacing w:lineRule="auto" w:line="285" w:before="0" w:after="0"/>
              <w:ind w:left="0" w:right="0" w:hanging="0"/>
              <w:jc w:val="center"/>
              <w:rPr>
                <w:rFonts w:ascii="Arial Narrow" w:hAnsi="Arial Narrow"/>
                <w:sz w:val="20"/>
              </w:rPr>
            </w:pPr>
            <w:r>
              <w:rPr>
                <w:rFonts w:ascii="Arial Narrow" w:hAnsi="Arial Narrow"/>
                <w:sz w:val="20"/>
              </w:rPr>
              <w:t>(in millions, except tax rates)</w:t>
            </w:r>
          </w:p>
        </w:tc>
        <w:tc>
          <w:tcPr>
            <w:tcW w:w="293" w:type="dxa"/>
            <w:tcBorders/>
            <w:vAlign w:val="center"/>
          </w:tcPr>
          <w:p>
            <w:pPr>
              <w:pStyle w:val="TableContents"/>
              <w:bidi w:val="0"/>
              <w:spacing w:lineRule="auto" w:line="285" w:before="0" w:after="0"/>
              <w:ind w:left="0" w:right="0" w:hanging="0"/>
              <w:jc w:val="center"/>
              <w:rPr/>
            </w:pPr>
            <w:r>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center"/>
              <w:rPr/>
            </w:pPr>
            <w:r>
              <w:rPr/>
              <w:t>​</w:t>
            </w:r>
          </w:p>
        </w:tc>
        <w:tc>
          <w:tcPr>
            <w:tcW w:w="313" w:type="dxa"/>
            <w:tcBorders/>
            <w:vAlign w:val="center"/>
          </w:tcPr>
          <w:p>
            <w:pPr>
              <w:pStyle w:val="TableContents"/>
              <w:bidi w:val="0"/>
              <w:spacing w:lineRule="auto" w:line="285" w:before="0" w:after="0"/>
              <w:ind w:left="0" w:right="0" w:hanging="0"/>
              <w:jc w:val="center"/>
              <w:rPr/>
            </w:pPr>
            <w:r>
              <w:rPr/>
              <w:t>​</w:t>
            </w:r>
          </w:p>
        </w:tc>
        <w:tc>
          <w:tcPr>
            <w:tcW w:w="651"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67" w:type="dxa"/>
            <w:tcBorders/>
            <w:vAlign w:val="center"/>
          </w:tcPr>
          <w:p>
            <w:pPr>
              <w:pStyle w:val="TableContents"/>
              <w:bidi w:val="0"/>
              <w:spacing w:lineRule="auto" w:line="285" w:before="0" w:after="0"/>
              <w:ind w:left="0" w:right="0" w:hanging="0"/>
              <w:jc w:val="center"/>
              <w:rPr/>
            </w:pPr>
            <w:r>
              <w:rPr/>
              <w:t>​</w:t>
            </w:r>
          </w:p>
        </w:tc>
        <w:tc>
          <w:tcPr>
            <w:tcW w:w="763"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60" w:type="dxa"/>
            <w:tcBorders/>
            <w:vAlign w:val="center"/>
          </w:tcPr>
          <w:p>
            <w:pPr>
              <w:pStyle w:val="TableContents"/>
              <w:bidi w:val="0"/>
              <w:spacing w:lineRule="auto" w:line="285" w:before="0" w:after="0"/>
              <w:ind w:left="0" w:right="0" w:hanging="0"/>
              <w:jc w:val="center"/>
              <w:rPr/>
            </w:pPr>
            <w:r>
              <w:rPr/>
              <w:t>​</w:t>
            </w:r>
          </w:p>
        </w:tc>
        <w:tc>
          <w:tcPr>
            <w:tcW w:w="743"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73" w:type="dxa"/>
            <w:tcBorders/>
            <w:vAlign w:val="center"/>
          </w:tcPr>
          <w:p>
            <w:pPr>
              <w:pStyle w:val="TableContents"/>
              <w:bidi w:val="0"/>
              <w:spacing w:lineRule="auto" w:line="285" w:before="0" w:after="0"/>
              <w:ind w:left="0" w:right="0" w:hanging="0"/>
              <w:jc w:val="center"/>
              <w:rPr/>
            </w:pPr>
            <w:r>
              <w:rPr/>
              <w:t>​</w:t>
            </w:r>
          </w:p>
        </w:tc>
        <w:tc>
          <w:tcPr>
            <w:tcW w:w="692"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center"/>
              <w:rPr/>
            </w:pPr>
            <w:r>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center"/>
              <w:rPr/>
            </w:pPr>
            <w:r>
              <w:rPr/>
              <w:t>​</w:t>
            </w:r>
          </w:p>
        </w:tc>
        <w:tc>
          <w:tcPr>
            <w:tcW w:w="313" w:type="dxa"/>
            <w:tcBorders/>
            <w:vAlign w:val="center"/>
          </w:tcPr>
          <w:p>
            <w:pPr>
              <w:pStyle w:val="TableContents"/>
              <w:bidi w:val="0"/>
              <w:spacing w:lineRule="auto" w:line="285" w:before="0" w:after="0"/>
              <w:ind w:left="0" w:right="0" w:hanging="0"/>
              <w:jc w:val="center"/>
              <w:rPr/>
            </w:pPr>
            <w:r>
              <w:rPr/>
              <w:t>​</w:t>
            </w:r>
          </w:p>
        </w:tc>
        <w:tc>
          <w:tcPr>
            <w:tcW w:w="651"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67" w:type="dxa"/>
            <w:tcBorders/>
            <w:vAlign w:val="center"/>
          </w:tcPr>
          <w:p>
            <w:pPr>
              <w:pStyle w:val="TableContents"/>
              <w:bidi w:val="0"/>
              <w:spacing w:lineRule="auto" w:line="285" w:before="0" w:after="0"/>
              <w:ind w:left="0" w:right="0" w:hanging="0"/>
              <w:jc w:val="center"/>
              <w:rPr/>
            </w:pPr>
            <w:r>
              <w:rPr/>
              <w:t>​</w:t>
            </w:r>
          </w:p>
        </w:tc>
        <w:tc>
          <w:tcPr>
            <w:tcW w:w="763"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60" w:type="dxa"/>
            <w:tcBorders/>
            <w:vAlign w:val="center"/>
          </w:tcPr>
          <w:p>
            <w:pPr>
              <w:pStyle w:val="TableContents"/>
              <w:bidi w:val="0"/>
              <w:spacing w:lineRule="auto" w:line="285" w:before="0" w:after="0"/>
              <w:ind w:left="0" w:right="0" w:hanging="0"/>
              <w:jc w:val="center"/>
              <w:rPr/>
            </w:pPr>
            <w:r>
              <w:rPr/>
              <w:t>​</w:t>
            </w:r>
          </w:p>
        </w:tc>
        <w:tc>
          <w:tcPr>
            <w:tcW w:w="743"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73" w:type="dxa"/>
            <w:tcBorders/>
            <w:vAlign w:val="center"/>
          </w:tcPr>
          <w:p>
            <w:pPr>
              <w:pStyle w:val="TableContents"/>
              <w:bidi w:val="0"/>
              <w:spacing w:lineRule="auto" w:line="285" w:before="0" w:after="0"/>
              <w:ind w:left="0" w:right="0" w:hanging="0"/>
              <w:jc w:val="center"/>
              <w:rPr/>
            </w:pPr>
            <w:r>
              <w:rPr/>
              <w:t>​</w:t>
            </w:r>
          </w:p>
        </w:tc>
        <w:tc>
          <w:tcPr>
            <w:tcW w:w="692"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center"/>
              <w:rPr/>
            </w:pPr>
            <w:r>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center"/>
              <w:rPr/>
            </w:pPr>
            <w:r>
              <w:rPr/>
              <w:t>​</w:t>
            </w:r>
          </w:p>
        </w:tc>
        <w:tc>
          <w:tcPr>
            <w:tcW w:w="3993"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 xml:space="preserve">Three months ended </w:t>
            </w:r>
          </w:p>
        </w:tc>
        <w:tc>
          <w:tcPr>
            <w:tcW w:w="498" w:type="dxa"/>
            <w:tcBorders/>
            <w:vAlign w:val="center"/>
          </w:tcPr>
          <w:p>
            <w:pPr>
              <w:pStyle w:val="TableContents"/>
              <w:bidi w:val="0"/>
              <w:spacing w:lineRule="auto" w:line="285" w:before="0" w:after="0"/>
              <w:ind w:left="0" w:right="0" w:hanging="0"/>
              <w:jc w:val="center"/>
              <w:rPr/>
            </w:pPr>
            <w:r>
              <w:rPr/>
              <w:t>​</w:t>
            </w:r>
          </w:p>
        </w:tc>
        <w:tc>
          <w:tcPr>
            <w:tcW w:w="2466"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 xml:space="preserve">Six months ended </w:t>
            </w:r>
          </w:p>
        </w:tc>
        <w:tc>
          <w:tcPr>
            <w:tcW w:w="293" w:type="dxa"/>
            <w:tcBorders/>
            <w:vAlign w:val="center"/>
          </w:tcPr>
          <w:p>
            <w:pPr>
              <w:pStyle w:val="TableContents"/>
              <w:bidi w:val="0"/>
              <w:spacing w:lineRule="auto" w:line="285" w:before="0" w:after="0"/>
              <w:ind w:left="0" w:right="0" w:hanging="0"/>
              <w:jc w:val="center"/>
              <w:rPr/>
            </w:pPr>
            <w:r>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center"/>
              <w:rPr/>
            </w:pPr>
            <w:r>
              <w:rPr/>
              <w:t>​</w:t>
            </w:r>
          </w:p>
        </w:tc>
        <w:tc>
          <w:tcPr>
            <w:tcW w:w="964"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498" w:type="dxa"/>
            <w:tcBorders/>
            <w:vAlign w:val="center"/>
          </w:tcPr>
          <w:p>
            <w:pPr>
              <w:pStyle w:val="TableContents"/>
              <w:bidi w:val="0"/>
              <w:spacing w:lineRule="auto" w:line="285" w:before="0" w:after="0"/>
              <w:ind w:left="0" w:right="0" w:hanging="0"/>
              <w:jc w:val="center"/>
              <w:rPr/>
            </w:pPr>
            <w:r>
              <w:rPr/>
              <w:t>  ​ ​ ​</w:t>
            </w:r>
          </w:p>
        </w:tc>
        <w:tc>
          <w:tcPr>
            <w:tcW w:w="1030"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March 31,</w:t>
            </w:r>
          </w:p>
        </w:tc>
        <w:tc>
          <w:tcPr>
            <w:tcW w:w="498" w:type="dxa"/>
            <w:tcBorders/>
            <w:vAlign w:val="center"/>
          </w:tcPr>
          <w:p>
            <w:pPr>
              <w:pStyle w:val="TableContents"/>
              <w:bidi w:val="0"/>
              <w:spacing w:lineRule="auto" w:line="285" w:before="0" w:after="0"/>
              <w:ind w:left="0" w:right="0" w:hanging="0"/>
              <w:jc w:val="center"/>
              <w:rPr/>
            </w:pPr>
            <w:r>
              <w:rPr/>
              <w:t>  ​ ​ ​</w:t>
            </w:r>
          </w:p>
        </w:tc>
        <w:tc>
          <w:tcPr>
            <w:tcW w:w="1003"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498" w:type="dxa"/>
            <w:tcBorders/>
            <w:vAlign w:val="center"/>
          </w:tcPr>
          <w:p>
            <w:pPr>
              <w:pStyle w:val="TableContents"/>
              <w:bidi w:val="0"/>
              <w:spacing w:lineRule="auto" w:line="285" w:before="0" w:after="0"/>
              <w:ind w:left="0" w:right="0" w:hanging="0"/>
              <w:jc w:val="center"/>
              <w:rPr/>
            </w:pPr>
            <w:r>
              <w:rPr/>
              <w:t>​</w:t>
            </w:r>
          </w:p>
        </w:tc>
        <w:tc>
          <w:tcPr>
            <w:tcW w:w="965"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498" w:type="dxa"/>
            <w:tcBorders/>
            <w:vAlign w:val="center"/>
          </w:tcPr>
          <w:p>
            <w:pPr>
              <w:pStyle w:val="TableContents"/>
              <w:bidi w:val="0"/>
              <w:spacing w:lineRule="auto" w:line="285" w:before="0" w:after="0"/>
              <w:ind w:left="0" w:right="0" w:hanging="0"/>
              <w:jc w:val="center"/>
              <w:rPr/>
            </w:pPr>
            <w:r>
              <w:rPr/>
              <w:t>​</w:t>
            </w:r>
          </w:p>
        </w:tc>
        <w:tc>
          <w:tcPr>
            <w:tcW w:w="1003" w:type="dxa"/>
            <w:gridSpan w:val="2"/>
            <w:tcBorders/>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June 30, </w:t>
            </w:r>
          </w:p>
        </w:tc>
        <w:tc>
          <w:tcPr>
            <w:tcW w:w="293" w:type="dxa"/>
            <w:tcBorders/>
            <w:vAlign w:val="center"/>
          </w:tcPr>
          <w:p>
            <w:pPr>
              <w:pStyle w:val="TableContents"/>
              <w:bidi w:val="0"/>
              <w:spacing w:lineRule="auto" w:line="285" w:before="0" w:after="0"/>
              <w:ind w:left="0" w:right="0" w:hanging="0"/>
              <w:jc w:val="center"/>
              <w:rPr/>
            </w:pPr>
            <w:r>
              <w:rPr/>
              <w:t> </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center"/>
              <w:rPr/>
            </w:pPr>
            <w:r>
              <w:rPr/>
              <w:t>​</w:t>
            </w:r>
          </w:p>
        </w:tc>
        <w:tc>
          <w:tcPr>
            <w:tcW w:w="96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498" w:type="dxa"/>
            <w:tcBorders/>
            <w:vAlign w:val="center"/>
          </w:tcPr>
          <w:p>
            <w:pPr>
              <w:pStyle w:val="TableContents"/>
              <w:bidi w:val="0"/>
              <w:spacing w:lineRule="auto" w:line="285" w:before="0" w:after="0"/>
              <w:ind w:left="0" w:right="0" w:hanging="0"/>
              <w:jc w:val="center"/>
              <w:rPr/>
            </w:pPr>
            <w:r>
              <w:rPr/>
              <w:t>  ​ ​ ​</w:t>
            </w:r>
          </w:p>
        </w:tc>
        <w:tc>
          <w:tcPr>
            <w:tcW w:w="10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498" w:type="dxa"/>
            <w:tcBorders/>
            <w:vAlign w:val="center"/>
          </w:tcPr>
          <w:p>
            <w:pPr>
              <w:pStyle w:val="TableContents"/>
              <w:bidi w:val="0"/>
              <w:spacing w:lineRule="auto" w:line="285" w:before="0" w:after="0"/>
              <w:ind w:left="0" w:right="0" w:hanging="0"/>
              <w:jc w:val="center"/>
              <w:rPr/>
            </w:pPr>
            <w:r>
              <w:rPr/>
              <w:t>  ​ ​ ​</w:t>
            </w:r>
          </w:p>
        </w:tc>
        <w:tc>
          <w:tcPr>
            <w:tcW w:w="10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2025</w:t>
            </w:r>
          </w:p>
        </w:tc>
        <w:tc>
          <w:tcPr>
            <w:tcW w:w="498" w:type="dxa"/>
            <w:tcBorders/>
            <w:vAlign w:val="center"/>
          </w:tcPr>
          <w:p>
            <w:pPr>
              <w:pStyle w:val="TableContents"/>
              <w:bidi w:val="0"/>
              <w:spacing w:lineRule="auto" w:line="285" w:before="0" w:after="0"/>
              <w:ind w:left="0" w:right="0" w:hanging="0"/>
              <w:jc w:val="center"/>
              <w:rPr/>
            </w:pPr>
            <w:r>
              <w:rPr/>
              <w:t>  ​ ​ ​</w:t>
            </w:r>
          </w:p>
        </w:tc>
        <w:tc>
          <w:tcPr>
            <w:tcW w:w="96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2026</w:t>
            </w:r>
          </w:p>
        </w:tc>
        <w:tc>
          <w:tcPr>
            <w:tcW w:w="498" w:type="dxa"/>
            <w:tcBorders/>
            <w:vAlign w:val="center"/>
          </w:tcPr>
          <w:p>
            <w:pPr>
              <w:pStyle w:val="TableContents"/>
              <w:bidi w:val="0"/>
              <w:spacing w:lineRule="auto" w:line="285" w:before="0" w:after="0"/>
              <w:ind w:left="0" w:right="0" w:hanging="0"/>
              <w:jc w:val="center"/>
              <w:rPr/>
            </w:pPr>
            <w:r>
              <w:rPr/>
              <w:t>  ​ ​ ​</w:t>
            </w:r>
          </w:p>
        </w:tc>
        <w:tc>
          <w:tcPr>
            <w:tcW w:w="10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 Narrow" w:hAnsi="Arial Narrow"/>
                <w:b/>
                <w:sz w:val="16"/>
              </w:rPr>
            </w:pPr>
            <w:r>
              <w:rPr>
                <w:rFonts w:ascii="Arial Narrow" w:hAnsi="Arial Narrow"/>
                <w:b/>
                <w:sz w:val="16"/>
              </w:rPr>
              <w:t>2025</w:t>
            </w:r>
          </w:p>
        </w:tc>
        <w:tc>
          <w:tcPr>
            <w:tcW w:w="293" w:type="dxa"/>
            <w:tcBorders/>
            <w:vAlign w:val="center"/>
          </w:tcPr>
          <w:p>
            <w:pPr>
              <w:pStyle w:val="TableContents"/>
              <w:bidi w:val="0"/>
              <w:spacing w:lineRule="auto" w:line="285" w:before="0" w:after="0"/>
              <w:ind w:left="0" w:right="0" w:hanging="0"/>
              <w:jc w:val="center"/>
              <w:rPr/>
            </w:pPr>
            <w:r>
              <w:rPr/>
              <w:t> </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center"/>
              <w:rPr/>
            </w:pPr>
            <w:r>
              <w:rPr/>
              <w:t>​</w:t>
            </w:r>
          </w:p>
        </w:tc>
        <w:tc>
          <w:tcPr>
            <w:tcW w:w="313" w:type="dxa"/>
            <w:tcBorders/>
            <w:vAlign w:val="center"/>
          </w:tcPr>
          <w:p>
            <w:pPr>
              <w:pStyle w:val="TableContents"/>
              <w:bidi w:val="0"/>
              <w:spacing w:lineRule="auto" w:line="285" w:before="0" w:after="0"/>
              <w:ind w:left="0" w:right="0" w:hanging="0"/>
              <w:jc w:val="center"/>
              <w:rPr/>
            </w:pPr>
            <w:r>
              <w:rPr/>
              <w:t>​</w:t>
            </w:r>
          </w:p>
        </w:tc>
        <w:tc>
          <w:tcPr>
            <w:tcW w:w="651"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67" w:type="dxa"/>
            <w:tcBorders/>
            <w:vAlign w:val="center"/>
          </w:tcPr>
          <w:p>
            <w:pPr>
              <w:pStyle w:val="TableContents"/>
              <w:bidi w:val="0"/>
              <w:spacing w:lineRule="auto" w:line="285" w:before="0" w:after="0"/>
              <w:ind w:left="0" w:right="0" w:hanging="0"/>
              <w:jc w:val="center"/>
              <w:rPr/>
            </w:pPr>
            <w:r>
              <w:rPr/>
              <w:t>​</w:t>
            </w:r>
          </w:p>
        </w:tc>
        <w:tc>
          <w:tcPr>
            <w:tcW w:w="763"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60" w:type="dxa"/>
            <w:tcBorders/>
            <w:vAlign w:val="center"/>
          </w:tcPr>
          <w:p>
            <w:pPr>
              <w:pStyle w:val="TableContents"/>
              <w:bidi w:val="0"/>
              <w:spacing w:lineRule="auto" w:line="285" w:before="0" w:after="0"/>
              <w:ind w:left="0" w:right="0" w:hanging="0"/>
              <w:jc w:val="center"/>
              <w:rPr/>
            </w:pPr>
            <w:r>
              <w:rPr/>
              <w:t>​</w:t>
            </w:r>
          </w:p>
        </w:tc>
        <w:tc>
          <w:tcPr>
            <w:tcW w:w="743"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73" w:type="dxa"/>
            <w:tcBorders/>
            <w:vAlign w:val="center"/>
          </w:tcPr>
          <w:p>
            <w:pPr>
              <w:pStyle w:val="TableContents"/>
              <w:bidi w:val="0"/>
              <w:spacing w:lineRule="auto" w:line="285" w:before="0" w:after="0"/>
              <w:ind w:left="0" w:right="0" w:hanging="0"/>
              <w:jc w:val="center"/>
              <w:rPr/>
            </w:pPr>
            <w:r>
              <w:rPr/>
              <w:t>​</w:t>
            </w:r>
          </w:p>
        </w:tc>
        <w:tc>
          <w:tcPr>
            <w:tcW w:w="692" w:type="dxa"/>
            <w:tcBorders/>
            <w:vAlign w:val="center"/>
          </w:tcPr>
          <w:p>
            <w:pPr>
              <w:pStyle w:val="TableContents"/>
              <w:bidi w:val="0"/>
              <w:spacing w:lineRule="auto" w:line="285" w:before="0" w:after="0"/>
              <w:ind w:left="0" w:right="0" w:hanging="0"/>
              <w:jc w:val="center"/>
              <w:rPr/>
            </w:pPr>
            <w:r>
              <w:rPr/>
              <w:t>​</w:t>
            </w:r>
          </w:p>
        </w:tc>
        <w:tc>
          <w:tcPr>
            <w:tcW w:w="498" w:type="dxa"/>
            <w:tcBorders/>
            <w:vAlign w:val="center"/>
          </w:tcPr>
          <w:p>
            <w:pPr>
              <w:pStyle w:val="TableContents"/>
              <w:bidi w:val="0"/>
              <w:spacing w:lineRule="auto" w:line="285" w:before="0" w:after="0"/>
              <w:ind w:left="0" w:right="0" w:hanging="0"/>
              <w:jc w:val="center"/>
              <w:rPr/>
            </w:pPr>
            <w:r>
              <w:rPr/>
              <w:t>​</w:t>
            </w:r>
          </w:p>
        </w:tc>
        <w:tc>
          <w:tcPr>
            <w:tcW w:w="260" w:type="dxa"/>
            <w:tcBorders/>
            <w:vAlign w:val="center"/>
          </w:tcPr>
          <w:p>
            <w:pPr>
              <w:pStyle w:val="TableContents"/>
              <w:bidi w:val="0"/>
              <w:spacing w:lineRule="auto" w:line="285" w:before="0" w:after="0"/>
              <w:ind w:left="0" w:right="0" w:hanging="0"/>
              <w:jc w:val="center"/>
              <w:rPr/>
            </w:pPr>
            <w:r>
              <w:rPr/>
              <w:t>​</w:t>
            </w:r>
          </w:p>
        </w:tc>
        <w:tc>
          <w:tcPr>
            <w:tcW w:w="743" w:type="dxa"/>
            <w:tcBorders/>
            <w:vAlign w:val="center"/>
          </w:tcPr>
          <w:p>
            <w:pPr>
              <w:pStyle w:val="TableContents"/>
              <w:bidi w:val="0"/>
              <w:spacing w:lineRule="auto" w:line="285" w:before="0" w:after="0"/>
              <w:ind w:left="0" w:right="0" w:hanging="0"/>
              <w:jc w:val="center"/>
              <w:rPr/>
            </w:pPr>
            <w:r>
              <w:rPr/>
              <w:t>​</w:t>
            </w:r>
          </w:p>
        </w:tc>
        <w:tc>
          <w:tcPr>
            <w:tcW w:w="293" w:type="dxa"/>
            <w:tcBorders/>
            <w:vAlign w:val="center"/>
          </w:tcPr>
          <w:p>
            <w:pPr>
              <w:pStyle w:val="TableContents"/>
              <w:bidi w:val="0"/>
              <w:spacing w:lineRule="auto" w:line="285" w:before="0" w:after="0"/>
              <w:ind w:left="0" w:right="0" w:hanging="0"/>
              <w:jc w:val="center"/>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 xml:space="preserve">Income (loss) before income taxes </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184</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6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17</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4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(1,093)</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92"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201</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4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(1,133)</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Acquisition and restructuring costs</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12</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impairment of assets</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1,136</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1,136</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Gain on disposal of assets, net</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651"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 </w:t>
            </w:r>
          </w:p>
        </w:tc>
        <w:tc>
          <w:tcPr>
            <w:tcW w:w="76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 </w:t>
            </w:r>
          </w:p>
        </w:tc>
        <w:tc>
          <w:tcPr>
            <w:tcW w:w="692"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conversion of debt to equity</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651"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 </w:t>
            </w:r>
          </w:p>
        </w:tc>
        <w:tc>
          <w:tcPr>
            <w:tcW w:w="76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 </w:t>
            </w:r>
          </w:p>
        </w:tc>
        <w:tc>
          <w:tcPr>
            <w:tcW w:w="692"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24</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retirement of debt</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Adjusted income before income taxes</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5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196</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63"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31</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43"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67</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92"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227</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43"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27</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Income tax expense (benefit)</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14</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6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(54)</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4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(155)</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92"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(40)</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4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(116)</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Acquisition and restructuring costs</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651"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 </w:t>
            </w:r>
          </w:p>
        </w:tc>
        <w:tc>
          <w:tcPr>
            <w:tcW w:w="76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 </w:t>
            </w:r>
          </w:p>
        </w:tc>
        <w:tc>
          <w:tcPr>
            <w:tcW w:w="692"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impairment of assets</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651"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 </w:t>
            </w:r>
          </w:p>
        </w:tc>
        <w:tc>
          <w:tcPr>
            <w:tcW w:w="76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8</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 </w:t>
            </w:r>
          </w:p>
        </w:tc>
        <w:tc>
          <w:tcPr>
            <w:tcW w:w="692"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8</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Gain on disposal of assets, net</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651"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 </w:t>
            </w:r>
          </w:p>
        </w:tc>
        <w:tc>
          <w:tcPr>
            <w:tcW w:w="76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 </w:t>
            </w:r>
          </w:p>
        </w:tc>
        <w:tc>
          <w:tcPr>
            <w:tcW w:w="692"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conversion of debt to equity</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651"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 </w:t>
            </w:r>
          </w:p>
        </w:tc>
        <w:tc>
          <w:tcPr>
            <w:tcW w:w="76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 </w:t>
            </w:r>
          </w:p>
        </w:tc>
        <w:tc>
          <w:tcPr>
            <w:tcW w:w="692"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Loss on retirement of debt</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651"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 </w:t>
            </w:r>
          </w:p>
        </w:tc>
        <w:tc>
          <w:tcPr>
            <w:tcW w:w="763"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 </w:t>
            </w:r>
          </w:p>
        </w:tc>
        <w:tc>
          <w:tcPr>
            <w:tcW w:w="692" w:type="dxa"/>
            <w:tcBorders/>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 </w:t>
            </w:r>
          </w:p>
        </w:tc>
        <w:tc>
          <w:tcPr>
            <w:tcW w:w="743" w:type="dxa"/>
            <w:tcBorders/>
            <w:vAlign w:val="center"/>
          </w:tcPr>
          <w:p>
            <w:pPr>
              <w:pStyle w:val="TableContents"/>
              <w:bidi w:val="0"/>
              <w:spacing w:lineRule="auto" w:line="285" w:before="0" w:after="0"/>
              <w:ind w:left="0" w:right="0" w:hanging="0"/>
              <w:jc w:val="righ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8"/>
              </w:rPr>
              <w:t xml:space="preserve">Changes in estimates </w:t>
            </w:r>
            <w:r>
              <w:rPr>
                <w:rFonts w:ascii="Arial Narrow" w:hAnsi="Arial Narrow"/>
                <w:sz w:val="14"/>
              </w:rPr>
              <w:t>(1)</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27</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110</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195</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137</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181</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Adjusted income tax expense</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51"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38</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63"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59</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43"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48</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692"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97</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lineRule="auto" w:line="285" w:before="0" w:after="0"/>
              <w:ind w:left="0" w:right="0" w:hanging="0"/>
              <w:jc w:val="left"/>
              <w:rPr>
                <w:rFonts w:ascii="Arial Narrow" w:hAnsi="Arial Narrow"/>
                <w:sz w:val="18"/>
              </w:rPr>
            </w:pPr>
            <w:r>
              <w:rPr>
                <w:rFonts w:ascii="Arial Narrow" w:hAnsi="Arial Narrow"/>
                <w:sz w:val="18"/>
              </w:rPr>
              <w:t>$</w:t>
            </w:r>
          </w:p>
        </w:tc>
        <w:tc>
          <w:tcPr>
            <w:tcW w:w="743" w:type="dxa"/>
            <w:tcBorders>
              <w:bottom w:val="single" w:sz="12" w:space="0" w:color="000000"/>
            </w:tcBorders>
            <w:tcMar>
              <w:bottom w:w="28" w:type="dxa"/>
            </w:tcMar>
            <w:vAlign w:val="center"/>
          </w:tcPr>
          <w:p>
            <w:pPr>
              <w:pStyle w:val="TableContents"/>
              <w:bidi w:val="0"/>
              <w:spacing w:lineRule="auto" w:line="285" w:before="0" w:after="0"/>
              <w:ind w:left="0" w:right="0" w:hanging="0"/>
              <w:jc w:val="right"/>
              <w:rPr>
                <w:rFonts w:ascii="Arial Narrow" w:hAnsi="Arial Narrow"/>
                <w:sz w:val="18"/>
              </w:rPr>
            </w:pPr>
            <w:r>
              <w:rPr>
                <w:rFonts w:ascii="Arial Narrow" w:hAnsi="Arial Narrow"/>
                <w:sz w:val="18"/>
              </w:rPr>
              <w:t>73</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b/>
                <w:sz w:val="18"/>
              </w:rPr>
              <w:t xml:space="preserve">Effective Tax Rate </w:t>
            </w:r>
            <w:r>
              <w:rPr>
                <w:rFonts w:ascii="Arial Narrow" w:hAnsi="Arial Narrow"/>
                <w:sz w:val="14"/>
              </w:rPr>
              <w:t>(2)</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right"/>
              <w:rPr>
                <w:rFonts w:ascii="Arial Narrow" w:hAnsi="Arial Narrow"/>
                <w:b/>
                <w:sz w:val="18"/>
              </w:rPr>
            </w:pPr>
            <w:r>
              <w:rPr>
                <w:rFonts w:ascii="Arial Narrow" w:hAnsi="Arial Narrow"/>
                <w:b/>
                <w:sz w:val="18"/>
              </w:rPr>
              <w:t>7.8</w:t>
            </w:r>
          </w:p>
        </w:tc>
        <w:tc>
          <w:tcPr>
            <w:tcW w:w="498"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right"/>
              <w:rPr>
                <w:rFonts w:ascii="Arial Narrow" w:hAnsi="Arial Narrow"/>
                <w:b/>
                <w:sz w:val="18"/>
              </w:rPr>
            </w:pPr>
            <w:r>
              <w:rPr>
                <w:rFonts w:ascii="Arial Narrow" w:hAnsi="Arial Narrow"/>
                <w:b/>
                <w:sz w:val="18"/>
              </w:rPr>
              <w:t>(335.3)</w:t>
            </w:r>
          </w:p>
        </w:tc>
        <w:tc>
          <w:tcPr>
            <w:tcW w:w="498"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Arial Narrow" w:hAnsi="Arial Narrow"/>
                <w:b/>
                <w:sz w:val="18"/>
              </w:rPr>
            </w:pPr>
            <w:r>
              <w:rPr>
                <w:rFonts w:ascii="Arial Narrow" w:hAnsi="Arial Narrow"/>
                <w:b/>
                <w:sz w:val="18"/>
              </w:rPr>
              <w:t>14.2</w:t>
            </w:r>
          </w:p>
        </w:tc>
        <w:tc>
          <w:tcPr>
            <w:tcW w:w="498"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 </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right"/>
              <w:rPr>
                <w:rFonts w:ascii="Arial Narrow" w:hAnsi="Arial Narrow"/>
                <w:b/>
                <w:sz w:val="18"/>
              </w:rPr>
            </w:pPr>
            <w:r>
              <w:rPr>
                <w:rFonts w:ascii="Arial Narrow" w:hAnsi="Arial Narrow"/>
                <w:b/>
                <w:sz w:val="18"/>
              </w:rPr>
              <w:t>(19.8)</w:t>
            </w:r>
          </w:p>
        </w:tc>
        <w:tc>
          <w:tcPr>
            <w:tcW w:w="498"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Arial Narrow" w:hAnsi="Arial Narrow"/>
                <w:b/>
                <w:sz w:val="18"/>
              </w:rPr>
            </w:pPr>
            <w:r>
              <w:rPr>
                <w:rFonts w:ascii="Arial Narrow" w:hAnsi="Arial Narrow"/>
                <w:b/>
                <w:sz w:val="18"/>
              </w:rPr>
              <w:t>10.3</w:t>
            </w:r>
          </w:p>
        </w:tc>
        <w:tc>
          <w:tcPr>
            <w:tcW w:w="293"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before="0" w:after="0"/>
              <w:ind w:left="0" w:right="0" w:hanging="0"/>
              <w:jc w:val="left"/>
              <w:rPr>
                <w:rFonts w:ascii="Arial Narrow" w:hAnsi="Arial Narrow"/>
                <w:sz w:val="18"/>
              </w:rPr>
            </w:pPr>
            <w:r>
              <w:rPr>
                <w:rFonts w:ascii="Arial Narrow" w:hAnsi="Arial Narrow"/>
                <w:b/>
                <w:sz w:val="18"/>
              </w:rPr>
              <w:t>Effective Tax Rate, excluding discrete items</w:t>
            </w:r>
            <w:r>
              <w:rPr>
                <w:rFonts w:ascii="Arial Narrow" w:hAnsi="Arial Narrow"/>
                <w:sz w:val="18"/>
              </w:rPr>
              <w:t xml:space="preserve"> </w:t>
            </w:r>
            <w:r>
              <w:rPr>
                <w:rFonts w:ascii="Arial Narrow" w:hAnsi="Arial Narrow"/>
                <w:sz w:val="14"/>
              </w:rPr>
              <w:t>(3)</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right"/>
              <w:rPr>
                <w:rFonts w:ascii="Arial Narrow" w:hAnsi="Arial Narrow"/>
                <w:b/>
                <w:sz w:val="18"/>
              </w:rPr>
            </w:pPr>
            <w:r>
              <w:rPr>
                <w:rFonts w:ascii="Arial Narrow" w:hAnsi="Arial Narrow"/>
                <w:b/>
                <w:sz w:val="18"/>
              </w:rPr>
              <w:t>19.4</w:t>
            </w:r>
          </w:p>
        </w:tc>
        <w:tc>
          <w:tcPr>
            <w:tcW w:w="498"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right"/>
              <w:rPr>
                <w:rFonts w:ascii="Arial Narrow" w:hAnsi="Arial Narrow"/>
                <w:b/>
                <w:sz w:val="18"/>
              </w:rPr>
            </w:pPr>
            <w:r>
              <w:rPr>
                <w:rFonts w:ascii="Arial Narrow" w:hAnsi="Arial Narrow"/>
                <w:b/>
                <w:sz w:val="18"/>
              </w:rPr>
              <w:t>192.0</w:t>
            </w:r>
          </w:p>
        </w:tc>
        <w:tc>
          <w:tcPr>
            <w:tcW w:w="498"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Arial Narrow" w:hAnsi="Arial Narrow"/>
                <w:b/>
                <w:sz w:val="18"/>
              </w:rPr>
            </w:pPr>
            <w:r>
              <w:rPr>
                <w:rFonts w:ascii="Arial Narrow" w:hAnsi="Arial Narrow"/>
                <w:b/>
                <w:sz w:val="18"/>
              </w:rPr>
              <w:t>70.0</w:t>
            </w:r>
          </w:p>
        </w:tc>
        <w:tc>
          <w:tcPr>
            <w:tcW w:w="498"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right"/>
              <w:rPr>
                <w:rFonts w:ascii="Arial Narrow" w:hAnsi="Arial Narrow"/>
                <w:b/>
                <w:sz w:val="18"/>
              </w:rPr>
            </w:pPr>
            <w:r>
              <w:rPr>
                <w:rFonts w:ascii="Arial Narrow" w:hAnsi="Arial Narrow"/>
                <w:b/>
                <w:sz w:val="18"/>
              </w:rPr>
              <w:t>42.8</w:t>
            </w:r>
          </w:p>
        </w:tc>
        <w:tc>
          <w:tcPr>
            <w:tcW w:w="498"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Arial Narrow" w:hAnsi="Arial Narrow"/>
                <w:b/>
                <w:sz w:val="18"/>
              </w:rPr>
            </w:pPr>
            <w:r>
              <w:rPr>
                <w:rFonts w:ascii="Arial Narrow" w:hAnsi="Arial Narrow"/>
                <w:b/>
                <w:sz w:val="18"/>
              </w:rPr>
              <w:t>268.9</w:t>
            </w:r>
          </w:p>
        </w:tc>
        <w:tc>
          <w:tcPr>
            <w:tcW w:w="293" w:type="dxa"/>
            <w:tcBorders/>
            <w:vAlign w:val="center"/>
          </w:tcPr>
          <w:p>
            <w:pPr>
              <w:pStyle w:val="TableContents"/>
              <w:bidi w:val="0"/>
              <w:spacing w:lineRule="auto" w:line="285" w:before="0" w:after="0"/>
              <w:ind w:left="0" w:right="0" w:hanging="0"/>
              <w:jc w:val="left"/>
              <w:rPr>
                <w:rFonts w:ascii="Arial Narrow" w:hAnsi="Arial Narrow"/>
                <w:b/>
                <w:sz w:val="18"/>
              </w:rPr>
            </w:pPr>
            <w:r>
              <w:rPr>
                <w:rFonts w:ascii="Arial Narrow" w:hAnsi="Arial Narrow"/>
                <w:b/>
                <w:sz w:val="18"/>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righ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9912" w:type="dxa"/>
            <w:gridSpan w:val="16"/>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4"/>
              </w:rPr>
              <w:t>(1)</w:t>
            </w:r>
            <w:r>
              <w:rPr>
                <w:rFonts w:ascii="Arial Narrow" w:hAnsi="Arial Narrow"/>
                <w:sz w:val="18"/>
              </w:rPr>
              <w:t xml:space="preserve"> Our estimates change as we file tax returns, settle disputes with tax authorities, or become aware of changes in laws, operational changes and rig movements that have an effect on our (a) deferred taxes, (b) valuation allowances on deferred taxes and (c) other tax liabilities.</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9912" w:type="dxa"/>
            <w:gridSpan w:val="16"/>
            <w:tcBorders/>
            <w:vAlign w:val="center"/>
          </w:tcPr>
          <w:p>
            <w:pPr>
              <w:pStyle w:val="TableContents"/>
              <w:bidi w:val="0"/>
              <w:spacing w:before="0" w:after="0"/>
              <w:ind w:left="0" w:right="0" w:hanging="0"/>
              <w:jc w:val="left"/>
              <w:rPr>
                <w:rFonts w:ascii="Arial Narrow" w:hAnsi="Arial Narrow"/>
                <w:sz w:val="18"/>
              </w:rPr>
            </w:pPr>
            <w:r>
              <w:rPr>
                <w:rFonts w:ascii="Arial Narrow" w:hAnsi="Arial Narrow"/>
                <w:sz w:val="14"/>
              </w:rPr>
              <w:t xml:space="preserve">(2) </w:t>
            </w:r>
            <w:r>
              <w:rPr>
                <w:rFonts w:ascii="Arial Narrow" w:hAnsi="Arial Narrow"/>
                <w:sz w:val="18"/>
              </w:rPr>
              <w:t>Our effective tax rate is calculated as income tax expense or benefit divided by income or loss before income taxes.</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2799" w:type="dxa"/>
            <w:tcBorders/>
            <w:vAlign w:val="center"/>
          </w:tcPr>
          <w:p>
            <w:pPr>
              <w:pStyle w:val="TableContents"/>
              <w:bidi w:val="0"/>
              <w:spacing w:lineRule="auto" w:line="285" w:before="0" w:after="0"/>
              <w:ind w:left="0" w:right="0" w:hanging="0"/>
              <w:jc w:val="left"/>
              <w:rPr/>
            </w:pPr>
            <w:r>
              <w:rPr/>
              <w:t>​</w:t>
            </w:r>
          </w:p>
        </w:tc>
        <w:tc>
          <w:tcPr>
            <w:tcW w:w="156"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651"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76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692"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r>
      <w:tr>
        <w:trPr/>
        <w:tc>
          <w:tcPr>
            <w:tcW w:w="9912" w:type="dxa"/>
            <w:gridSpan w:val="16"/>
            <w:tcBorders/>
            <w:vAlign w:val="center"/>
          </w:tcPr>
          <w:p>
            <w:pPr>
              <w:pStyle w:val="TableContents"/>
              <w:bidi w:val="0"/>
              <w:spacing w:before="0" w:after="0"/>
              <w:ind w:left="0" w:right="0" w:hanging="0"/>
              <w:jc w:val="both"/>
              <w:rPr>
                <w:rFonts w:ascii="Arial Narrow" w:hAnsi="Arial Narrow"/>
                <w:sz w:val="18"/>
              </w:rPr>
            </w:pPr>
            <w:r>
              <w:rPr>
                <w:rFonts w:ascii="Arial Narrow" w:hAnsi="Arial Narrow"/>
                <w:sz w:val="14"/>
              </w:rPr>
              <w:t>(3)</w:t>
            </w:r>
            <w:r>
              <w:rPr>
                <w:rFonts w:ascii="Arial Narrow" w:hAnsi="Arial Narrow"/>
                <w:sz w:val="18"/>
              </w:rPr>
              <w:t xml:space="preserve"> Our effective tax rate, excluding discrete items, is calculated as income tax expense or benefit, excluding various discrete items (such as changes in estimates and tax on items excluded from income or loss before income taxes), divided by income or loss before income taxes, excluding gains and losses on sales and similar items pursuant to the accounting standards for income taxes related to estimating the annual effective tax rate.</w:t>
            </w:r>
          </w:p>
        </w:tc>
        <w:tc>
          <w:tcPr>
            <w:tcW w:w="293"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303" w:right="0" w:hanging="0"/>
        <w:jc w:val="right"/>
        <w:rPr>
          <w:rFonts w:ascii="Arial Narrow" w:hAnsi="Arial Narrow"/>
          <w:sz w:val="20"/>
        </w:rPr>
      </w:pPr>
      <w:bookmarkStart w:id="37" w:name="_Hlk236069175"/>
      <w:bookmarkStart w:id="38" w:name="OLE_LINK1"/>
      <w:bookmarkStart w:id="39" w:name="rig-20260805xex99d2.htm"/>
      <w:bookmarkStart w:id="40" w:name="ksrig20260805xex99d2"/>
      <w:bookmarkEnd w:id="37"/>
      <w:bookmarkEnd w:id="38"/>
      <w:bookmarkEnd w:id="39"/>
      <w:bookmarkEnd w:id="40"/>
      <w:r>
        <w:rPr>
          <w:rFonts w:ascii="Arial Narrow" w:hAnsi="Arial Narrow"/>
          <w:sz w:val="20"/>
        </w:rPr>
        <w:t>EXHIBIT 99.2</w:t>
      </w:r>
      <w:r>
        <w:br w:type="page"/>
      </w:r>
    </w:p>
    <w:p>
      <w:pPr>
        <w:pStyle w:val="TextBody"/>
        <w:bidi w:val="0"/>
        <w:jc w:val="left"/>
        <w:rPr/>
      </w:pPr>
      <w:r>
        <w:rPr/>
        <w:drawing>
          <wp:inline distT="0" distB="0" distL="0" distR="0">
            <wp:extent cx="2688590" cy="612775"/>
            <wp:effectExtent l="0" t="0" r="0" b="0"/>
            <wp:docPr id="2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3" descr=""/>
                    <pic:cNvPicPr>
                      <a:picLocks noChangeAspect="1" noChangeArrowheads="1"/>
                    </pic:cNvPicPr>
                  </pic:nvPicPr>
                  <pic:blipFill>
                    <a:blip r:embed="rId5"/>
                    <a:stretch>
                      <a:fillRect/>
                    </a:stretch>
                  </pic:blipFill>
                  <pic:spPr bwMode="auto">
                    <a:xfrm>
                      <a:off x="0" y="0"/>
                      <a:ext cx="2688590" cy="612775"/>
                    </a:xfrm>
                    <a:prstGeom prst="rect">
                      <a:avLst/>
                    </a:prstGeom>
                  </pic:spPr>
                </pic:pic>
              </a:graphicData>
            </a:graphic>
          </wp:inline>
        </w:drawing>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360"/>
        <w:ind w:left="1022" w:right="1310" w:hanging="0"/>
        <w:jc w:val="center"/>
        <w:rPr>
          <w:rFonts w:ascii="Quantico" w:hAnsi="Quantico"/>
          <w:b/>
          <w:caps/>
          <w:sz w:val="28"/>
        </w:rPr>
      </w:pPr>
      <w:r>
        <w:rPr>
          <w:rFonts w:ascii="Quantico" w:hAnsi="Quantico"/>
          <w:b/>
          <w:caps/>
          <w:sz w:val="28"/>
        </w:rPr>
        <w:t>Transocean Ltd. Provides Quarterly Fleet Status Report</w:t>
      </w:r>
    </w:p>
    <w:p>
      <w:pPr>
        <w:pStyle w:val="TextBody"/>
        <w:bidi w:val="0"/>
        <w:spacing w:lineRule="auto" w:line="285" w:before="60" w:after="180"/>
        <w:ind w:left="0" w:right="0" w:hanging="0"/>
        <w:jc w:val="left"/>
        <w:rPr>
          <w:rFonts w:ascii="Arial Narrow" w:hAnsi="Arial Narrow"/>
          <w:sz w:val="24"/>
        </w:rPr>
      </w:pPr>
      <w:bookmarkStart w:id="41" w:name="_Hlk14176876"/>
      <w:bookmarkEnd w:id="41"/>
      <w:r>
        <w:rPr>
          <w:rFonts w:ascii="Arial Narrow" w:hAnsi="Arial Narrow"/>
          <w:sz w:val="24"/>
        </w:rPr>
        <w:t xml:space="preserve">STEINHAUSEN, Switzerland—August 5, 2026—Transocean Ltd. (NYSE: RIG) </w:t>
      </w:r>
      <w:bookmarkStart w:id="42" w:name="_Hlk171316530"/>
      <w:bookmarkEnd w:id="42"/>
      <w:r>
        <w:rPr>
          <w:rFonts w:ascii="Arial Narrow" w:hAnsi="Arial Narrow"/>
          <w:sz w:val="24"/>
        </w:rPr>
        <w:t>today issued a quarterly Fleet Status Report that provides the current activity and contractual status of the Company’s fleet of offshore drilling rigs.</w:t>
      </w:r>
    </w:p>
    <w:p>
      <w:pPr>
        <w:pStyle w:val="TextBody"/>
        <w:bidi w:val="0"/>
        <w:spacing w:lineRule="auto" w:line="285" w:before="360" w:after="120"/>
        <w:ind w:left="0" w:right="0" w:hanging="0"/>
        <w:jc w:val="left"/>
        <w:rPr>
          <w:rFonts w:ascii="Quantico" w:hAnsi="Quantico"/>
          <w:b/>
          <w:caps/>
          <w:sz w:val="24"/>
        </w:rPr>
      </w:pPr>
      <w:bookmarkStart w:id="43" w:name="_Hlk503436014"/>
      <w:bookmarkEnd w:id="43"/>
      <w:r>
        <w:rPr>
          <w:rFonts w:ascii="Quantico" w:hAnsi="Quantico"/>
          <w:b/>
          <w:caps/>
          <w:sz w:val="24"/>
        </w:rPr>
        <w:t>Updates</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This quarter’s report includes the following updates:</w:t>
      </w:r>
    </w:p>
    <w:tbl>
      <w:tblPr>
        <w:tblW w:w="9303" w:type="dxa"/>
        <w:jc w:val="left"/>
        <w:tblInd w:w="0" w:type="dxa"/>
        <w:tblLayout w:type="fixed"/>
        <w:tblCellMar>
          <w:top w:w="0" w:type="dxa"/>
          <w:left w:w="0" w:type="dxa"/>
          <w:bottom w:w="0" w:type="dxa"/>
          <w:right w:w="0" w:type="dxa"/>
        </w:tblCellMar>
      </w:tblPr>
      <w:tblGrid>
        <w:gridCol w:w="23"/>
        <w:gridCol w:w="200"/>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left"/>
              <w:rPr/>
            </w:pPr>
            <w:bookmarkStart w:id="44" w:name="_Hlk140567435"/>
            <w:bookmarkEnd w:id="44"/>
            <w:r>
              <w:rPr>
                <w:rFonts w:ascii="Arial Narrow" w:hAnsi="Arial Narrow"/>
                <w:b w:val="false"/>
                <w:i/>
                <w:sz w:val="24"/>
              </w:rPr>
              <w:t>Deepwater Conqueror</w:t>
            </w:r>
            <w:r>
              <w:rPr>
                <w:caps w:val="false"/>
                <w:smallCaps w:val="false"/>
              </w:rPr>
              <w:t xml:space="preserve"> – </w:t>
            </w:r>
            <w:r>
              <w:rPr>
                <w:rFonts w:ascii="Arial Narrow" w:hAnsi="Arial Narrow"/>
                <w:b w:val="false"/>
                <w:i w:val="false"/>
                <w:caps w:val="false"/>
                <w:smallCaps w:val="false"/>
                <w:sz w:val="24"/>
              </w:rPr>
              <w:t>Awarded a two-well contract extension by an unnamed operator in the U.S. Gulf.</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pPr>
            <w:r>
              <w:rPr>
                <w:rFonts w:ascii="Arial Narrow" w:hAnsi="Arial Narrow"/>
                <w:b w:val="false"/>
                <w:i/>
                <w:sz w:val="24"/>
              </w:rPr>
              <w:t>Deepwater Proteus</w:t>
            </w:r>
            <w:r>
              <w:rPr>
                <w:caps w:val="false"/>
                <w:smallCaps w:val="false"/>
              </w:rPr>
              <w:t xml:space="preserve"> – </w:t>
            </w:r>
            <w:r>
              <w:rPr>
                <w:rFonts w:ascii="Arial Narrow" w:hAnsi="Arial Narrow"/>
                <w:b w:val="false"/>
                <w:i w:val="false"/>
                <w:caps w:val="false"/>
                <w:smallCaps w:val="false"/>
                <w:sz w:val="24"/>
              </w:rPr>
              <w:t>Awarded a two-well contract with two one-well options by an unnamed operator in the U.S. Gulf.</w:t>
            </w:r>
          </w:p>
        </w:tc>
      </w:tr>
    </w:tbl>
    <w:tbl>
      <w:tblPr>
        <w:tblW w:w="6963" w:type="dxa"/>
        <w:jc w:val="left"/>
        <w:tblInd w:w="0" w:type="dxa"/>
        <w:tblLayout w:type="fixed"/>
        <w:tblCellMar>
          <w:top w:w="0" w:type="dxa"/>
          <w:left w:w="0" w:type="dxa"/>
          <w:bottom w:w="0" w:type="dxa"/>
          <w:right w:w="0" w:type="dxa"/>
        </w:tblCellMar>
      </w:tblPr>
      <w:tblGrid>
        <w:gridCol w:w="23"/>
        <w:gridCol w:w="200"/>
        <w:gridCol w:w="67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left"/>
              <w:rPr/>
            </w:pPr>
            <w:r>
              <w:rPr>
                <w:rFonts w:ascii="Arial Narrow" w:hAnsi="Arial Narrow"/>
                <w:b w:val="false"/>
                <w:i/>
                <w:sz w:val="24"/>
              </w:rPr>
              <w:t>Deepwater Skyros</w:t>
            </w:r>
            <w:r>
              <w:rPr>
                <w:caps w:val="false"/>
                <w:smallCaps w:val="false"/>
              </w:rPr>
              <w:t xml:space="preserve"> – </w:t>
            </w:r>
            <w:r>
              <w:rPr>
                <w:rFonts w:ascii="Arial Narrow" w:hAnsi="Arial Narrow"/>
                <w:b w:val="false"/>
                <w:i w:val="false"/>
                <w:caps w:val="false"/>
                <w:smallCaps w:val="false"/>
                <w:sz w:val="24"/>
              </w:rPr>
              <w:t>Awarded a one-well extension by Murphy in Ivory Coast.</w:t>
            </w:r>
          </w:p>
        </w:tc>
      </w:tr>
    </w:tbl>
    <w:tbl>
      <w:tblPr>
        <w:tblW w:w="9528" w:type="dxa"/>
        <w:jc w:val="left"/>
        <w:tblInd w:w="0" w:type="dxa"/>
        <w:tblLayout w:type="fixed"/>
        <w:tblCellMar>
          <w:top w:w="0" w:type="dxa"/>
          <w:left w:w="0" w:type="dxa"/>
          <w:bottom w:w="0" w:type="dxa"/>
          <w:right w:w="0" w:type="dxa"/>
        </w:tblCellMar>
      </w:tblPr>
      <w:tblGrid>
        <w:gridCol w:w="23"/>
        <w:gridCol w:w="200"/>
        <w:gridCol w:w="93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left"/>
              <w:rPr/>
            </w:pPr>
            <w:r>
              <w:rPr>
                <w:rFonts w:ascii="Arial Narrow" w:hAnsi="Arial Narrow"/>
                <w:b w:val="false"/>
                <w:i/>
                <w:sz w:val="24"/>
              </w:rPr>
              <w:t xml:space="preserve">Transocean Norge </w:t>
            </w:r>
            <w:r>
              <w:rPr>
                <w:caps w:val="false"/>
                <w:smallCaps w:val="false"/>
              </w:rPr>
              <w:t xml:space="preserve">– </w:t>
            </w:r>
            <w:r>
              <w:rPr>
                <w:rFonts w:ascii="Arial Narrow" w:hAnsi="Arial Narrow"/>
                <w:b w:val="false"/>
                <w:i w:val="false"/>
                <w:caps w:val="false"/>
                <w:smallCaps w:val="false"/>
                <w:sz w:val="24"/>
              </w:rPr>
              <w:t>Awarded a five-well contract with three one-well options by Harbour Energy in Norway.</w:t>
            </w:r>
          </w:p>
        </w:tc>
      </w:tr>
    </w:tbl>
    <w:tbl>
      <w:tblPr>
        <w:tblW w:w="8973" w:type="dxa"/>
        <w:jc w:val="left"/>
        <w:tblInd w:w="0" w:type="dxa"/>
        <w:tblLayout w:type="fixed"/>
        <w:tblCellMar>
          <w:top w:w="0" w:type="dxa"/>
          <w:left w:w="0" w:type="dxa"/>
          <w:bottom w:w="0" w:type="dxa"/>
          <w:right w:w="0" w:type="dxa"/>
        </w:tblCellMar>
      </w:tblPr>
      <w:tblGrid>
        <w:gridCol w:w="23"/>
        <w:gridCol w:w="200"/>
        <w:gridCol w:w="87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left"/>
              <w:rPr/>
            </w:pPr>
            <w:r>
              <w:rPr>
                <w:rFonts w:ascii="Arial Narrow" w:hAnsi="Arial Narrow"/>
                <w:b w:val="false"/>
                <w:i/>
                <w:sz w:val="24"/>
              </w:rPr>
              <w:t xml:space="preserve">Transocean Equinox </w:t>
            </w:r>
            <w:r>
              <w:rPr>
                <w:caps w:val="false"/>
                <w:smallCaps w:val="false"/>
              </w:rPr>
              <w:t xml:space="preserve">– </w:t>
            </w:r>
            <w:r>
              <w:rPr>
                <w:rFonts w:ascii="Arial Narrow" w:hAnsi="Arial Narrow"/>
                <w:b w:val="false"/>
                <w:i w:val="false"/>
                <w:caps w:val="false"/>
                <w:smallCaps w:val="false"/>
                <w:sz w:val="24"/>
              </w:rPr>
              <w:t>Awarded a two-well contract with five one-well options by Santos in Australia.</w:t>
            </w:r>
          </w:p>
        </w:tc>
      </w:tr>
    </w:tbl>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The aggregate incremental backlog associated with these firm fixtures is approximately $292 million.</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In addition, Equinor executed an agreement, conditional upon receipt of approvals from license partners, for three harsh environment semisubmersible rigs on the Norwegian shelf:</w:t>
      </w:r>
    </w:p>
    <w:tbl>
      <w:tblPr>
        <w:tblW w:w="8238" w:type="dxa"/>
        <w:jc w:val="left"/>
        <w:tblInd w:w="0" w:type="dxa"/>
        <w:tblLayout w:type="fixed"/>
        <w:tblCellMar>
          <w:top w:w="0" w:type="dxa"/>
          <w:left w:w="0" w:type="dxa"/>
          <w:bottom w:w="0" w:type="dxa"/>
          <w:right w:w="0" w:type="dxa"/>
        </w:tblCellMar>
      </w:tblPr>
      <w:tblGrid>
        <w:gridCol w:w="23"/>
        <w:gridCol w:w="200"/>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left"/>
              <w:rPr/>
            </w:pPr>
            <w:r>
              <w:rPr>
                <w:rFonts w:ascii="Arial Narrow" w:hAnsi="Arial Narrow"/>
                <w:b w:val="false"/>
                <w:i/>
                <w:sz w:val="24"/>
              </w:rPr>
              <w:t>Transocean Enabler</w:t>
            </w:r>
            <w:r>
              <w:rPr>
                <w:caps w:val="false"/>
                <w:smallCaps w:val="false"/>
              </w:rPr>
              <w:t xml:space="preserve"> – </w:t>
            </w:r>
            <w:r>
              <w:rPr>
                <w:rFonts w:ascii="Arial Narrow" w:hAnsi="Arial Narrow"/>
                <w:b w:val="false"/>
                <w:i w:val="false"/>
                <w:caps w:val="false"/>
                <w:smallCaps w:val="false"/>
                <w:sz w:val="24"/>
              </w:rPr>
              <w:t>Three-year program in direct continuation of the rig’s current program.</w:t>
            </w:r>
          </w:p>
        </w:tc>
      </w:tr>
    </w:tbl>
    <w:tbl>
      <w:tblPr>
        <w:tblW w:w="8373" w:type="dxa"/>
        <w:jc w:val="left"/>
        <w:tblInd w:w="0" w:type="dxa"/>
        <w:tblLayout w:type="fixed"/>
        <w:tblCellMar>
          <w:top w:w="0" w:type="dxa"/>
          <w:left w:w="0" w:type="dxa"/>
          <w:bottom w:w="0" w:type="dxa"/>
          <w:right w:w="0" w:type="dxa"/>
        </w:tblCellMar>
      </w:tblPr>
      <w:tblGrid>
        <w:gridCol w:w="23"/>
        <w:gridCol w:w="200"/>
        <w:gridCol w:w="81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left"/>
              <w:rPr/>
            </w:pPr>
            <w:r>
              <w:rPr>
                <w:rFonts w:ascii="Arial Narrow" w:hAnsi="Arial Narrow"/>
                <w:b w:val="false"/>
                <w:i/>
                <w:sz w:val="24"/>
              </w:rPr>
              <w:t>Transocean Encourage</w:t>
            </w:r>
            <w:r>
              <w:rPr>
                <w:caps w:val="false"/>
                <w:smallCaps w:val="false"/>
              </w:rPr>
              <w:t xml:space="preserve"> – </w:t>
            </w:r>
            <w:r>
              <w:rPr>
                <w:rFonts w:ascii="Arial Narrow" w:hAnsi="Arial Narrow"/>
                <w:b w:val="false"/>
                <w:i w:val="false"/>
                <w:caps w:val="false"/>
                <w:smallCaps w:val="false"/>
                <w:sz w:val="24"/>
              </w:rPr>
              <w:t>Two-year program in direct continuation of the rig’s current program.</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pPr>
            <w:r>
              <w:rPr>
                <w:rFonts w:ascii="Arial Narrow" w:hAnsi="Arial Narrow"/>
                <w:b w:val="false"/>
                <w:i/>
                <w:sz w:val="24"/>
              </w:rPr>
              <w:t>Transocean Endurance</w:t>
            </w:r>
            <w:r>
              <w:rPr>
                <w:caps w:val="false"/>
                <w:smallCaps w:val="false"/>
              </w:rPr>
              <w:t xml:space="preserve"> – </w:t>
            </w:r>
            <w:r>
              <w:rPr>
                <w:rFonts w:ascii="Arial Narrow" w:hAnsi="Arial Narrow"/>
                <w:b w:val="false"/>
                <w:i w:val="false"/>
                <w:caps w:val="false"/>
                <w:smallCaps w:val="false"/>
                <w:sz w:val="24"/>
              </w:rPr>
              <w:t>Two-year program after conclusion of her current program and mobilization back to Norway from Australia.</w:t>
            </w:r>
          </w:p>
        </w:tc>
      </w:tr>
    </w:tbl>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 xml:space="preserve">The total value of the Equinor agreement is approximately $1.0 billion. </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As of August 5, 2026, the total backlog is approximately $6.7 billion. This figure excludes $1.0 billion of backlog for work with Equinor, which will be added subject to receipt of approvals from license partners.</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The report can be accessed on the Company’s website: www.deepwater.com.</w:t>
      </w:r>
    </w:p>
    <w:p>
      <w:pPr>
        <w:pStyle w:val="TextBody"/>
        <w:bidi w:val="0"/>
        <w:spacing w:lineRule="auto" w:line="285" w:before="360" w:after="120"/>
        <w:ind w:left="0" w:right="0" w:hanging="0"/>
        <w:jc w:val="left"/>
        <w:rPr>
          <w:rFonts w:ascii="Quantico" w:hAnsi="Quantico"/>
          <w:b/>
          <w:caps/>
          <w:sz w:val="24"/>
        </w:rPr>
      </w:pPr>
      <w:bookmarkStart w:id="45" w:name="_Hlk14176730"/>
      <w:bookmarkEnd w:id="45"/>
      <w:r>
        <w:rPr>
          <w:rFonts w:ascii="Quantico" w:hAnsi="Quantico"/>
          <w:b/>
          <w:caps/>
          <w:sz w:val="24"/>
        </w:rPr>
        <w:t>About Transocean</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Transocean is a leading international provider of offshore contract drilling services for oil and gas wells. The Company specializes in technically demanding sectors of the global offshore drilling business with a particular focus on ultra-deepwater and harsh environment drilling services and operates the highest specification floating offshore drilling fleet in the world.</w:t>
      </w:r>
    </w:p>
    <w:p>
      <w:pPr>
        <w:pStyle w:val="TextBody"/>
        <w:bidi w:val="0"/>
        <w:spacing w:lineRule="auto" w:line="285" w:before="60" w:after="0"/>
        <w:ind w:left="0" w:right="0" w:hanging="0"/>
        <w:jc w:val="left"/>
        <w:rPr>
          <w:rFonts w:ascii="Arial Narrow" w:hAnsi="Arial Narrow"/>
          <w:sz w:val="24"/>
        </w:rPr>
      </w:pPr>
      <w:r>
        <w:rPr>
          <w:rFonts w:ascii="Arial Narrow" w:hAnsi="Arial Narrow"/>
          <w:sz w:val="24"/>
        </w:rPr>
        <w:t xml:space="preserve">Transocean owns or has partial ownership interests in and operates a fleet of 27 mobile offshore drilling units, </w:t>
      </w:r>
    </w:p>
    <w:p>
      <w:pPr>
        <w:pStyle w:val="HorizontalLine"/>
        <w:pBdr>
          <w:bottom w:val="double" w:sz="2" w:space="0" w:color="808080"/>
        </w:pBdr>
        <w:bidi w:val="0"/>
        <w:spacing w:before="0" w:after="283"/>
        <w:jc w:val="left"/>
        <w:rPr/>
      </w:pPr>
      <w:r>
        <w:rPr/>
      </w:r>
    </w:p>
    <w:p>
      <w:pPr>
        <w:pStyle w:val="TextBody"/>
        <w:bidi w:val="0"/>
        <w:spacing w:lineRule="auto" w:line="285" w:before="0" w:after="180"/>
        <w:ind w:left="0" w:right="0" w:hanging="0"/>
        <w:jc w:val="left"/>
        <w:rPr>
          <w:rFonts w:ascii="Arial Narrow" w:hAnsi="Arial Narrow"/>
          <w:sz w:val="24"/>
        </w:rPr>
      </w:pPr>
      <w:r>
        <w:rPr>
          <w:rFonts w:ascii="Arial Narrow" w:hAnsi="Arial Narrow"/>
          <w:sz w:val="24"/>
        </w:rPr>
        <w:t>consisting of 20 ultra-deepwater floaters and seven harsh environment floaters.</w:t>
      </w:r>
    </w:p>
    <w:p>
      <w:pPr>
        <w:pStyle w:val="TextBody"/>
        <w:bidi w:val="0"/>
        <w:spacing w:lineRule="auto" w:line="285" w:before="360" w:after="120"/>
        <w:ind w:left="0" w:right="0" w:hanging="0"/>
        <w:jc w:val="left"/>
        <w:rPr>
          <w:rFonts w:ascii="Quantico" w:hAnsi="Quantico"/>
          <w:b/>
          <w:caps/>
          <w:sz w:val="24"/>
        </w:rPr>
      </w:pPr>
      <w:r>
        <w:rPr>
          <w:rFonts w:ascii="Quantico" w:hAnsi="Quantico"/>
          <w:b/>
          <w:caps/>
          <w:sz w:val="24"/>
        </w:rPr>
        <w:t>Forward-Looking Statements</w:t>
      </w:r>
    </w:p>
    <w:p>
      <w:pPr>
        <w:pStyle w:val="TextBody"/>
        <w:bidi w:val="0"/>
        <w:spacing w:lineRule="auto" w:line="285" w:before="60" w:after="180"/>
        <w:ind w:left="0" w:right="0" w:hanging="0"/>
        <w:jc w:val="left"/>
        <w:rPr/>
      </w:pPr>
      <w:r>
        <w:rPr>
          <w:rFonts w:ascii="Arial Narrow" w:hAnsi="Arial Narrow"/>
          <w:sz w:val="24"/>
        </w:rPr>
        <w:t xml:space="preserve">The statements described herein that are not historical facts are forward-looking statements within the meaning of Section 27A of the Securities Act of 1933, as amended, and Section 21E of the Securities Exchange Act of 1934, as amended. These statements could contain words such as “approximately” or other similar expressions. Forward-looking statements are based on management’s current expectations and assumptions, and are subject to inherent uncertainties, risks and changes in circumstances that are beyond our control, and in many cases, cannot be predicted. Should one or more of these risks or uncertainties materialize, or should underlying assumptions prove incorrect, actual results may vary materially from those indicated. Factors that could cause actual results to differ materially include, but are not limited to, the level of activity in offshore oil and gas exploration and development, exploration success by producers, operating hazards and delays, risks associated with international operations, actions by customers and other third parties, the fluctuation of current and future prices of oil and gas, the global and regional supply and demand for oil and gas, the intention to scrap certain drilling rigs, the effects of the spread of and mitigation efforts by governments, businesses and individuals related to contagious illnesses, and other factors, including our expectations regarding the timing, completion and anticipated benefits of the proposed business combination with Valaris Limited, an exempted company limited by shares incorporated under the laws of Bermuda, and other risks discussed in the Company’s most recent Annual Report on </w:t>
      </w:r>
      <w:hyperlink r:id="rId6">
        <w:r>
          <w:rPr>
            <w:rStyle w:val="InternetLink"/>
            <w:rFonts w:ascii="Arial Narrow" w:hAnsi="Arial Narrow"/>
            <w:b w:val="false"/>
            <w:i w:val="false"/>
            <w:caps w:val="false"/>
            <w:smallCaps w:val="false"/>
            <w:sz w:val="24"/>
          </w:rPr>
          <w:t>Form 10-K for the year ended December 31, 2025</w:t>
        </w:r>
      </w:hyperlink>
      <w:r>
        <w:rPr>
          <w:rFonts w:ascii="Arial Narrow" w:hAnsi="Arial Narrow"/>
          <w:sz w:val="24"/>
        </w:rPr>
        <w:t>, and in the Company’s other filings with the SEC, which are available free of charge on the SEC’s website at: www.sec.gov. All subsequent written and oral forward-looking statements attributable to the Company or to persons acting on our behalf are expressly qualified in their entirety by reference to these risks and uncertainties. You should not place undue reliance on forward-looking statements. Each forward-looking statement speaks only as of the date of the particular statement. We expressly disclaim any obligations or undertaking to release publicly any updates or revisions to any forward-looking statement to reflect any change in our expectations or beliefs with regard to the statement or any change in events, conditions or circumstances on which any forward-looking statement is based, except as required by law. All non-GAAP financial measure reconciliations to the most comparative GAAP measure are displayed in quantitative schedules on the Company’s website at www.deepwater.com.</w:t>
      </w:r>
    </w:p>
    <w:p>
      <w:pPr>
        <w:pStyle w:val="TextBody"/>
        <w:bidi w:val="0"/>
        <w:spacing w:lineRule="auto" w:line="285" w:before="60" w:after="180"/>
        <w:ind w:left="0" w:right="0" w:hanging="0"/>
        <w:jc w:val="left"/>
        <w:rPr>
          <w:rFonts w:ascii="Arial Narrow" w:hAnsi="Arial Narrow"/>
          <w:sz w:val="24"/>
        </w:rPr>
      </w:pPr>
      <w:r>
        <w:rPr>
          <w:rFonts w:ascii="Arial Narrow" w:hAnsi="Arial Narrow"/>
          <w:sz w:val="24"/>
        </w:rPr>
        <w:t>This press release, or referenced documents, do not constitute an offer to sell, or a solicitation of an offer to buy, any securities, and do not constitute an offering prospectus within the meaning of the Swiss Financial Services Act (“FinSA”) or advertising within the meaning of the FinSA. Nothing contained herein is, or shall be relied on as, a promise or representation as to the future performance of Transocean. Investors must rely on their own evaluation of Transocean and its securities, including the merits and risks involved, when making any investment decision involving Transocean securities.</w:t>
      </w:r>
    </w:p>
    <w:p>
      <w:pPr>
        <w:pStyle w:val="TextBody"/>
        <w:bidi w:val="0"/>
        <w:spacing w:lineRule="auto" w:line="285" w:before="360" w:after="120"/>
        <w:ind w:left="0" w:right="0" w:hanging="0"/>
        <w:jc w:val="left"/>
        <w:rPr>
          <w:rFonts w:ascii="Quantico" w:hAnsi="Quantico"/>
          <w:b/>
          <w:caps/>
          <w:sz w:val="24"/>
        </w:rPr>
      </w:pPr>
      <w:r>
        <w:rPr>
          <w:rFonts w:ascii="Quantico" w:hAnsi="Quantico"/>
          <w:b/>
          <w:caps/>
          <w:sz w:val="24"/>
        </w:rPr>
        <w:t>Analyst Contact:</w:t>
      </w:r>
    </w:p>
    <w:p>
      <w:pPr>
        <w:pStyle w:val="TextBody"/>
        <w:bidi w:val="0"/>
        <w:spacing w:lineRule="auto" w:line="285" w:before="0" w:after="0"/>
        <w:ind w:left="0" w:right="786" w:hanging="0"/>
        <w:jc w:val="both"/>
        <w:rPr>
          <w:rFonts w:ascii="Arial Narrow" w:hAnsi="Arial Narrow"/>
          <w:sz w:val="24"/>
        </w:rPr>
      </w:pPr>
      <w:r>
        <w:rPr>
          <w:rFonts w:ascii="Arial Narrow" w:hAnsi="Arial Narrow"/>
          <w:sz w:val="24"/>
        </w:rPr>
        <w:t xml:space="preserve">Sarah Davidson </w:t>
      </w:r>
    </w:p>
    <w:p>
      <w:pPr>
        <w:pStyle w:val="TextBody"/>
        <w:bidi w:val="0"/>
        <w:spacing w:lineRule="auto" w:line="285" w:before="0" w:after="0"/>
        <w:ind w:left="0" w:right="786" w:hanging="0"/>
        <w:jc w:val="both"/>
        <w:rPr>
          <w:rFonts w:ascii="Arial Narrow" w:hAnsi="Arial Narrow"/>
          <w:sz w:val="24"/>
        </w:rPr>
      </w:pPr>
      <w:r>
        <w:rPr>
          <w:rFonts w:ascii="Arial Narrow" w:hAnsi="Arial Narrow"/>
          <w:sz w:val="24"/>
        </w:rPr>
        <w:t>+1 713-232-7217</w:t>
      </w:r>
    </w:p>
    <w:p>
      <w:pPr>
        <w:pStyle w:val="TextBody"/>
        <w:bidi w:val="0"/>
        <w:spacing w:lineRule="auto" w:line="285" w:before="360" w:after="120"/>
        <w:ind w:left="0" w:right="0" w:hanging="0"/>
        <w:jc w:val="left"/>
        <w:rPr>
          <w:rFonts w:ascii="Quantico" w:hAnsi="Quantico"/>
          <w:b/>
          <w:caps/>
          <w:sz w:val="24"/>
        </w:rPr>
      </w:pPr>
      <w:r>
        <w:rPr>
          <w:rFonts w:ascii="Quantico" w:hAnsi="Quantico"/>
          <w:b/>
          <w:caps/>
          <w:sz w:val="24"/>
        </w:rPr>
        <w:t>Media Contact:</w:t>
      </w:r>
    </w:p>
    <w:p>
      <w:pPr>
        <w:pStyle w:val="TextBody"/>
        <w:bidi w:val="0"/>
        <w:spacing w:lineRule="auto" w:line="285" w:before="0" w:after="0"/>
        <w:ind w:left="0" w:right="786" w:hanging="0"/>
        <w:jc w:val="both"/>
        <w:rPr>
          <w:rFonts w:ascii="Arial Narrow" w:hAnsi="Arial Narrow"/>
          <w:sz w:val="24"/>
        </w:rPr>
      </w:pPr>
      <w:r>
        <w:rPr>
          <w:rFonts w:ascii="Arial Narrow" w:hAnsi="Arial Narrow"/>
          <w:sz w:val="24"/>
        </w:rPr>
        <w:t>Kristina Mays</w:t>
      </w:r>
    </w:p>
    <w:p>
      <w:pPr>
        <w:pStyle w:val="TextBody"/>
        <w:bidi w:val="0"/>
        <w:spacing w:lineRule="auto" w:line="285" w:before="0" w:after="0"/>
        <w:ind w:left="0" w:right="786" w:hanging="0"/>
        <w:jc w:val="both"/>
        <w:rPr>
          <w:rFonts w:ascii="Arial Narrow" w:hAnsi="Arial Narrow"/>
          <w:sz w:val="24"/>
        </w:rPr>
      </w:pPr>
      <w:r>
        <w:rPr>
          <w:rFonts w:ascii="Arial Narrow" w:hAnsi="Arial Narrow"/>
          <w:sz w:val="24"/>
        </w:rPr>
        <w:t>+1 713-232-7734</w:t>
      </w:r>
    </w:p>
    <w:p>
      <w:pPr>
        <w:pStyle w:val="TextBody"/>
        <w:bidi w:val="0"/>
        <w:spacing w:lineRule="auto" w:line="285" w:before="280" w:after="0"/>
        <w:ind w:left="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pPr>
      <w:r>
        <w:rPr/>
        <w:t>​</w:t>
      </w:r>
      <w:r>
        <mc:AlternateContent>
          <mc:Choice Requires="wps">
            <w:drawing>
              <wp:anchor behindDoc="0" distT="0" distB="0" distL="114300" distR="0" simplePos="0" locked="0" layoutInCell="1" allowOverlap="1" relativeHeight="4">
                <wp:simplePos x="0" y="0"/>
                <wp:positionH relativeFrom="column">
                  <wp:align>right</wp:align>
                </wp:positionH>
                <wp:positionV relativeFrom="line">
                  <wp:posOffset>635</wp:posOffset>
                </wp:positionV>
                <wp:extent cx="7560310" cy="9972040"/>
                <wp:effectExtent l="0" t="0" r="0" b="0"/>
                <wp:wrapSquare wrapText="left"/>
                <wp:docPr id="214" name="Frame211"/>
                <a:graphic xmlns:a="http://schemas.openxmlformats.org/drawingml/2006/main">
                  <a:graphicData uri="http://schemas.microsoft.com/office/word/2010/wordprocessingShape">
                    <wps:wsp>
                      <wps:cNvSpPr txBox="1"/>
                      <wps:spPr>
                        <a:xfrm>
                          <a:off x="0" y="0"/>
                          <a:ext cx="7560310" cy="9972040"/>
                        </a:xfrm>
                        <a:prstGeom prst="rect"/>
                        <a:solidFill>
                          <a:srgbClr val="FFFFFF"/>
                        </a:solidFill>
                      </wps:spPr>
                      <wps:txbx>
                        <w:txbxContent>
                          <w:p>
                            <w:pPr>
                              <w:pStyle w:val="TextBody"/>
                              <w:bidi w:val="0"/>
                              <w:spacing w:before="0" w:after="0"/>
                              <w:jc w:val="left"/>
                              <w:rPr/>
                            </w:pPr>
                            <w:r>
                              <w:rPr/>
                              <w:drawing>
                                <wp:inline distT="0" distB="0" distL="0" distR="0">
                                  <wp:extent cx="7772400" cy="10058400"/>
                                  <wp:effectExtent l="0" t="0" r="0" b="0"/>
                                  <wp:docPr id="2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4" descr=""/>
                                          <pic:cNvPicPr>
                                            <a:picLocks noChangeAspect="1" noChangeArrowheads="1"/>
                                          </pic:cNvPicPr>
                                        </pic:nvPicPr>
                                        <pic:blipFill>
                                          <a:blip r:embed="rId7"/>
                                          <a:stretch>
                                            <a:fillRect/>
                                          </a:stretch>
                                        </pic:blipFill>
                                        <pic:spPr bwMode="auto">
                                          <a:xfrm>
                                            <a:off x="0" y="0"/>
                                            <a:ext cx="7772400" cy="100584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85.2pt;mso-wrap-distance-left:9pt;mso-wrap-distance-right:0pt;mso-wrap-distance-top:0pt;mso-wrap-distance-bottom:0pt;margin-top:0pt;mso-position-vertical:top;mso-position-vertical-relative:text;margin-left:-56.7pt;mso-position-horizontal:right;mso-position-horizontal-relative:text">
                <v:textbox>
                  <w:txbxContent>
                    <w:p>
                      <w:pPr>
                        <w:pStyle w:val="TextBody"/>
                        <w:bidi w:val="0"/>
                        <w:spacing w:before="0" w:after="0"/>
                        <w:jc w:val="left"/>
                        <w:rPr/>
                      </w:pPr>
                      <w:r>
                        <w:rPr/>
                        <w:drawing>
                          <wp:inline distT="0" distB="0" distL="0" distR="0">
                            <wp:extent cx="7772400" cy="10058400"/>
                            <wp:effectExtent l="0" t="0" r="0" b="0"/>
                            <wp:docPr id="2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4" descr=""/>
                                    <pic:cNvPicPr>
                                      <a:picLocks noChangeAspect="1" noChangeArrowheads="1"/>
                                    </pic:cNvPicPr>
                                  </pic:nvPicPr>
                                  <pic:blipFill>
                                    <a:blip r:embed="rId8"/>
                                    <a:stretch>
                                      <a:fillRect/>
                                    </a:stretch>
                                  </pic:blipFill>
                                  <pic:spPr bwMode="auto">
                                    <a:xfrm>
                                      <a:off x="0" y="0"/>
                                      <a:ext cx="7772400" cy="10058400"/>
                                    </a:xfrm>
                                    <a:prstGeom prst="rect">
                                      <a:avLst/>
                                    </a:prstGeom>
                                  </pic:spPr>
                                </pic:pic>
                              </a:graphicData>
                            </a:graphic>
                          </wp:inline>
                        </w:drawing>
                      </w:r>
                    </w:p>
                  </w:txbxContent>
                </v:textbox>
                <w10:wrap type="square" side="left"/>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drawing>
          <wp:inline distT="0" distB="0" distL="0" distR="0">
            <wp:extent cx="2687955" cy="612140"/>
            <wp:effectExtent l="0" t="0" r="0" b="0"/>
            <wp:docPr id="2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5" descr=""/>
                    <pic:cNvPicPr>
                      <a:picLocks noChangeAspect="1" noChangeArrowheads="1"/>
                    </pic:cNvPicPr>
                  </pic:nvPicPr>
                  <pic:blipFill>
                    <a:blip r:embed="rId9"/>
                    <a:stretch>
                      <a:fillRect/>
                    </a:stretch>
                  </pic:blipFill>
                  <pic:spPr bwMode="auto">
                    <a:xfrm>
                      <a:off x="0" y="0"/>
                      <a:ext cx="2687955" cy="612140"/>
                    </a:xfrm>
                    <a:prstGeom prst="rect">
                      <a:avLst/>
                    </a:prstGeom>
                  </pic:spPr>
                </pic:pic>
              </a:graphicData>
            </a:graphic>
          </wp:inline>
        </w:drawing>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055"/>
        <w:gridCol w:w="991"/>
        <w:gridCol w:w="968"/>
        <w:gridCol w:w="721"/>
        <w:gridCol w:w="820"/>
        <w:gridCol w:w="914"/>
        <w:gridCol w:w="903"/>
        <w:gridCol w:w="901"/>
        <w:gridCol w:w="901"/>
        <w:gridCol w:w="900"/>
        <w:gridCol w:w="1131"/>
      </w:tblGrid>
      <w:tr>
        <w:trPr/>
        <w:tc>
          <w:tcPr>
            <w:tcW w:w="1055"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14680" cy="175260"/>
                      <wp:effectExtent l="0" t="0" r="0" b="0"/>
                      <wp:wrapNone/>
                      <wp:docPr id="218" name="Frame212"/>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57835" cy="175260"/>
                      <wp:effectExtent l="0" t="0" r="0" b="0"/>
                      <wp:wrapNone/>
                      <wp:docPr id="219" name="Frame21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20700" cy="175260"/>
                      <wp:effectExtent l="0" t="0" r="0" b="0"/>
                      <wp:wrapNone/>
                      <wp:docPr id="220" name="Frame214"/>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80390" cy="175260"/>
                      <wp:effectExtent l="0" t="0" r="0" b="0"/>
                      <wp:wrapNone/>
                      <wp:docPr id="221" name="Frame215"/>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73405" cy="175260"/>
                      <wp:effectExtent l="0" t="0" r="0" b="0"/>
                      <wp:wrapNone/>
                      <wp:docPr id="222" name="Frame216"/>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72135" cy="175260"/>
                      <wp:effectExtent l="0" t="0" r="0" b="0"/>
                      <wp:wrapNone/>
                      <wp:docPr id="223" name="Frame21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72135" cy="175260"/>
                      <wp:effectExtent l="0" t="0" r="0" b="0"/>
                      <wp:wrapNone/>
                      <wp:docPr id="224" name="Frame21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71500" cy="175260"/>
                      <wp:effectExtent l="0" t="0" r="0" b="0"/>
                      <wp:wrapNone/>
                      <wp:docPr id="225" name="Frame21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18185" cy="175260"/>
                      <wp:effectExtent l="0" t="0" r="0" b="0"/>
                      <wp:wrapNone/>
                      <wp:docPr id="226" name="Frame220"/>
                      <a:graphic xmlns:a="http://schemas.openxmlformats.org/drawingml/2006/main">
                        <a:graphicData uri="http://schemas.microsoft.com/office/word/2010/wordprocessingShape">
                          <wps:wsp>
                            <wps:cNvSpPr txBox="1"/>
                            <wps:spPr>
                              <a:xfrm>
                                <a:off x="0" y="0"/>
                                <a:ext cx="718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55" w:type="dxa"/>
            <w:tcBorders/>
            <w:shd w:fill="FFFFFF" w:val="cle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Updated: August 5, 2026</w:t>
            </w:r>
          </w:p>
        </w:tc>
        <w:tc>
          <w:tcPr>
            <w:tcW w:w="99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c>
          <w:tcPr>
            <w:tcW w:w="820" w:type="dxa"/>
            <w:tcBorders/>
            <w:vAlign w:val="center"/>
          </w:tcPr>
          <w:p>
            <w:pPr>
              <w:pStyle w:val="TableContents"/>
              <w:bidi w:val="0"/>
              <w:spacing w:lineRule="auto" w:line="285" w:before="0" w:after="0"/>
              <w:ind w:left="0" w:right="0" w:hanging="0"/>
              <w:jc w:val="left"/>
              <w:rPr/>
            </w:pPr>
            <w:r>
              <w:rPr/>
              <w:t>​</w:t>
            </w:r>
          </w:p>
        </w:tc>
        <w:tc>
          <w:tcPr>
            <w:tcW w:w="914" w:type="dxa"/>
            <w:tcBorders/>
            <w:vAlign w:val="center"/>
          </w:tcPr>
          <w:p>
            <w:pPr>
              <w:pStyle w:val="TableContents"/>
              <w:bidi w:val="0"/>
              <w:spacing w:lineRule="auto" w:line="285" w:before="0" w:after="0"/>
              <w:ind w:left="0" w:right="0" w:hanging="0"/>
              <w:jc w:val="left"/>
              <w:rPr>
                <w:color w:val="4472C4"/>
              </w:rPr>
            </w:pPr>
            <w:r>
              <w:rPr>
                <w:color w:val="4472C4"/>
              </w:rPr>
              <w:t>​</w:t>
            </w:r>
          </w:p>
        </w:tc>
        <w:tc>
          <w:tcPr>
            <w:tcW w:w="903" w:type="dxa"/>
            <w:tcBorders/>
            <w:vAlign w:val="center"/>
          </w:tcPr>
          <w:p>
            <w:pPr>
              <w:pStyle w:val="TableContents"/>
              <w:bidi w:val="0"/>
              <w:spacing w:lineRule="auto" w:line="285" w:before="0" w:after="0"/>
              <w:ind w:left="0" w:right="0" w:hanging="0"/>
              <w:jc w:val="left"/>
              <w:rPr>
                <w:color w:val="4472C4"/>
              </w:rPr>
            </w:pPr>
            <w:r>
              <w:rPr>
                <w:color w:val="4472C4"/>
              </w:rPr>
              <w:t>​</w:t>
            </w:r>
          </w:p>
        </w:tc>
        <w:tc>
          <w:tcPr>
            <w:tcW w:w="90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left"/>
              <w:rPr/>
            </w:pPr>
            <w:r>
              <w:rPr/>
              <w:t>​</w:t>
            </w:r>
          </w:p>
        </w:tc>
        <w:tc>
          <w:tcPr>
            <w:tcW w:w="900" w:type="dxa"/>
            <w:tcBorders/>
            <w:vAlign w:val="center"/>
          </w:tcPr>
          <w:p>
            <w:pPr>
              <w:pStyle w:val="TableContents"/>
              <w:bidi w:val="0"/>
              <w:spacing w:lineRule="auto" w:line="285" w:before="0" w:after="0"/>
              <w:ind w:left="0" w:right="0" w:hanging="0"/>
              <w:jc w:val="left"/>
              <w:rPr/>
            </w:pPr>
            <w:r>
              <w:rPr/>
              <w:t>​</w:t>
            </w:r>
          </w:p>
        </w:tc>
        <w:tc>
          <w:tcPr>
            <w:tcW w:w="1131" w:type="dxa"/>
            <w:tcBorders/>
            <w:vAlign w:val="center"/>
          </w:tcPr>
          <w:p>
            <w:pPr>
              <w:pStyle w:val="TableContents"/>
              <w:bidi w:val="0"/>
              <w:spacing w:lineRule="auto" w:line="285" w:before="0" w:after="0"/>
              <w:ind w:left="0" w:right="0" w:hanging="0"/>
              <w:jc w:val="left"/>
              <w:rPr/>
            </w:pPr>
            <w:r>
              <w:rPr/>
              <w:t>​</w:t>
            </w:r>
          </w:p>
        </w:tc>
      </w:tr>
      <w:tr>
        <w:trPr/>
        <w:tc>
          <w:tcPr>
            <w:tcW w:w="10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Significant Updates Noted in Bold</w:t>
            </w:r>
          </w:p>
        </w:tc>
        <w:tc>
          <w:tcPr>
            <w:tcW w:w="9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color w:val="FF0000"/>
              </w:rPr>
            </w:pPr>
            <w:r>
              <w:rPr>
                <w:color w:val="FF0000"/>
              </w:rPr>
              <w:t>​</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1055" w:type="dxa"/>
            <w:tcBorders>
              <w:left w:val="single" w:sz="2" w:space="0" w:color="000000"/>
            </w:tcBorders>
            <w:shd w:fill="003B4C" w:val="clear"/>
            <w:tcMar>
              <w:left w:w="28" w:type="dxa"/>
            </w:tcMar>
            <w:vAlign w:val="center"/>
          </w:tcPr>
          <w:p>
            <w:pPr>
              <w:pStyle w:val="TableContents"/>
              <w:bidi w:val="0"/>
              <w:spacing w:lineRule="auto" w:line="285" w:before="0" w:after="0"/>
              <w:ind w:left="0" w:right="0" w:hanging="0"/>
              <w:jc w:val="left"/>
              <w:rPr>
                <w:color w:val="FFFFFF"/>
              </w:rPr>
            </w:pPr>
            <w:r>
              <w:rPr>
                <w:color w:val="FFFFFF"/>
              </w:rPr>
              <w:t>​</w:t>
            </w:r>
          </w:p>
        </w:tc>
        <w:tc>
          <w:tcPr>
            <w:tcW w:w="991" w:type="dxa"/>
            <w:tcBorders/>
            <w:shd w:fill="003B4C" w:val="clear"/>
            <w:vAlign w:val="center"/>
          </w:tcPr>
          <w:p>
            <w:pPr>
              <w:pStyle w:val="TableContents"/>
              <w:bidi w:val="0"/>
              <w:spacing w:lineRule="auto" w:line="285" w:before="0" w:after="0"/>
              <w:ind w:left="0" w:right="0" w:hanging="0"/>
              <w:jc w:val="left"/>
              <w:rPr>
                <w:color w:val="FFFFFF"/>
              </w:rPr>
            </w:pPr>
            <w:r>
              <w:rPr>
                <w:color w:val="FFFFFF"/>
              </w:rPr>
              <w:t>​</w:t>
            </w:r>
          </w:p>
        </w:tc>
        <w:tc>
          <w:tcPr>
            <w:tcW w:w="968"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Primary</w:t>
            </w:r>
          </w:p>
        </w:tc>
        <w:tc>
          <w:tcPr>
            <w:tcW w:w="721" w:type="dxa"/>
            <w:tcBorders/>
            <w:shd w:fill="003B4C" w:val="clear"/>
            <w:vAlign w:val="center"/>
          </w:tcPr>
          <w:p>
            <w:pPr>
              <w:pStyle w:val="TableContents"/>
              <w:bidi w:val="0"/>
              <w:spacing w:lineRule="auto" w:line="285" w:before="0" w:after="0"/>
              <w:ind w:left="0" w:right="0" w:hanging="0"/>
              <w:jc w:val="center"/>
              <w:rPr>
                <w:color w:val="FFFFFF"/>
              </w:rPr>
            </w:pPr>
            <w:r>
              <w:rPr>
                <w:color w:val="FFFFFF"/>
              </w:rPr>
              <w:t>​</w:t>
            </w:r>
          </w:p>
        </w:tc>
        <w:tc>
          <w:tcPr>
            <w:tcW w:w="820" w:type="dxa"/>
            <w:tcBorders/>
            <w:shd w:fill="003B4C" w:val="clear"/>
            <w:vAlign w:val="center"/>
          </w:tcPr>
          <w:p>
            <w:pPr>
              <w:pStyle w:val="TableContents"/>
              <w:bidi w:val="0"/>
              <w:spacing w:lineRule="auto" w:line="285" w:before="0" w:after="0"/>
              <w:ind w:left="0" w:right="0" w:hanging="0"/>
              <w:jc w:val="left"/>
              <w:rPr>
                <w:color w:val="FFFFFF"/>
              </w:rPr>
            </w:pPr>
            <w:r>
              <w:rPr>
                <w:color w:val="FFFFFF"/>
              </w:rPr>
              <w:t>​</w:t>
            </w:r>
          </w:p>
        </w:tc>
        <w:tc>
          <w:tcPr>
            <w:tcW w:w="914" w:type="dxa"/>
            <w:tcBorders/>
            <w:shd w:fill="003B4C" w:val="clear"/>
            <w:vAlign w:val="center"/>
          </w:tcPr>
          <w:p>
            <w:pPr>
              <w:pStyle w:val="TableContents"/>
              <w:bidi w:val="0"/>
              <w:spacing w:lineRule="auto" w:line="285" w:before="0" w:after="0"/>
              <w:ind w:left="0" w:right="0" w:hanging="0"/>
              <w:jc w:val="left"/>
              <w:rPr>
                <w:color w:val="FFFFFF"/>
              </w:rPr>
            </w:pPr>
            <w:r>
              <w:rPr>
                <w:color w:val="FFFFFF"/>
              </w:rPr>
              <w:t>​</w:t>
            </w:r>
          </w:p>
        </w:tc>
        <w:tc>
          <w:tcPr>
            <w:tcW w:w="903" w:type="dxa"/>
            <w:tcBorders/>
            <w:shd w:fill="003B4C" w:val="clear"/>
            <w:vAlign w:val="center"/>
          </w:tcPr>
          <w:p>
            <w:pPr>
              <w:pStyle w:val="TableContents"/>
              <w:bidi w:val="0"/>
              <w:spacing w:lineRule="auto" w:line="285" w:before="0" w:after="0"/>
              <w:ind w:left="0" w:right="0" w:hanging="0"/>
              <w:jc w:val="left"/>
              <w:rPr>
                <w:color w:val="FFFFFF"/>
              </w:rPr>
            </w:pPr>
            <w:r>
              <w:rPr>
                <w:color w:val="FFFFFF"/>
              </w:rPr>
              <w:t>​</w:t>
            </w:r>
          </w:p>
        </w:tc>
        <w:tc>
          <w:tcPr>
            <w:tcW w:w="901" w:type="dxa"/>
            <w:tcBorders/>
            <w:shd w:fill="003B4C" w:val="clear"/>
            <w:vAlign w:val="center"/>
          </w:tcPr>
          <w:p>
            <w:pPr>
              <w:pStyle w:val="TableContents"/>
              <w:bidi w:val="0"/>
              <w:spacing w:lineRule="auto" w:line="285" w:before="0" w:after="0"/>
              <w:ind w:left="0" w:right="0" w:hanging="0"/>
              <w:jc w:val="center"/>
              <w:rPr>
                <w:color w:val="FFFFFF"/>
              </w:rPr>
            </w:pPr>
            <w:r>
              <w:rPr>
                <w:color w:val="FFFFFF"/>
              </w:rPr>
              <w:t>​</w:t>
            </w:r>
          </w:p>
        </w:tc>
        <w:tc>
          <w:tcPr>
            <w:tcW w:w="901" w:type="dxa"/>
            <w:tcBorders/>
            <w:shd w:fill="003B4C" w:val="clear"/>
            <w:vAlign w:val="center"/>
          </w:tcPr>
          <w:p>
            <w:pPr>
              <w:pStyle w:val="TableContents"/>
              <w:bidi w:val="0"/>
              <w:spacing w:lineRule="auto" w:line="285" w:before="0" w:after="0"/>
              <w:ind w:left="0" w:right="0" w:hanging="0"/>
              <w:jc w:val="center"/>
              <w:rPr>
                <w:color w:val="FFFFFF"/>
              </w:rPr>
            </w:pPr>
            <w:r>
              <w:rPr>
                <w:color w:val="FFFFFF"/>
              </w:rPr>
              <w:t>​</w:t>
            </w:r>
          </w:p>
        </w:tc>
        <w:tc>
          <w:tcPr>
            <w:tcW w:w="900"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Dayrate on</w:t>
            </w:r>
          </w:p>
        </w:tc>
        <w:tc>
          <w:tcPr>
            <w:tcW w:w="1131" w:type="dxa"/>
            <w:tcBorders>
              <w:right w:val="single" w:sz="2" w:space="0" w:color="000000"/>
            </w:tcBorders>
            <w:shd w:fill="003B4C" w:val="clear"/>
            <w:tcMar>
              <w:right w:w="28" w:type="dxa"/>
            </w:tcMar>
            <w:vAlign w:val="center"/>
          </w:tcPr>
          <w:p>
            <w:pPr>
              <w:pStyle w:val="TableContents"/>
              <w:bidi w:val="0"/>
              <w:spacing w:lineRule="auto" w:line="285" w:before="0" w:after="0"/>
              <w:ind w:left="0" w:right="0" w:hanging="0"/>
              <w:jc w:val="left"/>
              <w:rPr>
                <w:color w:val="FFFFFF"/>
              </w:rPr>
            </w:pPr>
            <w:r>
              <w:rPr>
                <w:color w:val="FFFFFF"/>
              </w:rPr>
              <w:t>​</w:t>
            </w:r>
          </w:p>
        </w:tc>
      </w:tr>
      <w:tr>
        <w:trPr/>
        <w:tc>
          <w:tcPr>
            <w:tcW w:w="1055" w:type="dxa"/>
            <w:tcBorders>
              <w:left w:val="single" w:sz="2" w:space="0" w:color="000000"/>
            </w:tcBorders>
            <w:shd w:fill="003B4C" w:val="clear"/>
            <w:tcMar>
              <w:left w:w="28" w:type="dxa"/>
            </w:tcMar>
            <w:vAlign w:val="center"/>
          </w:tcPr>
          <w:p>
            <w:pPr>
              <w:pStyle w:val="TableContents"/>
              <w:bidi w:val="0"/>
              <w:spacing w:lineRule="auto" w:line="285" w:before="0" w:after="0"/>
              <w:ind w:left="0" w:right="0" w:hanging="0"/>
              <w:jc w:val="left"/>
              <w:rPr>
                <w:color w:val="FFFFFF"/>
              </w:rPr>
            </w:pPr>
            <w:r>
              <w:rPr>
                <w:color w:val="FFFFFF"/>
              </w:rPr>
              <w:t>​</w:t>
            </w:r>
          </w:p>
        </w:tc>
        <w:tc>
          <w:tcPr>
            <w:tcW w:w="991" w:type="dxa"/>
            <w:tcBorders/>
            <w:shd w:fill="003B4C" w:val="clear"/>
            <w:vAlign w:val="center"/>
          </w:tcPr>
          <w:p>
            <w:pPr>
              <w:pStyle w:val="TableContents"/>
              <w:bidi w:val="0"/>
              <w:spacing w:lineRule="auto" w:line="285" w:before="0" w:after="0"/>
              <w:ind w:left="0" w:right="0" w:hanging="0"/>
              <w:jc w:val="center"/>
              <w:rPr>
                <w:color w:val="FFFFFF"/>
              </w:rPr>
            </w:pPr>
            <w:r>
              <w:rPr>
                <w:color w:val="FFFFFF"/>
              </w:rPr>
              <w:t>​</w:t>
            </w:r>
          </w:p>
        </w:tc>
        <w:tc>
          <w:tcPr>
            <w:tcW w:w="968"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Hookload</w:t>
            </w:r>
          </w:p>
        </w:tc>
        <w:tc>
          <w:tcPr>
            <w:tcW w:w="721"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Yr.</w:t>
            </w:r>
          </w:p>
        </w:tc>
        <w:tc>
          <w:tcPr>
            <w:tcW w:w="820" w:type="dxa"/>
            <w:tcBorders/>
            <w:shd w:fill="003B4C" w:val="clear"/>
            <w:vAlign w:val="center"/>
          </w:tcPr>
          <w:p>
            <w:pPr>
              <w:pStyle w:val="TableContents"/>
              <w:bidi w:val="0"/>
              <w:spacing w:lineRule="auto" w:line="285" w:before="0" w:after="0"/>
              <w:ind w:left="0" w:right="0" w:hanging="0"/>
              <w:jc w:val="left"/>
              <w:rPr>
                <w:color w:val="FFFFFF"/>
              </w:rPr>
            </w:pPr>
            <w:r>
              <w:rPr>
                <w:color w:val="FFFFFF"/>
              </w:rPr>
              <w:t>​</w:t>
            </w:r>
          </w:p>
        </w:tc>
        <w:tc>
          <w:tcPr>
            <w:tcW w:w="914" w:type="dxa"/>
            <w:tcBorders/>
            <w:shd w:fill="003B4C" w:val="clear"/>
            <w:vAlign w:val="center"/>
          </w:tcPr>
          <w:p>
            <w:pPr>
              <w:pStyle w:val="TableContents"/>
              <w:bidi w:val="0"/>
              <w:spacing w:lineRule="auto" w:line="285" w:before="0" w:after="0"/>
              <w:ind w:left="0" w:right="0" w:hanging="0"/>
              <w:jc w:val="left"/>
              <w:rPr>
                <w:color w:val="FFFFFF"/>
              </w:rPr>
            </w:pPr>
            <w:r>
              <w:rPr>
                <w:color w:val="FFFFFF"/>
              </w:rPr>
              <w:t>​</w:t>
            </w:r>
          </w:p>
        </w:tc>
        <w:tc>
          <w:tcPr>
            <w:tcW w:w="903" w:type="dxa"/>
            <w:tcBorders/>
            <w:shd w:fill="003B4C" w:val="clear"/>
            <w:vAlign w:val="center"/>
          </w:tcPr>
          <w:p>
            <w:pPr>
              <w:pStyle w:val="TableContents"/>
              <w:bidi w:val="0"/>
              <w:spacing w:lineRule="auto" w:line="285" w:before="0" w:after="0"/>
              <w:ind w:left="0" w:right="0" w:hanging="0"/>
              <w:jc w:val="left"/>
              <w:rPr>
                <w:color w:val="FFFFFF"/>
              </w:rPr>
            </w:pPr>
            <w:r>
              <w:rPr>
                <w:color w:val="FFFFFF"/>
              </w:rPr>
              <w:t>​</w:t>
            </w:r>
          </w:p>
        </w:tc>
        <w:tc>
          <w:tcPr>
            <w:tcW w:w="901"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Estimated</w:t>
            </w:r>
          </w:p>
        </w:tc>
        <w:tc>
          <w:tcPr>
            <w:tcW w:w="901"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Estimated</w:t>
            </w:r>
          </w:p>
        </w:tc>
        <w:tc>
          <w:tcPr>
            <w:tcW w:w="900"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Current</w:t>
            </w:r>
          </w:p>
        </w:tc>
        <w:tc>
          <w:tcPr>
            <w:tcW w:w="1131" w:type="dxa"/>
            <w:tcBorders>
              <w:right w:val="single" w:sz="2" w:space="0" w:color="000000"/>
            </w:tcBorders>
            <w:shd w:fill="003B4C" w:val="clear"/>
            <w:tcMar>
              <w:right w:w="28" w:type="dxa"/>
            </w:tcMar>
            <w:vAlign w:val="center"/>
          </w:tcPr>
          <w:p>
            <w:pPr>
              <w:pStyle w:val="TableContents"/>
              <w:bidi w:val="0"/>
              <w:spacing w:lineRule="auto" w:line="285" w:before="0" w:after="0"/>
              <w:ind w:left="0" w:right="0" w:hanging="0"/>
              <w:jc w:val="center"/>
              <w:rPr>
                <w:color w:val="000000"/>
              </w:rPr>
            </w:pPr>
            <w:r>
              <w:rPr>
                <w:color w:val="000000"/>
              </w:rPr>
              <w:t>​</w:t>
            </w:r>
          </w:p>
        </w:tc>
      </w:tr>
      <w:tr>
        <w:trPr/>
        <w:tc>
          <w:tcPr>
            <w:tcW w:w="1055" w:type="dxa"/>
            <w:tcBorders>
              <w:left w:val="single" w:sz="2" w:space="0" w:color="000000"/>
            </w:tcBorders>
            <w:shd w:fill="003B4C" w:val="clear"/>
            <w:tcMar>
              <w:left w:w="28" w:type="dxa"/>
            </w:tcMar>
            <w:vAlign w:val="center"/>
          </w:tcPr>
          <w:p>
            <w:pPr>
              <w:pStyle w:val="TableContents"/>
              <w:bidi w:val="0"/>
              <w:spacing w:lineRule="auto" w:line="285" w:before="0" w:after="0"/>
              <w:ind w:left="0" w:right="0" w:hanging="0"/>
              <w:jc w:val="left"/>
              <w:rPr>
                <w:color w:val="FFFFFF"/>
              </w:rPr>
            </w:pPr>
            <w:r>
              <w:rPr>
                <w:color w:val="FFFFFF"/>
              </w:rPr>
              <w:t>​</w:t>
            </w:r>
          </w:p>
        </w:tc>
        <w:tc>
          <w:tcPr>
            <w:tcW w:w="991"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 xml:space="preserve">Footnote </w:t>
            </w:r>
          </w:p>
        </w:tc>
        <w:tc>
          <w:tcPr>
            <w:tcW w:w="968"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Capacity</w:t>
            </w:r>
          </w:p>
        </w:tc>
        <w:tc>
          <w:tcPr>
            <w:tcW w:w="721"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Entered</w:t>
            </w:r>
          </w:p>
        </w:tc>
        <w:tc>
          <w:tcPr>
            <w:tcW w:w="820" w:type="dxa"/>
            <w:tcBorders/>
            <w:shd w:fill="003B4C" w:val="clear"/>
            <w:vAlign w:val="center"/>
          </w:tcPr>
          <w:p>
            <w:pPr>
              <w:pStyle w:val="TableContents"/>
              <w:bidi w:val="0"/>
              <w:spacing w:lineRule="auto" w:line="285" w:before="0" w:after="0"/>
              <w:ind w:left="0" w:right="0" w:hanging="0"/>
              <w:jc w:val="left"/>
              <w:rPr>
                <w:color w:val="FFFFFF"/>
              </w:rPr>
            </w:pPr>
            <w:r>
              <w:rPr>
                <w:color w:val="FFFFFF"/>
              </w:rPr>
              <w:t>​</w:t>
            </w:r>
          </w:p>
        </w:tc>
        <w:tc>
          <w:tcPr>
            <w:tcW w:w="914" w:type="dxa"/>
            <w:tcBorders/>
            <w:shd w:fill="003B4C" w:val="clear"/>
            <w:vAlign w:val="center"/>
          </w:tcPr>
          <w:p>
            <w:pPr>
              <w:pStyle w:val="TableContents"/>
              <w:bidi w:val="0"/>
              <w:spacing w:lineRule="auto" w:line="285" w:before="0" w:after="0"/>
              <w:ind w:left="0" w:right="0" w:hanging="0"/>
              <w:jc w:val="left"/>
              <w:rPr>
                <w:color w:val="FFFFFF"/>
              </w:rPr>
            </w:pPr>
            <w:r>
              <w:rPr>
                <w:color w:val="FFFFFF"/>
              </w:rPr>
              <w:t>​</w:t>
            </w:r>
          </w:p>
        </w:tc>
        <w:tc>
          <w:tcPr>
            <w:tcW w:w="903" w:type="dxa"/>
            <w:tcBorders/>
            <w:shd w:fill="003B4C" w:val="clear"/>
            <w:vAlign w:val="center"/>
          </w:tcPr>
          <w:p>
            <w:pPr>
              <w:pStyle w:val="TableContents"/>
              <w:bidi w:val="0"/>
              <w:spacing w:lineRule="auto" w:line="285" w:before="0" w:after="0"/>
              <w:ind w:left="0" w:right="0" w:hanging="0"/>
              <w:jc w:val="left"/>
              <w:rPr>
                <w:color w:val="FFFFFF"/>
              </w:rPr>
            </w:pPr>
            <w:r>
              <w:rPr>
                <w:color w:val="FFFFFF"/>
              </w:rPr>
              <w:t>​</w:t>
            </w:r>
          </w:p>
        </w:tc>
        <w:tc>
          <w:tcPr>
            <w:tcW w:w="901"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Start</w:t>
            </w:r>
          </w:p>
        </w:tc>
        <w:tc>
          <w:tcPr>
            <w:tcW w:w="901"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End</w:t>
            </w:r>
          </w:p>
        </w:tc>
        <w:tc>
          <w:tcPr>
            <w:tcW w:w="900" w:type="dxa"/>
            <w:tcBorders/>
            <w:shd w:fill="003B4C" w:val="cle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Contract</w:t>
            </w:r>
          </w:p>
        </w:tc>
        <w:tc>
          <w:tcPr>
            <w:tcW w:w="1131" w:type="dxa"/>
            <w:tcBorders>
              <w:right w:val="single" w:sz="2" w:space="0" w:color="000000"/>
            </w:tcBorders>
            <w:shd w:fill="003B4C" w:val="clear"/>
            <w:tcMar>
              <w:right w:w="28" w:type="dxa"/>
            </w:tcMar>
            <w:vAlign w:val="center"/>
          </w:tcPr>
          <w:p>
            <w:pPr>
              <w:pStyle w:val="TableContents"/>
              <w:bidi w:val="0"/>
              <w:spacing w:lineRule="auto" w:line="285" w:before="0" w:after="0"/>
              <w:ind w:left="0" w:right="0" w:hanging="0"/>
              <w:jc w:val="center"/>
              <w:rPr>
                <w:color w:val="000000"/>
              </w:rPr>
            </w:pPr>
            <w:r>
              <w:rPr>
                <w:color w:val="000000"/>
              </w:rPr>
              <w:t>​</w:t>
            </w:r>
          </w:p>
        </w:tc>
      </w:tr>
      <w:tr>
        <w:trPr/>
        <w:tc>
          <w:tcPr>
            <w:tcW w:w="1055" w:type="dxa"/>
            <w:tcBorders>
              <w:left w:val="single" w:sz="2" w:space="0" w:color="000000"/>
              <w:bottom w:val="single" w:sz="2" w:space="0" w:color="000000"/>
            </w:tcBorders>
            <w:shd w:fill="003B4C" w:val="clear"/>
            <w:tcMar>
              <w:left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color w:val="FFFFFF"/>
                <w:sz w:val="16"/>
              </w:rPr>
            </w:pPr>
            <w:r>
              <w:rPr>
                <w:rFonts w:ascii="Arial;Helvetica;sans-serif" w:hAnsi="Arial;Helvetica;sans-serif"/>
                <w:b/>
                <w:color w:val="FFFFFF"/>
                <w:sz w:val="16"/>
              </w:rPr>
              <w:t>Rig Type/Name</w:t>
            </w:r>
          </w:p>
        </w:tc>
        <w:tc>
          <w:tcPr>
            <w:tcW w:w="991" w:type="dxa"/>
            <w:tcBorders>
              <w:bottom w:val="single" w:sz="2" w:space="0" w:color="000000"/>
            </w:tcBorders>
            <w:shd w:fill="003B4C"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References</w:t>
            </w:r>
          </w:p>
        </w:tc>
        <w:tc>
          <w:tcPr>
            <w:tcW w:w="968" w:type="dxa"/>
            <w:tcBorders>
              <w:bottom w:val="single" w:sz="2" w:space="0" w:color="000000"/>
            </w:tcBorders>
            <w:shd w:fill="003B4C"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(Short Tons)</w:t>
            </w:r>
          </w:p>
        </w:tc>
        <w:tc>
          <w:tcPr>
            <w:tcW w:w="721" w:type="dxa"/>
            <w:tcBorders>
              <w:bottom w:val="single" w:sz="2" w:space="0" w:color="000000"/>
            </w:tcBorders>
            <w:shd w:fill="003B4C"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Service</w:t>
            </w:r>
          </w:p>
        </w:tc>
        <w:tc>
          <w:tcPr>
            <w:tcW w:w="820" w:type="dxa"/>
            <w:tcBorders>
              <w:bottom w:val="single" w:sz="2" w:space="0" w:color="000000"/>
            </w:tcBorders>
            <w:shd w:fill="003B4C"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Location</w:t>
            </w:r>
          </w:p>
        </w:tc>
        <w:tc>
          <w:tcPr>
            <w:tcW w:w="914" w:type="dxa"/>
            <w:tcBorders>
              <w:bottom w:val="single" w:sz="2" w:space="0" w:color="000000"/>
            </w:tcBorders>
            <w:shd w:fill="003B4C"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Customer</w:t>
            </w:r>
          </w:p>
        </w:tc>
        <w:tc>
          <w:tcPr>
            <w:tcW w:w="903" w:type="dxa"/>
            <w:tcBorders>
              <w:bottom w:val="single" w:sz="2" w:space="0" w:color="000000"/>
            </w:tcBorders>
            <w:shd w:fill="003B4C"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Status</w:t>
            </w:r>
          </w:p>
        </w:tc>
        <w:tc>
          <w:tcPr>
            <w:tcW w:w="901" w:type="dxa"/>
            <w:tcBorders>
              <w:bottom w:val="single" w:sz="2" w:space="0" w:color="000000"/>
            </w:tcBorders>
            <w:shd w:fill="003B4C"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901" w:type="dxa"/>
            <w:tcBorders>
              <w:bottom w:val="single" w:sz="2" w:space="0" w:color="000000"/>
            </w:tcBorders>
            <w:shd w:fill="003B4C"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900" w:type="dxa"/>
            <w:tcBorders>
              <w:bottom w:val="single" w:sz="2" w:space="0" w:color="000000"/>
            </w:tcBorders>
            <w:shd w:fill="003B4C"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(Dollars)</w:t>
            </w:r>
          </w:p>
        </w:tc>
        <w:tc>
          <w:tcPr>
            <w:tcW w:w="1131" w:type="dxa"/>
            <w:tcBorders>
              <w:bottom w:val="single" w:sz="2" w:space="0" w:color="000000"/>
              <w:right w:val="single" w:sz="2" w:space="0" w:color="000000"/>
            </w:tcBorders>
            <w:shd w:fill="003B4C" w:val="clear"/>
            <w:tcMar>
              <w:bottom w:w="28" w:type="dxa"/>
              <w:right w:w="28" w:type="dxa"/>
            </w:tcMar>
            <w:vAlign w:val="center"/>
          </w:tcPr>
          <w:p>
            <w:pPr>
              <w:pStyle w:val="TableContents"/>
              <w:bidi w:val="0"/>
              <w:spacing w:lineRule="auto" w:line="285" w:before="0" w:after="0"/>
              <w:ind w:left="0" w:right="0" w:hanging="0"/>
              <w:jc w:val="center"/>
              <w:rPr>
                <w:rFonts w:ascii="Arial;Helvetica;sans-serif" w:hAnsi="Arial;Helvetica;sans-serif"/>
                <w:b/>
                <w:color w:val="FFFFFF"/>
                <w:sz w:val="16"/>
              </w:rPr>
            </w:pPr>
            <w:r>
              <w:rPr>
                <w:rFonts w:ascii="Arial;Helvetica;sans-serif" w:hAnsi="Arial;Helvetica;sans-serif"/>
                <w:b/>
                <w:color w:val="FFFFFF"/>
                <w:sz w:val="16"/>
              </w:rPr>
              <w:t>Additional Comments</w:t>
            </w:r>
          </w:p>
        </w:tc>
      </w:tr>
      <w:tr>
        <w:trPr/>
        <w:tc>
          <w:tcPr>
            <w:tcW w:w="2046" w:type="dxa"/>
            <w:gridSpan w:val="2"/>
            <w:tcBorders>
              <w:left w:val="single" w:sz="2" w:space="0" w:color="000000"/>
              <w:bottom w:val="single" w:sz="2" w:space="0" w:color="000000"/>
            </w:tcBorders>
            <w:shd w:fill="F9BE00" w:val="clear"/>
            <w:tcMar>
              <w:left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i/>
                <w:sz w:val="16"/>
              </w:rPr>
            </w:pPr>
            <w:r>
              <w:rPr>
                <w:rFonts w:ascii="Arial;Helvetica;sans-serif" w:hAnsi="Arial;Helvetica;sans-serif"/>
                <w:b/>
                <w:i/>
                <w:sz w:val="16"/>
              </w:rPr>
              <w:t>Ultra-Deepwater Drillships (20)</w:t>
            </w:r>
          </w:p>
        </w:tc>
        <w:tc>
          <w:tcPr>
            <w:tcW w:w="968" w:type="dxa"/>
            <w:tcBorders>
              <w:bottom w:val="single" w:sz="2" w:space="0" w:color="000000"/>
            </w:tcBorders>
            <w:shd w:fill="F9BE00" w:val="clear"/>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shd w:fill="F9BE00" w:val="clear"/>
            <w:tcMar>
              <w:bottom w:w="28" w:type="dxa"/>
            </w:tcMar>
            <w:vAlign w:val="center"/>
          </w:tcPr>
          <w:p>
            <w:pPr>
              <w:pStyle w:val="TableContents"/>
              <w:bidi w:val="0"/>
              <w:spacing w:lineRule="auto" w:line="285" w:before="0" w:after="0"/>
              <w:ind w:left="0" w:right="0" w:hanging="0"/>
              <w:jc w:val="left"/>
              <w:rPr/>
            </w:pPr>
            <w:r>
              <w:rPr/>
              <w:t>​</w:t>
            </w:r>
          </w:p>
        </w:tc>
        <w:tc>
          <w:tcPr>
            <w:tcW w:w="820" w:type="dxa"/>
            <w:tcBorders>
              <w:bottom w:val="single" w:sz="2" w:space="0" w:color="000000"/>
            </w:tcBorders>
            <w:shd w:fill="F9BE00" w:val="clear"/>
            <w:tcMar>
              <w:bottom w:w="28" w:type="dxa"/>
            </w:tcMar>
            <w:vAlign w:val="center"/>
          </w:tcPr>
          <w:p>
            <w:pPr>
              <w:pStyle w:val="TableContents"/>
              <w:bidi w:val="0"/>
              <w:spacing w:lineRule="auto" w:line="285" w:before="0" w:after="0"/>
              <w:ind w:left="0" w:right="0" w:hanging="0"/>
              <w:jc w:val="left"/>
              <w:rPr/>
            </w:pPr>
            <w:r>
              <w:rPr/>
              <w:t>​</w:t>
            </w:r>
          </w:p>
        </w:tc>
        <w:tc>
          <w:tcPr>
            <w:tcW w:w="914" w:type="dxa"/>
            <w:tcBorders>
              <w:bottom w:val="single" w:sz="2" w:space="0" w:color="000000"/>
            </w:tcBorders>
            <w:shd w:fill="F9BE00" w:val="clear"/>
            <w:tcMar>
              <w:bottom w:w="28" w:type="dxa"/>
            </w:tcMar>
            <w:vAlign w:val="center"/>
          </w:tcPr>
          <w:p>
            <w:pPr>
              <w:pStyle w:val="TableContents"/>
              <w:bidi w:val="0"/>
              <w:spacing w:lineRule="auto" w:line="285" w:before="0" w:after="0"/>
              <w:ind w:left="0" w:right="0" w:hanging="0"/>
              <w:jc w:val="left"/>
              <w:rPr/>
            </w:pPr>
            <w:r>
              <w:rPr/>
              <w:t>​</w:t>
            </w:r>
          </w:p>
        </w:tc>
        <w:tc>
          <w:tcPr>
            <w:tcW w:w="903" w:type="dxa"/>
            <w:tcBorders>
              <w:bottom w:val="single" w:sz="2" w:space="0" w:color="000000"/>
            </w:tcBorders>
            <w:shd w:fill="F9BE00"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F9BE00" w:val="clear"/>
            <w:tcMar>
              <w:bottom w:w="28" w:type="dxa"/>
            </w:tcMar>
            <w:vAlign w:val="center"/>
          </w:tcPr>
          <w:p>
            <w:pPr>
              <w:pStyle w:val="TableContents"/>
              <w:bidi w:val="0"/>
              <w:spacing w:lineRule="auto" w:line="285" w:before="0" w:after="0"/>
              <w:ind w:left="0" w:right="0" w:hanging="0"/>
              <w:jc w:val="center"/>
              <w:rPr/>
            </w:pPr>
            <w:r>
              <w:rPr/>
              <w:t>​</w:t>
            </w:r>
          </w:p>
        </w:tc>
        <w:tc>
          <w:tcPr>
            <w:tcW w:w="901" w:type="dxa"/>
            <w:tcBorders>
              <w:bottom w:val="single" w:sz="2" w:space="0" w:color="000000"/>
            </w:tcBorders>
            <w:shd w:fill="F9BE00" w:val="clear"/>
            <w:tcMar>
              <w:bottom w:w="28" w:type="dxa"/>
            </w:tcMar>
            <w:vAlign w:val="center"/>
          </w:tcPr>
          <w:p>
            <w:pPr>
              <w:pStyle w:val="TableContents"/>
              <w:bidi w:val="0"/>
              <w:spacing w:lineRule="auto" w:line="285" w:before="0" w:after="0"/>
              <w:ind w:left="0" w:right="0" w:hanging="0"/>
              <w:jc w:val="center"/>
              <w:rPr/>
            </w:pPr>
            <w:r>
              <w:rPr/>
              <w:t>​</w:t>
            </w:r>
          </w:p>
        </w:tc>
        <w:tc>
          <w:tcPr>
            <w:tcW w:w="900" w:type="dxa"/>
            <w:tcBorders>
              <w:bottom w:val="single" w:sz="2" w:space="0" w:color="000000"/>
            </w:tcBorders>
            <w:shd w:fill="F9BE00" w:val="clear"/>
            <w:tcMar>
              <w:bottom w:w="28" w:type="dxa"/>
            </w:tcMar>
            <w:vAlign w:val="center"/>
          </w:tcPr>
          <w:p>
            <w:pPr>
              <w:pStyle w:val="TableContents"/>
              <w:bidi w:val="0"/>
              <w:spacing w:lineRule="auto" w:line="285" w:before="0" w:after="0"/>
              <w:ind w:left="0" w:right="0" w:hanging="0"/>
              <w:jc w:val="left"/>
              <w:rPr/>
            </w:pPr>
            <w:r>
              <w:rPr/>
              <w:t>​</w:t>
            </w:r>
          </w:p>
        </w:tc>
        <w:tc>
          <w:tcPr>
            <w:tcW w:w="1131" w:type="dxa"/>
            <w:tcBorders>
              <w:bottom w:val="single" w:sz="2" w:space="0" w:color="000000"/>
              <w:right w:val="single" w:sz="2" w:space="0" w:color="000000"/>
            </w:tcBorders>
            <w:shd w:fill="F9BE00" w:val="clear"/>
            <w:tcMar>
              <w:bottom w:w="28" w:type="dxa"/>
              <w:right w:w="28" w:type="dxa"/>
            </w:tcMar>
            <w:vAlign w:val="center"/>
          </w:tcPr>
          <w:p>
            <w:pPr>
              <w:pStyle w:val="TableContents"/>
              <w:bidi w:val="0"/>
              <w:spacing w:lineRule="auto" w:line="285" w:before="0" w:after="0"/>
              <w:ind w:left="0" w:right="0" w:hanging="0"/>
              <w:jc w:val="left"/>
              <w:rPr>
                <w:color w:val="FFFFFF"/>
              </w:rPr>
            </w:pPr>
            <w:r>
              <w:rPr>
                <w:color w:val="FFFFFF"/>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Deepwater Titan</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1,700</w:t>
            </w:r>
          </w:p>
        </w:tc>
        <w:tc>
          <w:tcPr>
            <w:tcW w:w="72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2023</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Chevron</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Apr-23</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Apr-28</w:t>
            </w:r>
          </w:p>
        </w:tc>
        <w:tc>
          <w:tcPr>
            <w:tcW w:w="900"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463,000</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Deepwater Atlas</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1,700</w:t>
            </w:r>
          </w:p>
        </w:tc>
        <w:tc>
          <w:tcPr>
            <w:tcW w:w="72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2022</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Beacon</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Aug-26</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Oct-26</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580,000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E7E6E6" w:val="clear"/>
            <w:vAlign w:val="center"/>
          </w:tcPr>
          <w:p>
            <w:pPr>
              <w:pStyle w:val="TableContents"/>
              <w:bidi w:val="0"/>
              <w:spacing w:lineRule="auto" w:line="285" w:before="0" w:after="0"/>
              <w:ind w:left="0" w:right="0" w:hanging="0"/>
              <w:jc w:val="center"/>
              <w:rPr/>
            </w:pPr>
            <w:r>
              <w:rPr/>
              <w:t>​</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Beacon</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Contingent</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Oct-26</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Dec-26</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650,000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E7E6E6" w:val="clear"/>
            <w:vAlign w:val="center"/>
          </w:tcPr>
          <w:p>
            <w:pPr>
              <w:pStyle w:val="TableContents"/>
              <w:bidi w:val="0"/>
              <w:spacing w:lineRule="auto" w:line="285" w:before="0" w:after="0"/>
              <w:ind w:left="0" w:right="0" w:hanging="0"/>
              <w:jc w:val="center"/>
              <w:rPr/>
            </w:pPr>
            <w:r>
              <w:rPr/>
              <w:t>​</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Beacon</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Dec-26</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Dec-26</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580,000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E7E6E6" w:val="clear"/>
            <w:vAlign w:val="center"/>
          </w:tcPr>
          <w:p>
            <w:pPr>
              <w:pStyle w:val="TableContents"/>
              <w:bidi w:val="0"/>
              <w:spacing w:lineRule="auto" w:line="285" w:before="0" w:after="0"/>
              <w:ind w:left="0" w:right="0" w:hanging="0"/>
              <w:jc w:val="center"/>
              <w:rPr/>
            </w:pPr>
            <w:r>
              <w:rPr/>
              <w:t>​</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Beacon</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Contingent</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Dec-26</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Feb-27</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650,000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E7E6E6" w:val="clear"/>
            <w:vAlign w:val="center"/>
          </w:tcPr>
          <w:p>
            <w:pPr>
              <w:pStyle w:val="TableContents"/>
              <w:bidi w:val="0"/>
              <w:spacing w:lineRule="auto" w:line="285" w:before="0" w:after="0"/>
              <w:ind w:left="0" w:right="0" w:hanging="0"/>
              <w:jc w:val="center"/>
              <w:rPr/>
            </w:pPr>
            <w:r>
              <w:rPr/>
              <w:t>​</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Beacon</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Feb-27</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Feb-27</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580,000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E7E6E6" w:val="clear"/>
            <w:vAlign w:val="center"/>
          </w:tcPr>
          <w:p>
            <w:pPr>
              <w:pStyle w:val="TableContents"/>
              <w:bidi w:val="0"/>
              <w:spacing w:lineRule="auto" w:line="285" w:before="0" w:after="0"/>
              <w:ind w:left="0" w:right="0" w:hanging="0"/>
              <w:jc w:val="center"/>
              <w:rPr/>
            </w:pPr>
            <w:r>
              <w:rPr/>
              <w:t>​</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Beacon</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Feb-27</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Jul-27</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505,000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E7E6E6" w:val="clear"/>
            <w:vAlign w:val="center"/>
          </w:tcPr>
          <w:p>
            <w:pPr>
              <w:pStyle w:val="TableContents"/>
              <w:bidi w:val="0"/>
              <w:spacing w:lineRule="auto" w:line="285" w:before="0" w:after="0"/>
              <w:ind w:left="0" w:right="0" w:hanging="0"/>
              <w:jc w:val="center"/>
              <w:rPr/>
            </w:pPr>
            <w:r>
              <w:rPr/>
              <w:t>​</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bp</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Jun-28</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Jun-30</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635,000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Deepwater Aquila</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1,400</w:t>
            </w:r>
          </w:p>
        </w:tc>
        <w:tc>
          <w:tcPr>
            <w:tcW w:w="72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2024</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Brazil</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Petrobras</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Apr-26</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Dec-26</w:t>
            </w:r>
          </w:p>
        </w:tc>
        <w:tc>
          <w:tcPr>
            <w:tcW w:w="900"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438,000</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721" w:type="dxa"/>
            <w:tcBorders/>
            <w:vAlign w:val="center"/>
          </w:tcPr>
          <w:p>
            <w:pPr>
              <w:pStyle w:val="TableContents"/>
              <w:bidi w:val="0"/>
              <w:spacing w:lineRule="auto" w:line="285" w:before="0" w:after="0"/>
              <w:ind w:left="0" w:right="0" w:hanging="0"/>
              <w:jc w:val="center"/>
              <w:rPr/>
            </w:pPr>
            <w:r>
              <w:rPr/>
              <w:t>​</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Brazil</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Petrobras</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Jan-27</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Jun-28</w:t>
            </w:r>
          </w:p>
        </w:tc>
        <w:tc>
          <w:tcPr>
            <w:tcW w:w="90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443,000</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Deepwater Poseidon</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1,400</w:t>
            </w:r>
          </w:p>
        </w:tc>
        <w:tc>
          <w:tcPr>
            <w:tcW w:w="72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2018</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Shell</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Sep-18</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Feb-28</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501,000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 xml:space="preserve">Deepwater Pontus </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1,400</w:t>
            </w:r>
          </w:p>
        </w:tc>
        <w:tc>
          <w:tcPr>
            <w:tcW w:w="72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2017</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Shell</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Oct-17</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Oct-27</w:t>
            </w:r>
          </w:p>
        </w:tc>
        <w:tc>
          <w:tcPr>
            <w:tcW w:w="900"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499,000</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Deepwater Conqueror</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1,400</w:t>
            </w:r>
          </w:p>
        </w:tc>
        <w:tc>
          <w:tcPr>
            <w:tcW w:w="72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2016</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Not Disclosed</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Oct-25</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Jan-27</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530,000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Deepwater Proteus</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1,400</w:t>
            </w:r>
          </w:p>
        </w:tc>
        <w:tc>
          <w:tcPr>
            <w:tcW w:w="72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2016</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USGOM</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Not Disclosed</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Firm</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Jul-26</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Nov-26</w:t>
            </w:r>
          </w:p>
        </w:tc>
        <w:tc>
          <w:tcPr>
            <w:tcW w:w="90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Not Disclosed</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721" w:type="dxa"/>
            <w:tcBorders/>
            <w:vAlign w:val="center"/>
          </w:tcPr>
          <w:p>
            <w:pPr>
              <w:pStyle w:val="TableContents"/>
              <w:bidi w:val="0"/>
              <w:spacing w:lineRule="auto" w:line="285" w:before="0" w:after="0"/>
              <w:ind w:left="0" w:right="0" w:hanging="0"/>
              <w:jc w:val="center"/>
              <w:rPr/>
            </w:pPr>
            <w:r>
              <w:rPr/>
              <w:t>​</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USGOM</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Not Disclosed</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Priced Options</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Nov-26</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Jan-27</w:t>
            </w:r>
          </w:p>
        </w:tc>
        <w:tc>
          <w:tcPr>
            <w:tcW w:w="90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Not Disclosed</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Deepwater Thalassa</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1,400</w:t>
            </w:r>
          </w:p>
        </w:tc>
        <w:tc>
          <w:tcPr>
            <w:tcW w:w="72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2016</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Mexico</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Woodside</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Mar-26</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Feb-29</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495,000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Deepwater Asgard</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721" w:type="dxa"/>
            <w:tcBorders/>
            <w:vAlign w:val="center"/>
          </w:tcPr>
          <w:p>
            <w:pPr>
              <w:pStyle w:val="TableContents"/>
              <w:bidi w:val="0"/>
              <w:spacing w:lineRule="auto" w:line="285" w:before="0" w:after="0"/>
              <w:ind w:left="0" w:right="0" w:hanging="0"/>
              <w:jc w:val="center"/>
              <w:rPr/>
            </w:pPr>
            <w:r>
              <w:rPr/>
              <w:t>​</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Eastern Med</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Not Disclosed</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Dec-26</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Dec-27</w:t>
            </w:r>
          </w:p>
        </w:tc>
        <w:tc>
          <w:tcPr>
            <w:tcW w:w="900"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405,000</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20 days - Contract Preparation</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Deepwater Invictus</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1,400</w:t>
            </w:r>
          </w:p>
        </w:tc>
        <w:tc>
          <w:tcPr>
            <w:tcW w:w="72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2014</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USGOM</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bp</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Apr-25</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Apr-28</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485,000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Deepwater Skyros</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1,250</w:t>
            </w:r>
          </w:p>
        </w:tc>
        <w:tc>
          <w:tcPr>
            <w:tcW w:w="72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2013</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Ivory Coast</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Murphy</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Dec-25</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Sep-26</w:t>
            </w:r>
          </w:p>
        </w:tc>
        <w:tc>
          <w:tcPr>
            <w:tcW w:w="900"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361,000</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1,250</w:t>
            </w:r>
          </w:p>
        </w:tc>
        <w:tc>
          <w:tcPr>
            <w:tcW w:w="72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2013</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Ivory Coast</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Murphy</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Priced Option</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Sep-26</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Nov-26</w:t>
            </w:r>
          </w:p>
        </w:tc>
        <w:tc>
          <w:tcPr>
            <w:tcW w:w="900"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361,000</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721" w:type="dxa"/>
            <w:tcBorders/>
            <w:vAlign w:val="center"/>
          </w:tcPr>
          <w:p>
            <w:pPr>
              <w:pStyle w:val="TableContents"/>
              <w:bidi w:val="0"/>
              <w:spacing w:lineRule="auto" w:line="285" w:before="0" w:after="0"/>
              <w:ind w:left="0" w:right="0" w:hanging="0"/>
              <w:jc w:val="center"/>
              <w:rPr/>
            </w:pPr>
            <w:r>
              <w:rPr/>
              <w:t>​</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Australia</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Not Disclosed</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Apr-27</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Mar-28</w:t>
            </w:r>
          </w:p>
        </w:tc>
        <w:tc>
          <w:tcPr>
            <w:tcW w:w="900"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Not Disclosed</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721" w:type="dxa"/>
            <w:tcBorders/>
            <w:vAlign w:val="center"/>
          </w:tcPr>
          <w:p>
            <w:pPr>
              <w:pStyle w:val="TableContents"/>
              <w:bidi w:val="0"/>
              <w:spacing w:lineRule="auto" w:line="285" w:before="0" w:after="0"/>
              <w:ind w:left="0" w:right="0" w:hanging="0"/>
              <w:jc w:val="center"/>
              <w:rPr/>
            </w:pPr>
            <w:r>
              <w:rPr/>
              <w:t>​</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Australia</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Not Disclosed</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Priced Options</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Mar-28</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Aug-30</w:t>
            </w:r>
          </w:p>
        </w:tc>
        <w:tc>
          <w:tcPr>
            <w:tcW w:w="900"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Not Disclosed</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Deepwater Corcovado</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1,000</w:t>
            </w:r>
          </w:p>
        </w:tc>
        <w:tc>
          <w:tcPr>
            <w:tcW w:w="72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2011</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Brazil</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Petrobras</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Apr-26</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Dec-26</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379,000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E7E6E6" w:val="clear"/>
            <w:vAlign w:val="center"/>
          </w:tcPr>
          <w:p>
            <w:pPr>
              <w:pStyle w:val="TableContents"/>
              <w:bidi w:val="0"/>
              <w:spacing w:lineRule="auto" w:line="285" w:before="0" w:after="0"/>
              <w:ind w:left="0" w:right="0" w:hanging="0"/>
              <w:jc w:val="center"/>
              <w:rPr/>
            </w:pPr>
            <w:r>
              <w:rPr/>
              <w:t>​</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Brazil</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Petrobras</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Jan-27</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Nov-30</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390,000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Deepwater Mykonos</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w:t>
            </w:r>
          </w:p>
        </w:tc>
        <w:tc>
          <w:tcPr>
            <w:tcW w:w="968"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1,000</w:t>
            </w:r>
          </w:p>
        </w:tc>
        <w:tc>
          <w:tcPr>
            <w:tcW w:w="72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2011</w:t>
            </w:r>
          </w:p>
        </w:tc>
        <w:tc>
          <w:tcPr>
            <w:tcW w:w="820"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w:t>
            </w:r>
          </w:p>
        </w:tc>
        <w:tc>
          <w:tcPr>
            <w:tcW w:w="903"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Out of Service</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May-26</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Aug-26</w:t>
            </w:r>
          </w:p>
        </w:tc>
        <w:tc>
          <w:tcPr>
            <w:tcW w:w="900"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131"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80 days - Contract Preparation</w:t>
            </w:r>
          </w:p>
        </w:tc>
      </w:tr>
      <w:tr>
        <w:trPr/>
        <w:tc>
          <w:tcPr>
            <w:tcW w:w="1055"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FFFFFF" w:val="clear"/>
            <w:vAlign w:val="center"/>
          </w:tcPr>
          <w:p>
            <w:pPr>
              <w:pStyle w:val="TableContents"/>
              <w:bidi w:val="0"/>
              <w:spacing w:lineRule="auto" w:line="285" w:before="0" w:after="0"/>
              <w:ind w:left="0" w:right="0" w:hanging="0"/>
              <w:jc w:val="center"/>
              <w:rPr/>
            </w:pPr>
            <w:r>
              <w:rPr/>
              <w:t>​</w:t>
            </w:r>
          </w:p>
        </w:tc>
        <w:tc>
          <w:tcPr>
            <w:tcW w:w="820"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Brazil</w:t>
            </w:r>
          </w:p>
        </w:tc>
        <w:tc>
          <w:tcPr>
            <w:tcW w:w="9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bp</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Sep-26</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Jun-27</w:t>
            </w:r>
          </w:p>
        </w:tc>
        <w:tc>
          <w:tcPr>
            <w:tcW w:w="900" w:type="dxa"/>
            <w:tcBorders/>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426,000</w:t>
            </w:r>
          </w:p>
        </w:tc>
        <w:tc>
          <w:tcPr>
            <w:tcW w:w="1131"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Deepwater Orion</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1,000</w:t>
            </w:r>
          </w:p>
        </w:tc>
        <w:tc>
          <w:tcPr>
            <w:tcW w:w="72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2011</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Brazil</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Petrobras</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Apr-26</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Dec-26</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375,000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color w:val="FF0000"/>
              </w:rPr>
            </w:pPr>
            <w:r>
              <w:rPr>
                <w:color w:val="FF0000"/>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E7E6E6" w:val="clear"/>
            <w:vAlign w:val="center"/>
          </w:tcPr>
          <w:p>
            <w:pPr>
              <w:pStyle w:val="TableContents"/>
              <w:bidi w:val="0"/>
              <w:spacing w:lineRule="auto" w:line="285" w:before="0" w:after="0"/>
              <w:ind w:left="0" w:right="0" w:hanging="0"/>
              <w:jc w:val="center"/>
              <w:rPr/>
            </w:pPr>
            <w:r>
              <w:rPr/>
              <w:t>​</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Brazil</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Petrobras</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Jan-27</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Mar-30</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390,000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color w:val="FF0000"/>
              </w:rPr>
            </w:pPr>
            <w:r>
              <w:rPr>
                <w:color w:val="FF0000"/>
              </w:rPr>
              <w:t>​</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Dhirubhai Deepwater KG2</w:t>
            </w:r>
          </w:p>
        </w:tc>
        <w:tc>
          <w:tcPr>
            <w:tcW w:w="99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1,000</w:t>
            </w:r>
          </w:p>
        </w:tc>
        <w:tc>
          <w:tcPr>
            <w:tcW w:w="72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2010</w:t>
            </w:r>
          </w:p>
        </w:tc>
        <w:tc>
          <w:tcPr>
            <w:tcW w:w="820" w:type="dxa"/>
            <w:tcBorders/>
            <w:shd w:fill="FFFFFF" w:val="clear"/>
            <w:vAlign w:val="center"/>
          </w:tcPr>
          <w:p>
            <w:pPr>
              <w:pStyle w:val="TableContents"/>
              <w:bidi w:val="0"/>
              <w:spacing w:lineRule="auto" w:line="285" w:before="0" w:after="0"/>
              <w:ind w:left="0" w:right="0" w:hanging="0"/>
              <w:jc w:val="center"/>
              <w:rPr/>
            </w:pPr>
            <w:r>
              <w:rPr/>
              <w:t>​</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w:t>
            </w:r>
          </w:p>
        </w:tc>
        <w:tc>
          <w:tcPr>
            <w:tcW w:w="903"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Idle</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May-26</w:t>
            </w:r>
          </w:p>
        </w:tc>
        <w:tc>
          <w:tcPr>
            <w:tcW w:w="901" w:type="dxa"/>
            <w:tcBorders/>
            <w:shd w:fill="FFFFFF" w:val="clear"/>
            <w:vAlign w:val="center"/>
          </w:tcPr>
          <w:p>
            <w:pPr>
              <w:pStyle w:val="TableContents"/>
              <w:bidi w:val="0"/>
              <w:spacing w:lineRule="auto" w:line="285" w:before="0" w:after="0"/>
              <w:ind w:left="0" w:right="0" w:hanging="0"/>
              <w:jc w:val="center"/>
              <w:rPr/>
            </w:pPr>
            <w:r>
              <w:rPr/>
              <w:t>​</w:t>
            </w:r>
          </w:p>
        </w:tc>
        <w:tc>
          <w:tcPr>
            <w:tcW w:w="90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w:t>
            </w:r>
          </w:p>
        </w:tc>
        <w:tc>
          <w:tcPr>
            <w:tcW w:w="1131"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Petrobras 10000</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1,000</w:t>
            </w:r>
          </w:p>
        </w:tc>
        <w:tc>
          <w:tcPr>
            <w:tcW w:w="72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2009</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Brazil</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Petrobras</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Oct-25</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Oct-26</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416,000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E7E6E6" w:val="clear"/>
            <w:vAlign w:val="center"/>
          </w:tcPr>
          <w:p>
            <w:pPr>
              <w:pStyle w:val="TableContents"/>
              <w:bidi w:val="0"/>
              <w:spacing w:lineRule="auto" w:line="285" w:before="0" w:after="0"/>
              <w:ind w:left="0" w:right="0" w:hanging="0"/>
              <w:jc w:val="center"/>
              <w:rPr/>
            </w:pPr>
            <w:r>
              <w:rPr/>
              <w:t>​</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Brazil</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Petrobras</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Oct-26</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Oct-27</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428,000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E7E6E6" w:val="clear"/>
            <w:vAlign w:val="center"/>
          </w:tcPr>
          <w:p>
            <w:pPr>
              <w:pStyle w:val="TableContents"/>
              <w:bidi w:val="0"/>
              <w:spacing w:lineRule="auto" w:line="285" w:before="0" w:after="0"/>
              <w:ind w:left="0" w:right="0" w:hanging="0"/>
              <w:jc w:val="center"/>
              <w:rPr/>
            </w:pPr>
            <w:r>
              <w:rPr/>
              <w:t>​</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Brazil</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Petrobras</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Oct-27</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Oct-28</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441,000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E7E6E6" w:val="clear"/>
            <w:vAlign w:val="center"/>
          </w:tcPr>
          <w:p>
            <w:pPr>
              <w:pStyle w:val="TableContents"/>
              <w:bidi w:val="0"/>
              <w:spacing w:lineRule="auto" w:line="285" w:before="0" w:after="0"/>
              <w:ind w:left="0" w:right="0" w:hanging="0"/>
              <w:jc w:val="center"/>
              <w:rPr/>
            </w:pPr>
            <w:r>
              <w:rPr/>
              <w:t>​</w:t>
            </w:r>
          </w:p>
        </w:tc>
        <w:tc>
          <w:tcPr>
            <w:tcW w:w="820"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Brazil</w:t>
            </w:r>
          </w:p>
        </w:tc>
        <w:tc>
          <w:tcPr>
            <w:tcW w:w="9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Petrobras</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Oct-28</w:t>
            </w:r>
          </w:p>
        </w:tc>
        <w:tc>
          <w:tcPr>
            <w:tcW w:w="90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Aug-29</w:t>
            </w:r>
          </w:p>
        </w:tc>
        <w:tc>
          <w:tcPr>
            <w:tcW w:w="900"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454,000</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Dhirubhai Deepwater KG1</w:t>
            </w:r>
          </w:p>
        </w:tc>
        <w:tc>
          <w:tcPr>
            <w:tcW w:w="99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1,000</w:t>
            </w:r>
          </w:p>
        </w:tc>
        <w:tc>
          <w:tcPr>
            <w:tcW w:w="72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2009</w:t>
            </w:r>
          </w:p>
        </w:tc>
        <w:tc>
          <w:tcPr>
            <w:tcW w:w="820"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w:t>
            </w:r>
          </w:p>
        </w:tc>
        <w:tc>
          <w:tcPr>
            <w:tcW w:w="9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w:t>
            </w:r>
          </w:p>
        </w:tc>
        <w:tc>
          <w:tcPr>
            <w:tcW w:w="903"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Out of Service</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Jun-26</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Aug-26</w:t>
            </w:r>
          </w:p>
        </w:tc>
        <w:tc>
          <w:tcPr>
            <w:tcW w:w="90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131"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70 days - Contract Preparation</w:t>
            </w:r>
          </w:p>
        </w:tc>
      </w:tr>
      <w:tr>
        <w:trPr/>
        <w:tc>
          <w:tcPr>
            <w:tcW w:w="1055"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FFFFFF" w:val="clear"/>
            <w:vAlign w:val="center"/>
          </w:tcPr>
          <w:p>
            <w:pPr>
              <w:pStyle w:val="TableContents"/>
              <w:bidi w:val="0"/>
              <w:spacing w:lineRule="auto" w:line="285" w:before="0" w:after="0"/>
              <w:ind w:left="0" w:right="0" w:hanging="0"/>
              <w:jc w:val="center"/>
              <w:rPr/>
            </w:pPr>
            <w:r>
              <w:rPr/>
              <w:t>​</w:t>
            </w:r>
          </w:p>
        </w:tc>
        <w:tc>
          <w:tcPr>
            <w:tcW w:w="820"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India</w:t>
            </w:r>
          </w:p>
        </w:tc>
        <w:tc>
          <w:tcPr>
            <w:tcW w:w="9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 xml:space="preserve">Reliance Industries </w:t>
            </w:r>
          </w:p>
        </w:tc>
        <w:tc>
          <w:tcPr>
            <w:tcW w:w="903"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Aug-26</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Mar-28</w:t>
            </w:r>
          </w:p>
        </w:tc>
        <w:tc>
          <w:tcPr>
            <w:tcW w:w="90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410,000</w:t>
            </w:r>
          </w:p>
        </w:tc>
        <w:tc>
          <w:tcPr>
            <w:tcW w:w="1131"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99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721" w:type="dxa"/>
            <w:tcBorders/>
            <w:shd w:fill="FFFFFF" w:val="clear"/>
            <w:vAlign w:val="center"/>
          </w:tcPr>
          <w:p>
            <w:pPr>
              <w:pStyle w:val="TableContents"/>
              <w:bidi w:val="0"/>
              <w:spacing w:lineRule="auto" w:line="285" w:before="0" w:after="0"/>
              <w:ind w:left="0" w:right="0" w:hanging="0"/>
              <w:jc w:val="center"/>
              <w:rPr/>
            </w:pPr>
            <w:r>
              <w:rPr/>
              <w:t>​</w:t>
            </w:r>
          </w:p>
        </w:tc>
        <w:tc>
          <w:tcPr>
            <w:tcW w:w="820"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India</w:t>
            </w:r>
          </w:p>
        </w:tc>
        <w:tc>
          <w:tcPr>
            <w:tcW w:w="9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 xml:space="preserve">Reliance Industries </w:t>
            </w:r>
          </w:p>
        </w:tc>
        <w:tc>
          <w:tcPr>
            <w:tcW w:w="903"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Priced Options</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Mar-28</w:t>
            </w:r>
          </w:p>
        </w:tc>
        <w:tc>
          <w:tcPr>
            <w:tcW w:w="90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Aug-29</w:t>
            </w:r>
          </w:p>
        </w:tc>
        <w:tc>
          <w:tcPr>
            <w:tcW w:w="900"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Not Disclosed</w:t>
            </w:r>
          </w:p>
        </w:tc>
        <w:tc>
          <w:tcPr>
            <w:tcW w:w="1131"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055"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Ocean Rig Apollo</w:t>
            </w:r>
          </w:p>
        </w:tc>
        <w:tc>
          <w:tcPr>
            <w:tcW w:w="99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1,250</w:t>
            </w:r>
          </w:p>
        </w:tc>
        <w:tc>
          <w:tcPr>
            <w:tcW w:w="72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2015</w:t>
            </w:r>
          </w:p>
        </w:tc>
        <w:tc>
          <w:tcPr>
            <w:tcW w:w="820" w:type="dxa"/>
            <w:tcBorders/>
            <w:shd w:fill="E7E6E6" w:val="clear"/>
            <w:vAlign w:val="center"/>
          </w:tcPr>
          <w:p>
            <w:pPr>
              <w:pStyle w:val="TableContents"/>
              <w:bidi w:val="0"/>
              <w:spacing w:lineRule="auto" w:line="285" w:before="0" w:after="0"/>
              <w:ind w:left="0" w:right="0" w:hanging="0"/>
              <w:jc w:val="center"/>
              <w:rPr/>
            </w:pPr>
            <w:r>
              <w:rPr/>
              <w:t>​</w:t>
            </w:r>
          </w:p>
        </w:tc>
        <w:tc>
          <w:tcPr>
            <w:tcW w:w="914" w:type="dxa"/>
            <w:tcBorders/>
            <w:shd w:fill="E7E6E6" w:val="clear"/>
            <w:vAlign w:val="center"/>
          </w:tcPr>
          <w:p>
            <w:pPr>
              <w:pStyle w:val="TableContents"/>
              <w:bidi w:val="0"/>
              <w:spacing w:lineRule="auto" w:line="285" w:before="0" w:after="0"/>
              <w:ind w:left="0" w:right="0" w:hanging="0"/>
              <w:jc w:val="center"/>
              <w:rPr/>
            </w:pPr>
            <w:r>
              <w:rPr/>
              <w:t>​</w:t>
            </w:r>
          </w:p>
        </w:tc>
        <w:tc>
          <w:tcPr>
            <w:tcW w:w="903"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Stacked</w:t>
            </w:r>
          </w:p>
        </w:tc>
        <w:tc>
          <w:tcPr>
            <w:tcW w:w="901" w:type="dxa"/>
            <w:tcBorders/>
            <w:shd w:fill="E7E6E6" w:val="clear"/>
            <w:vAlign w:val="center"/>
          </w:tcPr>
          <w:p>
            <w:pPr>
              <w:pStyle w:val="TableContents"/>
              <w:bidi w:val="0"/>
              <w:spacing w:lineRule="auto" w:line="285" w:before="0" w:after="0"/>
              <w:ind w:left="0" w:right="0" w:hanging="0"/>
              <w:jc w:val="center"/>
              <w:rPr/>
            </w:pPr>
            <w:r>
              <w:rPr/>
              <w:t>​</w:t>
            </w:r>
          </w:p>
        </w:tc>
        <w:tc>
          <w:tcPr>
            <w:tcW w:w="901" w:type="dxa"/>
            <w:tcBorders/>
            <w:shd w:fill="E7E6E6" w:val="clear"/>
            <w:vAlign w:val="center"/>
          </w:tcPr>
          <w:p>
            <w:pPr>
              <w:pStyle w:val="TableContents"/>
              <w:bidi w:val="0"/>
              <w:spacing w:lineRule="auto" w:line="285" w:before="0" w:after="0"/>
              <w:ind w:left="0" w:right="0" w:hanging="0"/>
              <w:jc w:val="left"/>
              <w:rPr/>
            </w:pPr>
            <w:r>
              <w:rPr/>
              <w:t>​</w:t>
            </w:r>
          </w:p>
        </w:tc>
        <w:tc>
          <w:tcPr>
            <w:tcW w:w="900" w:type="dxa"/>
            <w:tcBorders/>
            <w:shd w:fill="E7E6E6" w:val="clear"/>
            <w:vAlign w:val="center"/>
          </w:tcPr>
          <w:p>
            <w:pPr>
              <w:pStyle w:val="TableContents"/>
              <w:bidi w:val="0"/>
              <w:spacing w:lineRule="auto" w:line="285" w:before="0" w:after="0"/>
              <w:ind w:left="0" w:right="0" w:hanging="0"/>
              <w:jc w:val="left"/>
              <w:rPr/>
            </w:pPr>
            <w:r>
              <w:rPr/>
              <w:t>​</w:t>
            </w:r>
          </w:p>
        </w:tc>
        <w:tc>
          <w:tcPr>
            <w:tcW w:w="1131"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Stacked May-16</w:t>
            </w:r>
          </w:p>
        </w:tc>
      </w:tr>
      <w:tr>
        <w:trPr/>
        <w:tc>
          <w:tcPr>
            <w:tcW w:w="1055"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Ocean Rig Athena</w:t>
            </w:r>
          </w:p>
        </w:tc>
        <w:tc>
          <w:tcPr>
            <w:tcW w:w="99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1,250</w:t>
            </w:r>
          </w:p>
        </w:tc>
        <w:tc>
          <w:tcPr>
            <w:tcW w:w="72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2014</w:t>
            </w:r>
          </w:p>
        </w:tc>
        <w:tc>
          <w:tcPr>
            <w:tcW w:w="820" w:type="dxa"/>
            <w:tcBorders/>
            <w:vAlign w:val="center"/>
          </w:tcPr>
          <w:p>
            <w:pPr>
              <w:pStyle w:val="TableContents"/>
              <w:bidi w:val="0"/>
              <w:spacing w:lineRule="auto" w:line="285" w:before="0" w:after="0"/>
              <w:ind w:left="0" w:right="0" w:hanging="0"/>
              <w:jc w:val="center"/>
              <w:rPr/>
            </w:pPr>
            <w:r>
              <w:rPr/>
              <w:t>​</w:t>
            </w:r>
          </w:p>
        </w:tc>
        <w:tc>
          <w:tcPr>
            <w:tcW w:w="914" w:type="dxa"/>
            <w:tcBorders/>
            <w:vAlign w:val="center"/>
          </w:tcPr>
          <w:p>
            <w:pPr>
              <w:pStyle w:val="TableContents"/>
              <w:bidi w:val="0"/>
              <w:spacing w:lineRule="auto" w:line="285" w:before="0" w:after="0"/>
              <w:ind w:left="0" w:right="0" w:hanging="0"/>
              <w:jc w:val="center"/>
              <w:rPr/>
            </w:pPr>
            <w:r>
              <w:rPr/>
              <w:t>​</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Stacked</w:t>
            </w:r>
          </w:p>
        </w:tc>
        <w:tc>
          <w:tcPr>
            <w:tcW w:w="901" w:type="dxa"/>
            <w:tcBorders/>
            <w:vAlign w:val="center"/>
          </w:tcPr>
          <w:p>
            <w:pPr>
              <w:pStyle w:val="TableContents"/>
              <w:bidi w:val="0"/>
              <w:spacing w:lineRule="auto" w:line="285" w:before="0" w:after="0"/>
              <w:ind w:left="0" w:right="0" w:hanging="0"/>
              <w:jc w:val="center"/>
              <w:rPr/>
            </w:pPr>
            <w:r>
              <w:rPr/>
              <w:t>​</w:t>
            </w:r>
          </w:p>
        </w:tc>
        <w:tc>
          <w:tcPr>
            <w:tcW w:w="901" w:type="dxa"/>
            <w:tcBorders/>
            <w:vAlign w:val="center"/>
          </w:tcPr>
          <w:p>
            <w:pPr>
              <w:pStyle w:val="TableContents"/>
              <w:bidi w:val="0"/>
              <w:spacing w:lineRule="auto" w:line="285" w:before="0" w:after="0"/>
              <w:ind w:left="0" w:right="0" w:hanging="0"/>
              <w:jc w:val="left"/>
              <w:rPr/>
            </w:pPr>
            <w:r>
              <w:rPr/>
              <w:t>​</w:t>
            </w:r>
          </w:p>
        </w:tc>
        <w:tc>
          <w:tcPr>
            <w:tcW w:w="900" w:type="dxa"/>
            <w:tcBorders/>
            <w:vAlign w:val="center"/>
          </w:tcPr>
          <w:p>
            <w:pPr>
              <w:pStyle w:val="TableContents"/>
              <w:bidi w:val="0"/>
              <w:spacing w:lineRule="auto" w:line="285" w:before="0" w:after="0"/>
              <w:ind w:left="0" w:right="0" w:hanging="0"/>
              <w:jc w:val="left"/>
              <w:rPr/>
            </w:pPr>
            <w:r>
              <w:rPr/>
              <w:t>​</w:t>
            </w:r>
          </w:p>
        </w:tc>
        <w:tc>
          <w:tcPr>
            <w:tcW w:w="1131"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Stacked Mar-17</w:t>
            </w:r>
          </w:p>
        </w:tc>
      </w:tr>
      <w:tr>
        <w:trPr/>
        <w:tc>
          <w:tcPr>
            <w:tcW w:w="1055" w:type="dxa"/>
            <w:tcBorders>
              <w:left w:val="single" w:sz="2" w:space="0" w:color="000000"/>
              <w:bottom w:val="single" w:sz="2" w:space="0" w:color="000000"/>
              <w:right w:val="single" w:sz="2" w:space="0" w:color="000000"/>
            </w:tcBorders>
            <w:shd w:fill="E7E6E6" w:val="clear"/>
            <w:tcMar>
              <w:left w:w="28" w:type="dxa"/>
              <w:bottom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Ocean Rig Mylos</w:t>
            </w:r>
          </w:p>
        </w:tc>
        <w:tc>
          <w:tcPr>
            <w:tcW w:w="991" w:type="dxa"/>
            <w:tcBorders>
              <w:left w:val="single" w:sz="2" w:space="0" w:color="000000"/>
              <w:bottom w:val="single" w:sz="2" w:space="0" w:color="000000"/>
              <w:right w:val="single" w:sz="2" w:space="0" w:color="000000"/>
            </w:tcBorders>
            <w:shd w:fill="E7E6E6" w:val="clear"/>
            <w:tcMar>
              <w:left w:w="28" w:type="dxa"/>
              <w:bottom w:w="28" w:type="dxa"/>
              <w:right w:w="28" w:type="dxa"/>
            </w:tcMar>
            <w:vAlign w:val="center"/>
          </w:tcPr>
          <w:p>
            <w:pPr>
              <w:pStyle w:val="TableContents"/>
              <w:bidi w:val="0"/>
              <w:spacing w:lineRule="auto" w:line="285" w:before="0" w:after="0"/>
              <w:ind w:left="0" w:right="0" w:hanging="0"/>
              <w:jc w:val="right"/>
              <w:rPr/>
            </w:pPr>
            <w:r>
              <w:rPr/>
              <w:t>​</w:t>
            </w:r>
          </w:p>
        </w:tc>
        <w:tc>
          <w:tcPr>
            <w:tcW w:w="968" w:type="dxa"/>
            <w:tcBorders>
              <w:left w:val="single" w:sz="2" w:space="0" w:color="000000"/>
              <w:bottom w:val="single" w:sz="2" w:space="0" w:color="000000"/>
            </w:tcBorders>
            <w:shd w:fill="E7E6E6" w:val="clear"/>
            <w:tcMar>
              <w:left w:w="28" w:type="dxa"/>
              <w:bottom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1,250</w:t>
            </w:r>
          </w:p>
        </w:tc>
        <w:tc>
          <w:tcPr>
            <w:tcW w:w="721" w:type="dxa"/>
            <w:tcBorders>
              <w:bottom w:val="single" w:sz="2" w:space="0" w:color="000000"/>
            </w:tcBorders>
            <w:shd w:fill="E7E6E6"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2013</w:t>
            </w:r>
          </w:p>
        </w:tc>
        <w:tc>
          <w:tcPr>
            <w:tcW w:w="820" w:type="dxa"/>
            <w:tcBorders>
              <w:bottom w:val="single" w:sz="2" w:space="0" w:color="000000"/>
            </w:tcBorders>
            <w:shd w:fill="E7E6E6" w:val="clear"/>
            <w:tcMar>
              <w:bottom w:w="28" w:type="dxa"/>
            </w:tcMar>
            <w:vAlign w:val="center"/>
          </w:tcPr>
          <w:p>
            <w:pPr>
              <w:pStyle w:val="TableContents"/>
              <w:bidi w:val="0"/>
              <w:spacing w:lineRule="auto" w:line="285" w:before="0" w:after="0"/>
              <w:ind w:left="0" w:right="0" w:hanging="0"/>
              <w:jc w:val="center"/>
              <w:rPr/>
            </w:pPr>
            <w:r>
              <w:rPr/>
              <w:t>​</w:t>
            </w:r>
          </w:p>
        </w:tc>
        <w:tc>
          <w:tcPr>
            <w:tcW w:w="914" w:type="dxa"/>
            <w:tcBorders>
              <w:bottom w:val="single" w:sz="2" w:space="0" w:color="000000"/>
            </w:tcBorders>
            <w:shd w:fill="E7E6E6" w:val="clear"/>
            <w:tcMar>
              <w:bottom w:w="28" w:type="dxa"/>
            </w:tcMar>
            <w:vAlign w:val="center"/>
          </w:tcPr>
          <w:p>
            <w:pPr>
              <w:pStyle w:val="TableContents"/>
              <w:bidi w:val="0"/>
              <w:spacing w:lineRule="auto" w:line="285" w:before="0" w:after="0"/>
              <w:ind w:left="0" w:right="0" w:hanging="0"/>
              <w:jc w:val="center"/>
              <w:rPr/>
            </w:pPr>
            <w:r>
              <w:rPr/>
              <w:t>​</w:t>
            </w:r>
          </w:p>
        </w:tc>
        <w:tc>
          <w:tcPr>
            <w:tcW w:w="903" w:type="dxa"/>
            <w:tcBorders>
              <w:bottom w:val="single" w:sz="2" w:space="0" w:color="000000"/>
            </w:tcBorders>
            <w:shd w:fill="E7E6E6"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Stacked</w:t>
            </w:r>
          </w:p>
        </w:tc>
        <w:tc>
          <w:tcPr>
            <w:tcW w:w="901" w:type="dxa"/>
            <w:tcBorders>
              <w:bottom w:val="single" w:sz="2" w:space="0" w:color="000000"/>
            </w:tcBorders>
            <w:shd w:fill="E7E6E6" w:val="clear"/>
            <w:tcMar>
              <w:bottom w:w="28" w:type="dxa"/>
            </w:tcMar>
            <w:vAlign w:val="center"/>
          </w:tcPr>
          <w:p>
            <w:pPr>
              <w:pStyle w:val="TableContents"/>
              <w:bidi w:val="0"/>
              <w:spacing w:lineRule="auto" w:line="285" w:before="0" w:after="0"/>
              <w:ind w:left="0" w:right="0" w:hanging="0"/>
              <w:jc w:val="center"/>
              <w:rPr/>
            </w:pPr>
            <w:r>
              <w:rPr/>
              <w:t>​</w:t>
            </w:r>
          </w:p>
        </w:tc>
        <w:tc>
          <w:tcPr>
            <w:tcW w:w="901" w:type="dxa"/>
            <w:tcBorders>
              <w:bottom w:val="single" w:sz="2" w:space="0" w:color="000000"/>
            </w:tcBorders>
            <w:shd w:fill="E7E6E6" w:val="clear"/>
            <w:tcMar>
              <w:bottom w:w="28" w:type="dxa"/>
            </w:tcMar>
            <w:vAlign w:val="center"/>
          </w:tcPr>
          <w:p>
            <w:pPr>
              <w:pStyle w:val="TableContents"/>
              <w:bidi w:val="0"/>
              <w:spacing w:lineRule="auto" w:line="285" w:before="0" w:after="0"/>
              <w:ind w:left="0" w:right="0" w:hanging="0"/>
              <w:jc w:val="left"/>
              <w:rPr/>
            </w:pPr>
            <w:r>
              <w:rPr/>
              <w:t>​</w:t>
            </w:r>
          </w:p>
        </w:tc>
        <w:tc>
          <w:tcPr>
            <w:tcW w:w="900" w:type="dxa"/>
            <w:tcBorders>
              <w:bottom w:val="single" w:sz="2" w:space="0" w:color="000000"/>
            </w:tcBorders>
            <w:shd w:fill="E7E6E6" w:val="clear"/>
            <w:tcMar>
              <w:bottom w:w="28" w:type="dxa"/>
            </w:tcMar>
            <w:vAlign w:val="center"/>
          </w:tcPr>
          <w:p>
            <w:pPr>
              <w:pStyle w:val="TableContents"/>
              <w:bidi w:val="0"/>
              <w:spacing w:lineRule="auto" w:line="285" w:before="0" w:after="0"/>
              <w:ind w:left="0" w:right="0" w:hanging="0"/>
              <w:jc w:val="left"/>
              <w:rPr/>
            </w:pPr>
            <w:r>
              <w:rPr/>
              <w:t>​</w:t>
            </w:r>
          </w:p>
        </w:tc>
        <w:tc>
          <w:tcPr>
            <w:tcW w:w="1131" w:type="dxa"/>
            <w:tcBorders>
              <w:bottom w:val="single" w:sz="2" w:space="0" w:color="000000"/>
              <w:right w:val="single" w:sz="2" w:space="0" w:color="000000"/>
            </w:tcBorders>
            <w:shd w:fill="E7E6E6" w:val="clear"/>
            <w:tcMar>
              <w:bottom w:w="28" w:type="dxa"/>
              <w:righ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Stacked Sep-16</w:t>
            </w:r>
          </w:p>
        </w:tc>
      </w:tr>
      <w:tr>
        <w:trPr/>
        <w:tc>
          <w:tcPr>
            <w:tcW w:w="1055"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left"/>
              <w:rPr/>
            </w:pPr>
            <w:r>
              <w:rPr/>
              <w:t>​</w:t>
            </w:r>
          </w:p>
        </w:tc>
        <w:tc>
          <w:tcPr>
            <w:tcW w:w="820" w:type="dxa"/>
            <w:tcBorders/>
            <w:vAlign w:val="center"/>
          </w:tcPr>
          <w:p>
            <w:pPr>
              <w:pStyle w:val="TableContents"/>
              <w:bidi w:val="0"/>
              <w:spacing w:lineRule="auto" w:line="285" w:before="0" w:after="0"/>
              <w:ind w:left="0" w:right="0" w:hanging="0"/>
              <w:jc w:val="left"/>
              <w:rPr/>
            </w:pPr>
            <w:r>
              <w:rPr/>
              <w:t>​</w:t>
            </w:r>
          </w:p>
        </w:tc>
        <w:tc>
          <w:tcPr>
            <w:tcW w:w="914" w:type="dxa"/>
            <w:tcBorders/>
            <w:vAlign w:val="center"/>
          </w:tcPr>
          <w:p>
            <w:pPr>
              <w:pStyle w:val="TableContents"/>
              <w:bidi w:val="0"/>
              <w:spacing w:lineRule="auto" w:line="285" w:before="0" w:after="0"/>
              <w:ind w:left="0" w:right="0" w:hanging="0"/>
              <w:jc w:val="left"/>
              <w:rPr/>
            </w:pPr>
            <w:r>
              <w:rPr/>
              <w:t>​</w:t>
            </w:r>
          </w:p>
        </w:tc>
        <w:tc>
          <w:tcPr>
            <w:tcW w:w="903"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left"/>
              <w:rPr/>
            </w:pPr>
            <w:r>
              <w:rPr/>
              <w:t>​</w:t>
            </w:r>
          </w:p>
        </w:tc>
        <w:tc>
          <w:tcPr>
            <w:tcW w:w="900" w:type="dxa"/>
            <w:tcBorders/>
            <w:vAlign w:val="center"/>
          </w:tcPr>
          <w:p>
            <w:pPr>
              <w:pStyle w:val="TableContents"/>
              <w:bidi w:val="0"/>
              <w:spacing w:lineRule="auto" w:line="285" w:before="0" w:after="0"/>
              <w:ind w:left="0" w:right="0" w:hanging="0"/>
              <w:jc w:val="left"/>
              <w:rPr/>
            </w:pPr>
            <w:r>
              <w:rPr/>
              <w:t>​</w:t>
            </w:r>
          </w:p>
        </w:tc>
        <w:tc>
          <w:tcPr>
            <w:tcW w:w="1131" w:type="dxa"/>
            <w:tcBorders/>
            <w:vAlign w:val="center"/>
          </w:tcPr>
          <w:p>
            <w:pPr>
              <w:pStyle w:val="TableContents"/>
              <w:bidi w:val="0"/>
              <w:spacing w:lineRule="auto" w:line="285" w:before="0" w:after="0"/>
              <w:ind w:left="0" w:right="0" w:hanging="0"/>
              <w:jc w:val="center"/>
              <w:rPr/>
            </w:pPr>
            <w:r>
              <w:rPr/>
              <w:t>​</w:t>
            </w:r>
          </w:p>
        </w:tc>
      </w:tr>
      <w:tr>
        <w:trPr/>
        <w:tc>
          <w:tcPr>
            <w:tcW w:w="1055"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center"/>
              <w:rPr/>
            </w:pPr>
            <w:r>
              <w:rPr/>
              <w:t>​</w:t>
            </w:r>
          </w:p>
        </w:tc>
        <w:tc>
          <w:tcPr>
            <w:tcW w:w="721" w:type="dxa"/>
            <w:tcBorders/>
            <w:vAlign w:val="center"/>
          </w:tcPr>
          <w:p>
            <w:pPr>
              <w:pStyle w:val="TableContents"/>
              <w:bidi w:val="0"/>
              <w:spacing w:lineRule="auto" w:line="285" w:before="0" w:after="0"/>
              <w:ind w:left="0" w:right="0" w:hanging="0"/>
              <w:jc w:val="center"/>
              <w:rPr/>
            </w:pPr>
            <w:r>
              <w:rPr/>
              <w:t>​</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Q3 2026</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Q4 2026</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Q1 2027</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Q2 2027</w:t>
            </w:r>
          </w:p>
        </w:tc>
        <w:tc>
          <w:tcPr>
            <w:tcW w:w="901" w:type="dxa"/>
            <w:tcBorders/>
            <w:vAlign w:val="center"/>
          </w:tcPr>
          <w:p>
            <w:pPr>
              <w:pStyle w:val="TableContents"/>
              <w:bidi w:val="0"/>
              <w:spacing w:lineRule="auto" w:line="285" w:before="0" w:after="0"/>
              <w:ind w:left="0" w:right="0" w:hanging="0"/>
              <w:jc w:val="left"/>
              <w:rPr/>
            </w:pPr>
            <w:r>
              <w:rPr/>
              <w:t>​</w:t>
            </w:r>
          </w:p>
        </w:tc>
        <w:tc>
          <w:tcPr>
            <w:tcW w:w="900" w:type="dxa"/>
            <w:tcBorders/>
            <w:vAlign w:val="center"/>
          </w:tcPr>
          <w:p>
            <w:pPr>
              <w:pStyle w:val="TableContents"/>
              <w:bidi w:val="0"/>
              <w:spacing w:lineRule="auto" w:line="285" w:before="0" w:after="0"/>
              <w:ind w:left="0" w:right="0" w:hanging="0"/>
              <w:jc w:val="left"/>
              <w:rPr/>
            </w:pPr>
            <w:r>
              <w:rPr/>
              <w:t>​</w:t>
            </w:r>
          </w:p>
        </w:tc>
        <w:tc>
          <w:tcPr>
            <w:tcW w:w="1131" w:type="dxa"/>
            <w:tcBorders/>
            <w:vAlign w:val="center"/>
          </w:tcPr>
          <w:p>
            <w:pPr>
              <w:pStyle w:val="TableContents"/>
              <w:bidi w:val="0"/>
              <w:spacing w:lineRule="auto" w:line="285" w:before="0" w:after="0"/>
              <w:ind w:left="0" w:right="0" w:hanging="0"/>
              <w:jc w:val="center"/>
              <w:rPr/>
            </w:pPr>
            <w:r>
              <w:rPr/>
              <w:t>​</w:t>
            </w:r>
          </w:p>
        </w:tc>
      </w:tr>
      <w:tr>
        <w:trPr/>
        <w:tc>
          <w:tcPr>
            <w:tcW w:w="1055" w:type="dxa"/>
            <w:tcBorders/>
            <w:vAlign w:val="center"/>
          </w:tcPr>
          <w:p>
            <w:pPr>
              <w:pStyle w:val="TableContents"/>
              <w:bidi w:val="0"/>
              <w:spacing w:lineRule="auto" w:line="285" w:before="0" w:after="0"/>
              <w:ind w:left="0" w:right="0" w:hanging="0"/>
              <w:jc w:val="left"/>
              <w:rPr/>
            </w:pPr>
            <w:r>
              <w:rPr/>
              <w:t>​</w:t>
            </w:r>
          </w:p>
        </w:tc>
        <w:tc>
          <w:tcPr>
            <w:tcW w:w="99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Estimated Average Contract Dayrates (4)</w:t>
            </w:r>
          </w:p>
        </w:tc>
        <w:tc>
          <w:tcPr>
            <w:tcW w:w="721" w:type="dxa"/>
            <w:tcBorders/>
            <w:vAlign w:val="center"/>
          </w:tcPr>
          <w:p>
            <w:pPr>
              <w:pStyle w:val="TableContents"/>
              <w:bidi w:val="0"/>
              <w:spacing w:lineRule="auto" w:line="285" w:before="0" w:after="0"/>
              <w:ind w:left="0" w:right="0" w:hanging="0"/>
              <w:jc w:val="right"/>
              <w:rPr/>
            </w:pPr>
            <w:r>
              <w:rPr/>
              <w:t>​</w:t>
            </w:r>
          </w:p>
        </w:tc>
        <w:tc>
          <w:tcPr>
            <w:tcW w:w="820"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$451,000</w:t>
            </w:r>
          </w:p>
        </w:tc>
        <w:tc>
          <w:tcPr>
            <w:tcW w:w="9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$451,000</w:t>
            </w:r>
          </w:p>
        </w:tc>
        <w:tc>
          <w:tcPr>
            <w:tcW w:w="903"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$449,000</w:t>
            </w:r>
          </w:p>
        </w:tc>
        <w:tc>
          <w:tcPr>
            <w:tcW w:w="90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$447,000</w:t>
            </w:r>
          </w:p>
        </w:tc>
        <w:tc>
          <w:tcPr>
            <w:tcW w:w="901"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900" w:type="dxa"/>
            <w:tcBorders/>
            <w:vAlign w:val="center"/>
          </w:tcPr>
          <w:p>
            <w:pPr>
              <w:pStyle w:val="TableContents"/>
              <w:bidi w:val="0"/>
              <w:spacing w:lineRule="auto" w:line="285" w:before="0" w:after="0"/>
              <w:ind w:left="0" w:right="0" w:hanging="0"/>
              <w:jc w:val="center"/>
              <w:rPr/>
            </w:pPr>
            <w:r>
              <w:rPr/>
              <w:t>​</w:t>
            </w:r>
          </w:p>
        </w:tc>
        <w:tc>
          <w:tcPr>
            <w:tcW w:w="1131" w:type="dxa"/>
            <w:tcBorders/>
            <w:vAlign w:val="center"/>
          </w:tcPr>
          <w:p>
            <w:pPr>
              <w:pStyle w:val="TableContents"/>
              <w:bidi w:val="0"/>
              <w:spacing w:lineRule="auto" w:line="285" w:before="0" w:after="0"/>
              <w:ind w:left="0" w:right="0" w:hanging="0"/>
              <w:jc w:val="center"/>
              <w:rPr/>
            </w:pPr>
            <w:r>
              <w:rPr/>
              <w:t>​</w:t>
            </w:r>
          </w:p>
        </w:tc>
      </w:tr>
      <w:tr>
        <w:trPr/>
        <w:tc>
          <w:tcPr>
            <w:tcW w:w="1055" w:type="dxa"/>
            <w:tcBorders/>
            <w:shd w:fill="FFFFFF" w:val="clear"/>
            <w:vAlign w:val="center"/>
          </w:tcPr>
          <w:p>
            <w:pPr>
              <w:pStyle w:val="TableContents"/>
              <w:bidi w:val="0"/>
              <w:spacing w:lineRule="auto" w:line="285" w:before="0" w:after="0"/>
              <w:ind w:left="0" w:right="0" w:hanging="0"/>
              <w:jc w:val="left"/>
              <w:rPr/>
            </w:pPr>
            <w:r>
              <w:rPr/>
              <w:t>​</w:t>
            </w:r>
          </w:p>
        </w:tc>
        <w:tc>
          <w:tcPr>
            <w:tcW w:w="991" w:type="dxa"/>
            <w:tcBorders/>
            <w:shd w:fill="FFFFFF" w:val="clear"/>
            <w:vAlign w:val="center"/>
          </w:tcPr>
          <w:p>
            <w:pPr>
              <w:pStyle w:val="TableContents"/>
              <w:bidi w:val="0"/>
              <w:spacing w:lineRule="auto" w:line="285" w:before="0" w:after="0"/>
              <w:ind w:left="0" w:right="0" w:hanging="0"/>
              <w:jc w:val="right"/>
              <w:rPr/>
            </w:pPr>
            <w:r>
              <w:rPr/>
              <w:t>​</w:t>
            </w:r>
          </w:p>
        </w:tc>
        <w:tc>
          <w:tcPr>
            <w:tcW w:w="968" w:type="dxa"/>
            <w:tcBorders/>
            <w:shd w:fill="FFFFFF" w:val="clear"/>
            <w:vAlign w:val="center"/>
          </w:tcPr>
          <w:p>
            <w:pPr>
              <w:pStyle w:val="TableContents"/>
              <w:bidi w:val="0"/>
              <w:spacing w:lineRule="auto" w:line="285" w:before="0" w:after="0"/>
              <w:ind w:left="0" w:right="0" w:hanging="0"/>
              <w:jc w:val="center"/>
              <w:rPr/>
            </w:pPr>
            <w:r>
              <w:rPr/>
              <w:t>​</w:t>
            </w:r>
          </w:p>
        </w:tc>
        <w:tc>
          <w:tcPr>
            <w:tcW w:w="721" w:type="dxa"/>
            <w:tcBorders/>
            <w:shd w:fill="FFFFFF" w:val="clear"/>
            <w:vAlign w:val="center"/>
          </w:tcPr>
          <w:p>
            <w:pPr>
              <w:pStyle w:val="TableContents"/>
              <w:bidi w:val="0"/>
              <w:spacing w:lineRule="auto" w:line="285" w:before="0" w:after="0"/>
              <w:ind w:left="0" w:right="0" w:hanging="0"/>
              <w:jc w:val="center"/>
              <w:rPr/>
            </w:pPr>
            <w:r>
              <w:rPr/>
              <w:t>​</w:t>
            </w:r>
          </w:p>
        </w:tc>
        <w:tc>
          <w:tcPr>
            <w:tcW w:w="820" w:type="dxa"/>
            <w:tcBorders/>
            <w:shd w:fill="FFFFFF" w:val="clear"/>
            <w:vAlign w:val="center"/>
          </w:tcPr>
          <w:p>
            <w:pPr>
              <w:pStyle w:val="TableContents"/>
              <w:bidi w:val="0"/>
              <w:spacing w:lineRule="auto" w:line="285" w:before="0" w:after="0"/>
              <w:ind w:left="0" w:right="0" w:hanging="0"/>
              <w:jc w:val="center"/>
              <w:rPr/>
            </w:pPr>
            <w:r>
              <w:rPr/>
              <w:t>​</w:t>
            </w:r>
          </w:p>
        </w:tc>
        <w:tc>
          <w:tcPr>
            <w:tcW w:w="914" w:type="dxa"/>
            <w:tcBorders/>
            <w:shd w:fill="FFFFFF" w:val="clear"/>
            <w:vAlign w:val="center"/>
          </w:tcPr>
          <w:p>
            <w:pPr>
              <w:pStyle w:val="TableContents"/>
              <w:bidi w:val="0"/>
              <w:spacing w:lineRule="auto" w:line="285" w:before="0" w:after="0"/>
              <w:ind w:left="0" w:right="0" w:hanging="0"/>
              <w:jc w:val="center"/>
              <w:rPr/>
            </w:pPr>
            <w:r>
              <w:rPr/>
              <w:t>​</w:t>
            </w:r>
          </w:p>
        </w:tc>
        <w:tc>
          <w:tcPr>
            <w:tcW w:w="903" w:type="dxa"/>
            <w:tcBorders/>
            <w:shd w:fill="FFFFFF" w:val="clear"/>
            <w:vAlign w:val="center"/>
          </w:tcPr>
          <w:p>
            <w:pPr>
              <w:pStyle w:val="TableContents"/>
              <w:bidi w:val="0"/>
              <w:spacing w:lineRule="auto" w:line="285" w:before="0" w:after="0"/>
              <w:ind w:left="0" w:right="0" w:hanging="0"/>
              <w:jc w:val="center"/>
              <w:rPr/>
            </w:pPr>
            <w:r>
              <w:rPr/>
              <w:t>​</w:t>
            </w:r>
          </w:p>
        </w:tc>
        <w:tc>
          <w:tcPr>
            <w:tcW w:w="901" w:type="dxa"/>
            <w:tcBorders/>
            <w:shd w:fill="FFFFFF" w:val="clear"/>
            <w:vAlign w:val="center"/>
          </w:tcPr>
          <w:p>
            <w:pPr>
              <w:pStyle w:val="TableContents"/>
              <w:bidi w:val="0"/>
              <w:spacing w:lineRule="auto" w:line="285" w:before="0" w:after="0"/>
              <w:ind w:left="0" w:right="0" w:hanging="0"/>
              <w:jc w:val="center"/>
              <w:rPr/>
            </w:pPr>
            <w:r>
              <w:rPr/>
              <w:t>​</w:t>
            </w:r>
          </w:p>
        </w:tc>
        <w:tc>
          <w:tcPr>
            <w:tcW w:w="901" w:type="dxa"/>
            <w:tcBorders/>
            <w:shd w:fill="FFFFFF" w:val="clear"/>
            <w:vAlign w:val="center"/>
          </w:tcPr>
          <w:p>
            <w:pPr>
              <w:pStyle w:val="TableContents"/>
              <w:bidi w:val="0"/>
              <w:spacing w:lineRule="auto" w:line="285" w:before="0" w:after="0"/>
              <w:ind w:left="0" w:right="0" w:hanging="0"/>
              <w:jc w:val="center"/>
              <w:rPr/>
            </w:pPr>
            <w:r>
              <w:rPr/>
              <w:t>​</w:t>
            </w:r>
          </w:p>
        </w:tc>
        <w:tc>
          <w:tcPr>
            <w:tcW w:w="900" w:type="dxa"/>
            <w:tcBorders/>
            <w:shd w:fill="FFFFFF" w:val="clear"/>
            <w:vAlign w:val="center"/>
          </w:tcPr>
          <w:p>
            <w:pPr>
              <w:pStyle w:val="TableContents"/>
              <w:bidi w:val="0"/>
              <w:spacing w:lineRule="auto" w:line="285" w:before="0" w:after="0"/>
              <w:ind w:left="0" w:right="0" w:hanging="0"/>
              <w:jc w:val="right"/>
              <w:rPr/>
            </w:pPr>
            <w:r>
              <w:rPr/>
              <w:t>​</w:t>
            </w:r>
          </w:p>
        </w:tc>
        <w:tc>
          <w:tcPr>
            <w:tcW w:w="1131" w:type="dxa"/>
            <w:tcBorders/>
            <w:shd w:fill="FFFFFF" w:val="clear"/>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549"/>
        <w:gridCol w:w="371"/>
        <w:gridCol w:w="1262"/>
        <w:gridCol w:w="466"/>
        <w:gridCol w:w="811"/>
        <w:gridCol w:w="1068"/>
        <w:gridCol w:w="877"/>
        <w:gridCol w:w="781"/>
        <w:gridCol w:w="514"/>
        <w:gridCol w:w="948"/>
        <w:gridCol w:w="1558"/>
      </w:tblGrid>
      <w:tr>
        <w:trPr/>
        <w:tc>
          <w:tcPr>
            <w:tcW w:w="1549" w:type="dxa"/>
            <w:tcBorders/>
            <w:vAlign w:val="center"/>
          </w:tcPr>
          <w:p>
            <w:pPr>
              <w:pStyle w:val="TableContents"/>
              <w:bidi w:val="0"/>
              <w:spacing w:lineRule="auto" w:line="285" w:before="0" w:after="0"/>
              <w:ind w:left="0" w:right="0" w:hanging="0"/>
              <w:jc w:val="left"/>
              <w:rPr/>
            </w:pPr>
            <w:r>
              <w:rPr/>
              <w:t>​</w:t>
            </w:r>
          </w:p>
        </w:tc>
        <w:tc>
          <w:tcPr>
            <w:tcW w:w="371" w:type="dxa"/>
            <w:tcBorders/>
            <w:vAlign w:val="center"/>
          </w:tcPr>
          <w:p>
            <w:pPr>
              <w:pStyle w:val="TableContents"/>
              <w:bidi w:val="0"/>
              <w:spacing w:lineRule="auto" w:line="285" w:before="0" w:after="0"/>
              <w:ind w:left="0" w:right="0" w:hanging="0"/>
              <w:jc w:val="left"/>
              <w:rPr/>
            </w:pPr>
            <w:r>
              <w:rPr/>
              <w:t>​</w: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01370" cy="175260"/>
                      <wp:effectExtent l="0" t="0" r="0" b="0"/>
                      <wp:wrapNone/>
                      <wp:docPr id="227" name="Frame221"/>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95910" cy="175260"/>
                      <wp:effectExtent l="0" t="0" r="0" b="0"/>
                      <wp:wrapNone/>
                      <wp:docPr id="228" name="Frame22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lineRule="auto" w:line="285" w:before="0" w:after="0"/>
              <w:ind w:left="0" w:right="0" w:hanging="0"/>
              <w:jc w:val="left"/>
              <w:rPr/>
            </w:pPr>
            <w:r>
              <w:rPr/>
              <w:t>​</w:t>
            </w:r>
          </w:p>
        </w:tc>
        <w:tc>
          <w:tcPr>
            <w:tcW w:w="1068" w:type="dxa"/>
            <w:tcBorders/>
            <w:vAlign w:val="center"/>
          </w:tcPr>
          <w:p>
            <w:pPr>
              <w:pStyle w:val="TableContents"/>
              <w:bidi w:val="0"/>
              <w:spacing w:lineRule="auto" w:line="285" w:before="0" w:after="0"/>
              <w:ind w:left="0" w:right="0" w:hanging="0"/>
              <w:jc w:val="left"/>
              <w:rPr/>
            </w:pPr>
            <w:r>
              <w:rPr/>
              <w:t>​</w:t>
            </w:r>
          </w:p>
        </w:tc>
        <w:tc>
          <w:tcPr>
            <w:tcW w:w="877"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514" w:type="dxa"/>
            <w:tcBorders/>
            <w:vAlign w:val="center"/>
          </w:tcPr>
          <w:p>
            <w:pPr>
              <w:pStyle w:val="TableContents"/>
              <w:bidi w:val="0"/>
              <w:spacing w:lineRule="auto" w:line="285" w:before="0" w:after="0"/>
              <w:ind w:left="0" w:right="0" w:hanging="0"/>
              <w:jc w:val="left"/>
              <w:rPr/>
            </w:pPr>
            <w:r>
              <w:rPr/>
              <w:t>​</w:t>
            </w:r>
          </w:p>
        </w:tc>
        <w:tc>
          <w:tcPr>
            <w:tcW w:w="948" w:type="dxa"/>
            <w:tcBorders/>
            <w:vAlign w:val="center"/>
          </w:tcPr>
          <w:p>
            <w:pPr>
              <w:pStyle w:val="TableContents"/>
              <w:bidi w:val="0"/>
              <w:spacing w:lineRule="auto" w:line="285" w:before="0" w:after="0"/>
              <w:ind w:left="0" w:right="0" w:hanging="0"/>
              <w:jc w:val="left"/>
              <w:rPr/>
            </w:pPr>
            <w:r>
              <w:rPr/>
              <w:t>​</w:t>
            </w:r>
          </w:p>
        </w:tc>
        <w:tc>
          <w:tcPr>
            <w:tcW w:w="1558" w:type="dxa"/>
            <w:tcBorders/>
            <w:vAlign w:val="center"/>
          </w:tcPr>
          <w:p>
            <w:pPr>
              <w:pStyle w:val="TableContents"/>
              <w:bidi w:val="0"/>
              <w:spacing w:lineRule="auto" w:line="285" w:before="0" w:after="0"/>
              <w:ind w:left="0" w:right="0" w:hanging="0"/>
              <w:jc w:val="left"/>
              <w:rPr/>
            </w:pPr>
            <w:r>
              <w:rPr/>
              <w:t>​</w:t>
            </w:r>
          </w:p>
        </w:tc>
      </w:tr>
      <w:tr>
        <w:trPr/>
        <w:tc>
          <w:tcPr>
            <w:tcW w:w="1920" w:type="dxa"/>
            <w:gridSpan w:val="2"/>
            <w:tcBorders>
              <w:top w:val="single" w:sz="2" w:space="0" w:color="000000"/>
              <w:left w:val="single" w:sz="2" w:space="0" w:color="000000"/>
              <w:bottom w:val="single" w:sz="2" w:space="0" w:color="000000"/>
            </w:tcBorders>
            <w:shd w:fill="FFC000" w:val="clear"/>
            <w:tcMar>
              <w:top w:w="28" w:type="dxa"/>
              <w:left w:w="28" w:type="dxa"/>
              <w:bottom w:w="28" w:type="dxa"/>
            </w:tcMar>
            <w:vAlign w:val="center"/>
          </w:tcPr>
          <w:p>
            <w:pPr>
              <w:pStyle w:val="TableContents"/>
              <w:bidi w:val="0"/>
              <w:spacing w:lineRule="auto" w:line="285" w:before="0" w:after="0"/>
              <w:ind w:left="0" w:right="0" w:hanging="0"/>
              <w:jc w:val="left"/>
              <w:rPr>
                <w:rFonts w:ascii="Arial;Helvetica;sans-serif" w:hAnsi="Arial;Helvetica;sans-serif"/>
                <w:b/>
                <w:i/>
                <w:sz w:val="16"/>
              </w:rPr>
            </w:pPr>
            <w:r>
              <w:rPr>
                <w:rFonts w:ascii="Arial;Helvetica;sans-serif" w:hAnsi="Arial;Helvetica;sans-serif"/>
                <w:b/>
                <w:i/>
                <w:sz w:val="16"/>
              </w:rPr>
              <w:t>Harsh Environment Semisubmersibles (7)</w:t>
            </w:r>
          </w:p>
        </w:tc>
        <w:tc>
          <w:tcPr>
            <w:tcW w:w="1262" w:type="dxa"/>
            <w:tcBorders>
              <w:top w:val="single" w:sz="2" w:space="0" w:color="000000"/>
              <w:bottom w:val="single" w:sz="2" w:space="0" w:color="000000"/>
            </w:tcBorders>
            <w:shd w:fill="FFC000" w:val="clear"/>
            <w:tcMar>
              <w:top w:w="28" w:type="dxa"/>
              <w:bottom w:w="28" w:type="dxa"/>
            </w:tcMar>
            <w:vAlign w:val="center"/>
          </w:tcPr>
          <w:p>
            <w:pPr>
              <w:pStyle w:val="TableContents"/>
              <w:bidi w:val="0"/>
              <w:spacing w:lineRule="auto" w:line="285" w:before="0" w:after="0"/>
              <w:ind w:left="0" w:right="0" w:hanging="0"/>
              <w:jc w:val="left"/>
              <w:rPr/>
            </w:pPr>
            <w:r>
              <w:rPr/>
              <w:t>​</w:t>
            </w:r>
          </w:p>
        </w:tc>
        <w:tc>
          <w:tcPr>
            <w:tcW w:w="466" w:type="dxa"/>
            <w:tcBorders>
              <w:top w:val="single" w:sz="2" w:space="0" w:color="000000"/>
              <w:bottom w:val="single" w:sz="2" w:space="0" w:color="000000"/>
            </w:tcBorders>
            <w:shd w:fill="FFC000" w:val="clear"/>
            <w:tcMar>
              <w:top w:w="28" w:type="dxa"/>
              <w:bottom w:w="28" w:type="dxa"/>
            </w:tcMar>
            <w:vAlign w:val="center"/>
          </w:tcPr>
          <w:p>
            <w:pPr>
              <w:pStyle w:val="TableContents"/>
              <w:bidi w:val="0"/>
              <w:spacing w:lineRule="auto" w:line="285" w:before="0" w:after="0"/>
              <w:ind w:left="0" w:right="0" w:hanging="0"/>
              <w:jc w:val="left"/>
              <w:rPr/>
            </w:pPr>
            <w:r>
              <w:rPr/>
              <w:t>​</w:t>
            </w:r>
          </w:p>
        </w:tc>
        <w:tc>
          <w:tcPr>
            <w:tcW w:w="811" w:type="dxa"/>
            <w:tcBorders>
              <w:top w:val="single" w:sz="2" w:space="0" w:color="000000"/>
              <w:bottom w:val="single" w:sz="2" w:space="0" w:color="000000"/>
            </w:tcBorders>
            <w:shd w:fill="FFC000" w:val="clear"/>
            <w:tcMar>
              <w:top w:w="28" w:type="dxa"/>
              <w:bottom w:w="28" w:type="dxa"/>
            </w:tcMar>
            <w:vAlign w:val="center"/>
          </w:tcPr>
          <w:p>
            <w:pPr>
              <w:pStyle w:val="TableContents"/>
              <w:bidi w:val="0"/>
              <w:spacing w:lineRule="auto" w:line="285" w:before="0" w:after="0"/>
              <w:ind w:left="0" w:right="0" w:hanging="0"/>
              <w:jc w:val="left"/>
              <w:rPr/>
            </w:pPr>
            <w:r>
              <w:rPr/>
              <w:t>​</w:t>
            </w:r>
          </w:p>
        </w:tc>
        <w:tc>
          <w:tcPr>
            <w:tcW w:w="1068" w:type="dxa"/>
            <w:tcBorders>
              <w:top w:val="single" w:sz="2" w:space="0" w:color="000000"/>
              <w:bottom w:val="single" w:sz="2" w:space="0" w:color="000000"/>
            </w:tcBorders>
            <w:shd w:fill="FFC000" w:val="clear"/>
            <w:tcMar>
              <w:top w:w="28" w:type="dxa"/>
              <w:bottom w:w="28" w:type="dxa"/>
            </w:tcMar>
            <w:vAlign w:val="center"/>
          </w:tcPr>
          <w:p>
            <w:pPr>
              <w:pStyle w:val="TableContents"/>
              <w:bidi w:val="0"/>
              <w:spacing w:lineRule="auto" w:line="285" w:before="0" w:after="0"/>
              <w:ind w:left="0" w:right="0" w:hanging="0"/>
              <w:jc w:val="left"/>
              <w:rPr/>
            </w:pPr>
            <w:r>
              <w:rPr/>
              <w:t>​</w:t>
            </w:r>
          </w:p>
        </w:tc>
        <w:tc>
          <w:tcPr>
            <w:tcW w:w="877" w:type="dxa"/>
            <w:tcBorders>
              <w:top w:val="single" w:sz="2" w:space="0" w:color="000000"/>
              <w:bottom w:val="single" w:sz="2" w:space="0" w:color="000000"/>
            </w:tcBorders>
            <w:shd w:fill="FFC000" w:val="clear"/>
            <w:tcMar>
              <w:top w:w="28" w:type="dxa"/>
              <w:bottom w:w="28" w:type="dxa"/>
            </w:tcMar>
            <w:vAlign w:val="center"/>
          </w:tcPr>
          <w:p>
            <w:pPr>
              <w:pStyle w:val="TableContents"/>
              <w:bidi w:val="0"/>
              <w:spacing w:lineRule="auto" w:line="285" w:before="0" w:after="0"/>
              <w:ind w:left="0" w:right="0" w:hanging="0"/>
              <w:jc w:val="left"/>
              <w:rPr/>
            </w:pPr>
            <w:r>
              <w:rPr/>
              <w:t>​</w:t>
            </w:r>
          </w:p>
        </w:tc>
        <w:tc>
          <w:tcPr>
            <w:tcW w:w="781" w:type="dxa"/>
            <w:tcBorders>
              <w:top w:val="single" w:sz="2" w:space="0" w:color="000000"/>
              <w:bottom w:val="single" w:sz="2" w:space="0" w:color="000000"/>
            </w:tcBorders>
            <w:shd w:fill="FFC000" w:val="clear"/>
            <w:tcMar>
              <w:top w:w="28" w:type="dxa"/>
              <w:bottom w:w="28" w:type="dxa"/>
            </w:tcMar>
            <w:vAlign w:val="center"/>
          </w:tcPr>
          <w:p>
            <w:pPr>
              <w:pStyle w:val="TableContents"/>
              <w:bidi w:val="0"/>
              <w:spacing w:lineRule="auto" w:line="285" w:before="0" w:after="0"/>
              <w:ind w:left="0" w:right="0" w:hanging="0"/>
              <w:jc w:val="center"/>
              <w:rPr/>
            </w:pPr>
            <w:r>
              <w:rPr/>
              <w:t>​</w:t>
            </w:r>
          </w:p>
        </w:tc>
        <w:tc>
          <w:tcPr>
            <w:tcW w:w="514" w:type="dxa"/>
            <w:tcBorders>
              <w:top w:val="single" w:sz="2" w:space="0" w:color="000000"/>
              <w:bottom w:val="single" w:sz="2" w:space="0" w:color="000000"/>
            </w:tcBorders>
            <w:shd w:fill="FFC000" w:val="clear"/>
            <w:tcMar>
              <w:top w:w="28" w:type="dxa"/>
              <w:bottom w:w="28" w:type="dxa"/>
            </w:tcMar>
            <w:vAlign w:val="center"/>
          </w:tcPr>
          <w:p>
            <w:pPr>
              <w:pStyle w:val="TableContents"/>
              <w:bidi w:val="0"/>
              <w:spacing w:lineRule="auto" w:line="285" w:before="0" w:after="0"/>
              <w:ind w:left="0" w:right="0" w:hanging="0"/>
              <w:jc w:val="center"/>
              <w:rPr/>
            </w:pPr>
            <w:r>
              <w:rPr/>
              <w:t>​</w:t>
            </w:r>
          </w:p>
        </w:tc>
        <w:tc>
          <w:tcPr>
            <w:tcW w:w="948" w:type="dxa"/>
            <w:tcBorders>
              <w:top w:val="single" w:sz="2" w:space="0" w:color="000000"/>
              <w:bottom w:val="single" w:sz="2" w:space="0" w:color="000000"/>
            </w:tcBorders>
            <w:shd w:fill="FFC000" w:val="clear"/>
            <w:tcMar>
              <w:top w:w="28" w:type="dxa"/>
              <w:bottom w:w="28" w:type="dxa"/>
            </w:tcMar>
            <w:vAlign w:val="center"/>
          </w:tcPr>
          <w:p>
            <w:pPr>
              <w:pStyle w:val="TableContents"/>
              <w:bidi w:val="0"/>
              <w:spacing w:lineRule="auto" w:line="285" w:before="0" w:after="0"/>
              <w:ind w:left="0" w:right="0" w:hanging="0"/>
              <w:jc w:val="right"/>
              <w:rPr/>
            </w:pPr>
            <w:r>
              <w:rPr/>
              <w:t>​</w:t>
            </w:r>
          </w:p>
        </w:tc>
        <w:tc>
          <w:tcPr>
            <w:tcW w:w="1558" w:type="dxa"/>
            <w:tcBorders>
              <w:top w:val="single" w:sz="2" w:space="0" w:color="000000"/>
              <w:bottom w:val="single" w:sz="2" w:space="0" w:color="000000"/>
              <w:right w:val="single" w:sz="2" w:space="0" w:color="000000"/>
            </w:tcBorders>
            <w:shd w:fill="FFC000" w:val="clear"/>
            <w:tcMar>
              <w:top w:w="28" w:type="dxa"/>
              <w:bottom w:w="28" w:type="dxa"/>
              <w:right w:w="28" w:type="dxa"/>
            </w:tcMar>
            <w:vAlign w:val="center"/>
          </w:tcPr>
          <w:p>
            <w:pPr>
              <w:pStyle w:val="TableContents"/>
              <w:bidi w:val="0"/>
              <w:spacing w:lineRule="auto" w:line="285" w:before="0" w:after="0"/>
              <w:ind w:left="0" w:right="0" w:hanging="0"/>
              <w:jc w:val="center"/>
              <w:rPr>
                <w:color w:val="FFFFFF"/>
              </w:rPr>
            </w:pPr>
            <w:r>
              <w:rPr>
                <w:color w:val="FFFFFF"/>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Transocean Norge</w:t>
            </w:r>
          </w:p>
        </w:tc>
        <w:tc>
          <w:tcPr>
            <w:tcW w:w="37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1262"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Norway</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Harbour Energy / OMV</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Jun-26</w:t>
            </w:r>
          </w:p>
        </w:tc>
        <w:tc>
          <w:tcPr>
            <w:tcW w:w="5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Jan-28</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472,000</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1, 2</w:t>
            </w:r>
          </w:p>
        </w:tc>
        <w:tc>
          <w:tcPr>
            <w:tcW w:w="1262"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Norway</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Harbour Energy</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Firm</w:t>
            </w:r>
          </w:p>
        </w:tc>
        <w:tc>
          <w:tcPr>
            <w:tcW w:w="78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Jan-28</w:t>
            </w:r>
          </w:p>
        </w:tc>
        <w:tc>
          <w:tcPr>
            <w:tcW w:w="5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Nov-28</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513,000</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1, 2</w:t>
            </w:r>
          </w:p>
        </w:tc>
        <w:tc>
          <w:tcPr>
            <w:tcW w:w="1262"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Norway</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Harbour Energy</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Priced Options</w:t>
            </w:r>
          </w:p>
        </w:tc>
        <w:tc>
          <w:tcPr>
            <w:tcW w:w="78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Nov-28</w:t>
            </w:r>
          </w:p>
        </w:tc>
        <w:tc>
          <w:tcPr>
            <w:tcW w:w="5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Mar-29</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Not Disclosed</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Transocean Spitsbergen</w:t>
            </w:r>
          </w:p>
        </w:tc>
        <w:tc>
          <w:tcPr>
            <w:tcW w:w="37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1262"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1,000</w:t>
            </w:r>
          </w:p>
        </w:tc>
        <w:tc>
          <w:tcPr>
            <w:tcW w:w="466"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2010</w:t>
            </w:r>
          </w:p>
        </w:tc>
        <w:tc>
          <w:tcPr>
            <w:tcW w:w="81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Norway</w:t>
            </w:r>
          </w:p>
        </w:tc>
        <w:tc>
          <w:tcPr>
            <w:tcW w:w="1068"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Equinor</w:t>
            </w:r>
          </w:p>
        </w:tc>
        <w:tc>
          <w:tcPr>
            <w:tcW w:w="877"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Jun-26</w:t>
            </w:r>
          </w:p>
        </w:tc>
        <w:tc>
          <w:tcPr>
            <w:tcW w:w="5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Mar-27</w:t>
            </w:r>
          </w:p>
        </w:tc>
        <w:tc>
          <w:tcPr>
            <w:tcW w:w="948"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413,000</w:t>
            </w:r>
          </w:p>
        </w:tc>
        <w:tc>
          <w:tcPr>
            <w:tcW w:w="1558"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1262"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E7E6E6" w:val="clear"/>
            <w:vAlign w:val="center"/>
          </w:tcPr>
          <w:p>
            <w:pPr>
              <w:pStyle w:val="TableContents"/>
              <w:bidi w:val="0"/>
              <w:spacing w:lineRule="auto" w:line="285" w:before="0" w:after="0"/>
              <w:ind w:left="0" w:right="0" w:hanging="0"/>
              <w:jc w:val="center"/>
              <w:rPr/>
            </w:pPr>
            <w:r>
              <w:rPr/>
              <w:t>​</w:t>
            </w:r>
          </w:p>
        </w:tc>
        <w:tc>
          <w:tcPr>
            <w:tcW w:w="81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Norway</w:t>
            </w:r>
          </w:p>
        </w:tc>
        <w:tc>
          <w:tcPr>
            <w:tcW w:w="1068"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Equinor</w:t>
            </w:r>
          </w:p>
        </w:tc>
        <w:tc>
          <w:tcPr>
            <w:tcW w:w="877"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Mar-27</w:t>
            </w:r>
          </w:p>
        </w:tc>
        <w:tc>
          <w:tcPr>
            <w:tcW w:w="5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Nov-27</w:t>
            </w:r>
          </w:p>
        </w:tc>
        <w:tc>
          <w:tcPr>
            <w:tcW w:w="948"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515,000</w:t>
            </w:r>
          </w:p>
        </w:tc>
        <w:tc>
          <w:tcPr>
            <w:tcW w:w="1558"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sz w:val="16"/>
              </w:rPr>
            </w:pPr>
            <w:r>
              <w:rPr>
                <w:rFonts w:ascii="Arial;Helvetica;sans-serif" w:hAnsi="Arial;Helvetica;sans-serif"/>
                <w:sz w:val="16"/>
              </w:rPr>
              <w:t>Transocean Barents</w:t>
            </w:r>
          </w:p>
        </w:tc>
        <w:tc>
          <w:tcPr>
            <w:tcW w:w="37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1,000</w:t>
            </w:r>
          </w:p>
        </w:tc>
        <w:tc>
          <w:tcPr>
            <w:tcW w:w="466"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2009</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Romania</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 xml:space="preserve">OMV Petrom S.A. </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Mar-25</w:t>
            </w:r>
          </w:p>
        </w:tc>
        <w:tc>
          <w:tcPr>
            <w:tcW w:w="5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Sep-26</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482,000</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FFFFFF" w:val="clear"/>
            <w:vAlign w:val="center"/>
          </w:tcPr>
          <w:p>
            <w:pPr>
              <w:pStyle w:val="TableContents"/>
              <w:bidi w:val="0"/>
              <w:spacing w:lineRule="auto" w:line="285" w:before="0" w:after="0"/>
              <w:ind w:left="0" w:right="0" w:hanging="0"/>
              <w:jc w:val="center"/>
              <w:rPr/>
            </w:pPr>
            <w:r>
              <w:rPr/>
              <w:t>​</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Romania</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 xml:space="preserve">OMV Petrom S.A. </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Sep-26</w:t>
            </w:r>
          </w:p>
        </w:tc>
        <w:tc>
          <w:tcPr>
            <w:tcW w:w="5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Feb-27</w:t>
            </w:r>
          </w:p>
        </w:tc>
        <w:tc>
          <w:tcPr>
            <w:tcW w:w="948"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498,000</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pPr>
            <w:r>
              <w:rPr/>
              <w:t>​</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FFFFFF" w:val="clear"/>
            <w:vAlign w:val="center"/>
          </w:tcPr>
          <w:p>
            <w:pPr>
              <w:pStyle w:val="TableContents"/>
              <w:bidi w:val="0"/>
              <w:spacing w:lineRule="auto" w:line="285" w:before="0" w:after="0"/>
              <w:ind w:left="0" w:right="0" w:hanging="0"/>
              <w:jc w:val="center"/>
              <w:rPr/>
            </w:pPr>
            <w:r>
              <w:rPr/>
              <w:t>​</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Out of Service</w:t>
            </w:r>
          </w:p>
        </w:tc>
        <w:tc>
          <w:tcPr>
            <w:tcW w:w="78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Feb-27</w:t>
            </w:r>
          </w:p>
        </w:tc>
        <w:tc>
          <w:tcPr>
            <w:tcW w:w="5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Jul-27</w:t>
            </w:r>
          </w:p>
        </w:tc>
        <w:tc>
          <w:tcPr>
            <w:tcW w:w="948"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135 days - Mobilization &amp; Contract Preparation</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FFFFFF" w:val="clear"/>
            <w:vAlign w:val="center"/>
          </w:tcPr>
          <w:p>
            <w:pPr>
              <w:pStyle w:val="TableContents"/>
              <w:bidi w:val="0"/>
              <w:spacing w:lineRule="auto" w:line="285" w:before="0" w:after="0"/>
              <w:ind w:left="0" w:right="0" w:hanging="0"/>
              <w:jc w:val="center"/>
              <w:rPr/>
            </w:pPr>
            <w:r>
              <w:rPr/>
              <w:t>​</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Norway</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Vår Energi ASA </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Jul-27</w:t>
            </w:r>
          </w:p>
        </w:tc>
        <w:tc>
          <w:tcPr>
            <w:tcW w:w="5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Jul-30</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467,000</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FFFFFF" w:val="clear"/>
            <w:vAlign w:val="center"/>
          </w:tcPr>
          <w:p>
            <w:pPr>
              <w:pStyle w:val="TableContents"/>
              <w:bidi w:val="0"/>
              <w:spacing w:lineRule="auto" w:line="285" w:before="0" w:after="0"/>
              <w:ind w:left="0" w:right="0" w:hanging="0"/>
              <w:jc w:val="center"/>
              <w:rPr/>
            </w:pPr>
            <w:r>
              <w:rPr/>
              <w:t>​</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Norway</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Vår Energi ASA </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Priced Options</w:t>
            </w:r>
          </w:p>
        </w:tc>
        <w:tc>
          <w:tcPr>
            <w:tcW w:w="78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Jul-30</w:t>
            </w:r>
          </w:p>
        </w:tc>
        <w:tc>
          <w:tcPr>
            <w:tcW w:w="514"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Jul-34</w:t>
            </w:r>
          </w:p>
        </w:tc>
        <w:tc>
          <w:tcPr>
            <w:tcW w:w="948"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Not Disclosed</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Transocean Enabler</w:t>
            </w:r>
          </w:p>
        </w:tc>
        <w:tc>
          <w:tcPr>
            <w:tcW w:w="37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1262"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750</w:t>
            </w:r>
          </w:p>
        </w:tc>
        <w:tc>
          <w:tcPr>
            <w:tcW w:w="466"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2016</w:t>
            </w:r>
          </w:p>
        </w:tc>
        <w:tc>
          <w:tcPr>
            <w:tcW w:w="81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Norway</w:t>
            </w:r>
          </w:p>
        </w:tc>
        <w:tc>
          <w:tcPr>
            <w:tcW w:w="1068"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Equinor</w:t>
            </w:r>
          </w:p>
        </w:tc>
        <w:tc>
          <w:tcPr>
            <w:tcW w:w="877"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May-26</w:t>
            </w:r>
          </w:p>
        </w:tc>
        <w:tc>
          <w:tcPr>
            <w:tcW w:w="5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Jan-27</w:t>
            </w:r>
          </w:p>
        </w:tc>
        <w:tc>
          <w:tcPr>
            <w:tcW w:w="948"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436,000</w:t>
            </w:r>
          </w:p>
        </w:tc>
        <w:tc>
          <w:tcPr>
            <w:tcW w:w="1558"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1262"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E7E6E6" w:val="clear"/>
            <w:vAlign w:val="center"/>
          </w:tcPr>
          <w:p>
            <w:pPr>
              <w:pStyle w:val="TableContents"/>
              <w:bidi w:val="0"/>
              <w:spacing w:lineRule="auto" w:line="285" w:before="0" w:after="0"/>
              <w:ind w:left="0" w:right="0" w:hanging="0"/>
              <w:jc w:val="center"/>
              <w:rPr/>
            </w:pPr>
            <w:r>
              <w:rPr/>
              <w:t>​</w:t>
            </w:r>
          </w:p>
        </w:tc>
        <w:tc>
          <w:tcPr>
            <w:tcW w:w="81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Norway</w:t>
            </w:r>
          </w:p>
        </w:tc>
        <w:tc>
          <w:tcPr>
            <w:tcW w:w="1068"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Equinor</w:t>
            </w:r>
          </w:p>
        </w:tc>
        <w:tc>
          <w:tcPr>
            <w:tcW w:w="877"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Jan-27</w:t>
            </w:r>
          </w:p>
        </w:tc>
        <w:tc>
          <w:tcPr>
            <w:tcW w:w="5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Mar-28</w:t>
            </w:r>
          </w:p>
        </w:tc>
        <w:tc>
          <w:tcPr>
            <w:tcW w:w="948"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476,000</w:t>
            </w:r>
          </w:p>
        </w:tc>
        <w:tc>
          <w:tcPr>
            <w:tcW w:w="1558"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1, 2, 3, 5</w:t>
            </w:r>
          </w:p>
        </w:tc>
        <w:tc>
          <w:tcPr>
            <w:tcW w:w="1262"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E7E6E6" w:val="clear"/>
            <w:vAlign w:val="center"/>
          </w:tcPr>
          <w:p>
            <w:pPr>
              <w:pStyle w:val="TableContents"/>
              <w:bidi w:val="0"/>
              <w:spacing w:lineRule="auto" w:line="285" w:before="0" w:after="0"/>
              <w:ind w:left="0" w:right="0" w:hanging="0"/>
              <w:jc w:val="center"/>
              <w:rPr/>
            </w:pPr>
            <w:r>
              <w:rPr/>
              <w:t>​</w:t>
            </w:r>
          </w:p>
        </w:tc>
        <w:tc>
          <w:tcPr>
            <w:tcW w:w="81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Norway</w:t>
            </w:r>
          </w:p>
        </w:tc>
        <w:tc>
          <w:tcPr>
            <w:tcW w:w="1068"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Equinor</w:t>
            </w:r>
          </w:p>
        </w:tc>
        <w:tc>
          <w:tcPr>
            <w:tcW w:w="877"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Firm</w:t>
            </w:r>
          </w:p>
        </w:tc>
        <w:tc>
          <w:tcPr>
            <w:tcW w:w="78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Mar-28</w:t>
            </w:r>
          </w:p>
        </w:tc>
        <w:tc>
          <w:tcPr>
            <w:tcW w:w="5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Mar-31</w:t>
            </w:r>
          </w:p>
        </w:tc>
        <w:tc>
          <w:tcPr>
            <w:tcW w:w="948"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399,000</w:t>
            </w:r>
          </w:p>
        </w:tc>
        <w:tc>
          <w:tcPr>
            <w:tcW w:w="1558"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Transocean Encourage</w:t>
            </w:r>
          </w:p>
        </w:tc>
        <w:tc>
          <w:tcPr>
            <w:tcW w:w="37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750</w:t>
            </w:r>
          </w:p>
        </w:tc>
        <w:tc>
          <w:tcPr>
            <w:tcW w:w="466"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2016</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Norway</w:t>
            </w:r>
          </w:p>
        </w:tc>
        <w:tc>
          <w:tcPr>
            <w:tcW w:w="1068"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Equinor</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Jan-26</w:t>
            </w:r>
          </w:p>
        </w:tc>
        <w:tc>
          <w:tcPr>
            <w:tcW w:w="5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May-27</w:t>
            </w:r>
          </w:p>
        </w:tc>
        <w:tc>
          <w:tcPr>
            <w:tcW w:w="948"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511,000</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1, 2, 3</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FFFFFF" w:val="clear"/>
            <w:vAlign w:val="center"/>
          </w:tcPr>
          <w:p>
            <w:pPr>
              <w:pStyle w:val="TableContents"/>
              <w:bidi w:val="0"/>
              <w:spacing w:lineRule="auto" w:line="285" w:before="0" w:after="0"/>
              <w:ind w:left="0" w:right="0" w:hanging="0"/>
              <w:jc w:val="center"/>
              <w:rPr/>
            </w:pPr>
            <w:r>
              <w:rPr/>
              <w:t>​</w:t>
            </w:r>
          </w:p>
        </w:tc>
        <w:tc>
          <w:tcPr>
            <w:tcW w:w="81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Norway</w:t>
            </w:r>
          </w:p>
        </w:tc>
        <w:tc>
          <w:tcPr>
            <w:tcW w:w="1068"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Equinor</w:t>
            </w:r>
          </w:p>
        </w:tc>
        <w:tc>
          <w:tcPr>
            <w:tcW w:w="877"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May-27</w:t>
            </w:r>
          </w:p>
        </w:tc>
        <w:tc>
          <w:tcPr>
            <w:tcW w:w="514"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May-28</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437,000</w:t>
            </w:r>
          </w:p>
        </w:tc>
        <w:tc>
          <w:tcPr>
            <w:tcW w:w="1558"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1, 2, 3, 5</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FFFFFF" w:val="clear"/>
            <w:vAlign w:val="center"/>
          </w:tcPr>
          <w:p>
            <w:pPr>
              <w:pStyle w:val="TableContents"/>
              <w:bidi w:val="0"/>
              <w:spacing w:lineRule="auto" w:line="285" w:before="0" w:after="0"/>
              <w:ind w:left="0" w:right="0" w:hanging="0"/>
              <w:jc w:val="center"/>
              <w:rPr/>
            </w:pPr>
            <w:r>
              <w:rPr/>
              <w:t>​</w:t>
            </w:r>
          </w:p>
        </w:tc>
        <w:tc>
          <w:tcPr>
            <w:tcW w:w="81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Norway</w:t>
            </w:r>
          </w:p>
        </w:tc>
        <w:tc>
          <w:tcPr>
            <w:tcW w:w="1068"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Equinor</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Firm</w:t>
            </w:r>
          </w:p>
        </w:tc>
        <w:tc>
          <w:tcPr>
            <w:tcW w:w="78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May-28</w:t>
            </w:r>
          </w:p>
        </w:tc>
        <w:tc>
          <w:tcPr>
            <w:tcW w:w="514"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May-30</w:t>
            </w:r>
          </w:p>
        </w:tc>
        <w:tc>
          <w:tcPr>
            <w:tcW w:w="948" w:type="dxa"/>
            <w:tcBorders/>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399,000</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Transocean Endurance</w:t>
            </w:r>
          </w:p>
        </w:tc>
        <w:tc>
          <w:tcPr>
            <w:tcW w:w="37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1262"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E7E6E6" w:val="clear"/>
            <w:vAlign w:val="center"/>
          </w:tcPr>
          <w:p>
            <w:pPr>
              <w:pStyle w:val="TableContents"/>
              <w:bidi w:val="0"/>
              <w:spacing w:lineRule="auto" w:line="285" w:before="0" w:after="0"/>
              <w:ind w:left="0" w:right="0" w:hanging="0"/>
              <w:jc w:val="center"/>
              <w:rPr/>
            </w:pPr>
            <w:r>
              <w:rPr/>
              <w:t>​</w:t>
            </w:r>
          </w:p>
        </w:tc>
        <w:tc>
          <w:tcPr>
            <w:tcW w:w="81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Australia</w:t>
            </w:r>
          </w:p>
        </w:tc>
        <w:tc>
          <w:tcPr>
            <w:tcW w:w="1068"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Woodside</w:t>
            </w:r>
          </w:p>
        </w:tc>
        <w:tc>
          <w:tcPr>
            <w:tcW w:w="877"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Firm</w:t>
            </w:r>
          </w:p>
        </w:tc>
        <w:tc>
          <w:tcPr>
            <w:tcW w:w="78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Jul-26</w:t>
            </w:r>
          </w:p>
        </w:tc>
        <w:tc>
          <w:tcPr>
            <w:tcW w:w="5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Nov-26</w:t>
            </w:r>
          </w:p>
        </w:tc>
        <w:tc>
          <w:tcPr>
            <w:tcW w:w="948"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390,000</w:t>
            </w:r>
          </w:p>
        </w:tc>
        <w:tc>
          <w:tcPr>
            <w:tcW w:w="1558"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shd w:fill="E7E6E6" w:val="clear"/>
            <w:tcMar>
              <w:left w:w="28" w:type="dxa"/>
              <w:right w:w="28" w:type="dxa"/>
            </w:tcM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1, 2, 3, 5</w:t>
            </w:r>
          </w:p>
        </w:tc>
        <w:tc>
          <w:tcPr>
            <w:tcW w:w="1262" w:type="dxa"/>
            <w:tcBorders>
              <w:left w:val="single" w:sz="2" w:space="0" w:color="000000"/>
            </w:tcBorders>
            <w:shd w:fill="E7E6E6"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E7E6E6" w:val="clear"/>
            <w:vAlign w:val="center"/>
          </w:tcPr>
          <w:p>
            <w:pPr>
              <w:pStyle w:val="TableContents"/>
              <w:bidi w:val="0"/>
              <w:spacing w:lineRule="auto" w:line="285" w:before="0" w:after="0"/>
              <w:ind w:left="0" w:right="0" w:hanging="0"/>
              <w:jc w:val="center"/>
              <w:rPr/>
            </w:pPr>
            <w:r>
              <w:rPr/>
              <w:t>​</w:t>
            </w:r>
          </w:p>
        </w:tc>
        <w:tc>
          <w:tcPr>
            <w:tcW w:w="81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Norway</w:t>
            </w:r>
          </w:p>
        </w:tc>
        <w:tc>
          <w:tcPr>
            <w:tcW w:w="1068"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Equinor</w:t>
            </w:r>
          </w:p>
        </w:tc>
        <w:tc>
          <w:tcPr>
            <w:tcW w:w="877"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Firm</w:t>
            </w:r>
          </w:p>
        </w:tc>
        <w:tc>
          <w:tcPr>
            <w:tcW w:w="781"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Jun-27</w:t>
            </w:r>
          </w:p>
        </w:tc>
        <w:tc>
          <w:tcPr>
            <w:tcW w:w="514" w:type="dxa"/>
            <w:tcBorders/>
            <w:shd w:fill="E7E6E6"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Jun-29</w:t>
            </w:r>
          </w:p>
        </w:tc>
        <w:tc>
          <w:tcPr>
            <w:tcW w:w="948" w:type="dxa"/>
            <w:tcBorders/>
            <w:shd w:fill="E7E6E6"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399,000</w:t>
            </w:r>
          </w:p>
        </w:tc>
        <w:tc>
          <w:tcPr>
            <w:tcW w:w="1558" w:type="dxa"/>
            <w:tcBorders>
              <w:right w:val="single" w:sz="2" w:space="0" w:color="000000"/>
            </w:tcBorders>
            <w:shd w:fill="E7E6E6"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rFonts w:ascii="Arial;Helvetica;sans-serif" w:hAnsi="Arial;Helvetica;sans-serif"/>
                <w:b/>
                <w:sz w:val="16"/>
              </w:rPr>
            </w:pPr>
            <w:r>
              <w:rPr>
                <w:rFonts w:ascii="Arial;Helvetica;sans-serif" w:hAnsi="Arial;Helvetica;sans-serif"/>
                <w:b/>
                <w:sz w:val="16"/>
              </w:rPr>
              <w:t>Transocean Equinox</w:t>
            </w:r>
          </w:p>
        </w:tc>
        <w:tc>
          <w:tcPr>
            <w:tcW w:w="37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750</w:t>
            </w:r>
          </w:p>
        </w:tc>
        <w:tc>
          <w:tcPr>
            <w:tcW w:w="466"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2015</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Australia</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Not Disclosed</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Apr-26</w:t>
            </w:r>
          </w:p>
        </w:tc>
        <w:tc>
          <w:tcPr>
            <w:tcW w:w="5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Aug-26</w:t>
            </w:r>
          </w:p>
        </w:tc>
        <w:tc>
          <w:tcPr>
            <w:tcW w:w="948"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485,000</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FFFFFF" w:val="clear"/>
            <w:vAlign w:val="center"/>
          </w:tcPr>
          <w:p>
            <w:pPr>
              <w:pStyle w:val="TableContents"/>
              <w:bidi w:val="0"/>
              <w:spacing w:lineRule="auto" w:line="285" w:before="0" w:after="0"/>
              <w:ind w:left="0" w:right="0" w:hanging="0"/>
              <w:jc w:val="center"/>
              <w:rPr/>
            </w:pPr>
            <w:r>
              <w:rPr/>
              <w:t>​</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Australia</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Not Disclosed</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Firm</w:t>
            </w:r>
          </w:p>
        </w:tc>
        <w:tc>
          <w:tcPr>
            <w:tcW w:w="78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Aug-26</w:t>
            </w:r>
          </w:p>
        </w:tc>
        <w:tc>
          <w:tcPr>
            <w:tcW w:w="5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Oct-26</w:t>
            </w:r>
          </w:p>
        </w:tc>
        <w:tc>
          <w:tcPr>
            <w:tcW w:w="948"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540,000</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right"/>
              <w:rPr/>
            </w:pPr>
            <w:r>
              <w:rPr/>
              <w:t>​</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FFFFFF" w:val="clear"/>
            <w:vAlign w:val="center"/>
          </w:tcPr>
          <w:p>
            <w:pPr>
              <w:pStyle w:val="TableContents"/>
              <w:bidi w:val="0"/>
              <w:spacing w:lineRule="auto" w:line="285" w:before="0" w:after="0"/>
              <w:ind w:left="0" w:right="0" w:hanging="0"/>
              <w:jc w:val="center"/>
              <w:rPr/>
            </w:pPr>
            <w:r>
              <w:rPr/>
              <w:t>​</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Australia</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Not Disclosed</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Priced Option</w:t>
            </w:r>
          </w:p>
        </w:tc>
        <w:tc>
          <w:tcPr>
            <w:tcW w:w="78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Oct-26</w:t>
            </w:r>
          </w:p>
        </w:tc>
        <w:tc>
          <w:tcPr>
            <w:tcW w:w="514"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Nov-26</w:t>
            </w:r>
          </w:p>
        </w:tc>
        <w:tc>
          <w:tcPr>
            <w:tcW w:w="948"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sz w:val="16"/>
              </w:rPr>
            </w:pPr>
            <w:r>
              <w:rPr>
                <w:rFonts w:ascii="Arial;Helvetica;sans-serif" w:hAnsi="Arial;Helvetica;sans-serif"/>
                <w:sz w:val="16"/>
              </w:rPr>
              <w:t>Not Disclosed</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right w:val="single" w:sz="2" w:space="0" w:color="000000"/>
            </w:tcBorders>
            <w:shd w:fill="FFFFFF" w:val="clear"/>
            <w:tcMar>
              <w:left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right w:val="single" w:sz="2" w:space="0" w:color="000000"/>
            </w:tcBorders>
            <w:tcMar>
              <w:left w:w="28" w:type="dxa"/>
              <w:right w:w="28" w:type="dxa"/>
            </w:tcMar>
            <w:vAlign w:val="center"/>
          </w:tcPr>
          <w:p>
            <w:pPr>
              <w:pStyle w:val="TableContents"/>
              <w:bidi w:val="0"/>
              <w:spacing w:lineRule="auto" w:line="285" w:before="0" w:after="0"/>
              <w:ind w:left="0" w:right="0" w:hanging="0"/>
              <w:jc w:val="right"/>
              <w:rPr/>
            </w:pPr>
            <w:r>
              <w:rPr/>
              <w:t>​</w:t>
            </w:r>
          </w:p>
        </w:tc>
        <w:tc>
          <w:tcPr>
            <w:tcW w:w="1262" w:type="dxa"/>
            <w:tcBorders>
              <w:left w:val="single" w:sz="2" w:space="0" w:color="000000"/>
            </w:tcBorders>
            <w:shd w:fill="FFFFFF" w:val="clear"/>
            <w:tcMar>
              <w:left w:w="28" w:type="dxa"/>
            </w:tcMar>
            <w:vAlign w:val="center"/>
          </w:tcPr>
          <w:p>
            <w:pPr>
              <w:pStyle w:val="TableContents"/>
              <w:bidi w:val="0"/>
              <w:spacing w:lineRule="auto" w:line="285" w:before="0" w:after="0"/>
              <w:ind w:left="0" w:right="0" w:hanging="0"/>
              <w:jc w:val="center"/>
              <w:rPr/>
            </w:pPr>
            <w:r>
              <w:rPr/>
              <w:t>​</w:t>
            </w:r>
          </w:p>
        </w:tc>
        <w:tc>
          <w:tcPr>
            <w:tcW w:w="466" w:type="dxa"/>
            <w:tcBorders/>
            <w:shd w:fill="FFFFFF" w:val="clear"/>
            <w:vAlign w:val="center"/>
          </w:tcPr>
          <w:p>
            <w:pPr>
              <w:pStyle w:val="TableContents"/>
              <w:bidi w:val="0"/>
              <w:spacing w:lineRule="auto" w:line="285" w:before="0" w:after="0"/>
              <w:ind w:left="0" w:right="0" w:hanging="0"/>
              <w:jc w:val="center"/>
              <w:rPr/>
            </w:pPr>
            <w:r>
              <w:rPr/>
              <w:t>​</w:t>
            </w:r>
          </w:p>
        </w:tc>
        <w:tc>
          <w:tcPr>
            <w:tcW w:w="811"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Australia</w:t>
            </w:r>
          </w:p>
        </w:tc>
        <w:tc>
          <w:tcPr>
            <w:tcW w:w="1068"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Santos Limited</w:t>
            </w:r>
          </w:p>
        </w:tc>
        <w:tc>
          <w:tcPr>
            <w:tcW w:w="877" w:type="dxa"/>
            <w:tcBorders/>
            <w:shd w:fill="FFFFFF" w:val="cle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Firm</w:t>
            </w:r>
          </w:p>
        </w:tc>
        <w:tc>
          <w:tcPr>
            <w:tcW w:w="781"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Apr-27</w:t>
            </w:r>
          </w:p>
        </w:tc>
        <w:tc>
          <w:tcPr>
            <w:tcW w:w="514" w:type="dxa"/>
            <w:tcBorders/>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Jun-27</w:t>
            </w:r>
          </w:p>
        </w:tc>
        <w:tc>
          <w:tcPr>
            <w:tcW w:w="948" w:type="dxa"/>
            <w:tcBorders/>
            <w:shd w:fill="FFFFFF" w:val="cle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395,000</w:t>
            </w:r>
          </w:p>
        </w:tc>
        <w:tc>
          <w:tcPr>
            <w:tcW w:w="1558" w:type="dxa"/>
            <w:tcBorders>
              <w:right w:val="single" w:sz="2" w:space="0" w:color="000000"/>
            </w:tcBorders>
            <w:shd w:fill="FFFFFF" w:val="clear"/>
            <w:tcMar>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left w:val="single" w:sz="2" w:space="0" w:color="000000"/>
              <w:bottom w:val="single" w:sz="2" w:space="0" w:color="000000"/>
              <w:right w:val="single" w:sz="2" w:space="0" w:color="000000"/>
            </w:tcBorders>
            <w:shd w:fill="FFFFFF" w:val="clear"/>
            <w:tcMar>
              <w:left w:w="28" w:type="dxa"/>
              <w:bottom w:w="28" w:type="dxa"/>
              <w:right w:w="28" w:type="dxa"/>
            </w:tcMar>
            <w:vAlign w:val="center"/>
          </w:tcPr>
          <w:p>
            <w:pPr>
              <w:pStyle w:val="TableContents"/>
              <w:bidi w:val="0"/>
              <w:spacing w:lineRule="auto" w:line="285" w:before="0" w:after="0"/>
              <w:ind w:left="0" w:right="0" w:hanging="0"/>
              <w:jc w:val="left"/>
              <w:rPr/>
            </w:pPr>
            <w:r>
              <w:rPr/>
              <w:t>​</w:t>
            </w:r>
          </w:p>
        </w:tc>
        <w:tc>
          <w:tcPr>
            <w:tcW w:w="371"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lineRule="auto" w:line="285" w:before="0" w:after="0"/>
              <w:ind w:left="0" w:right="0" w:hanging="0"/>
              <w:jc w:val="right"/>
              <w:rPr/>
            </w:pPr>
            <w:r>
              <w:rPr/>
              <w:t>​</w:t>
            </w:r>
          </w:p>
        </w:tc>
        <w:tc>
          <w:tcPr>
            <w:tcW w:w="1262" w:type="dxa"/>
            <w:tcBorders>
              <w:left w:val="single" w:sz="2" w:space="0" w:color="000000"/>
              <w:bottom w:val="single" w:sz="2" w:space="0" w:color="000000"/>
            </w:tcBorders>
            <w:shd w:fill="FFFFFF" w:val="clear"/>
            <w:tcMar>
              <w:left w:w="28" w:type="dxa"/>
              <w:bottom w:w="28" w:type="dxa"/>
            </w:tcMar>
            <w:vAlign w:val="center"/>
          </w:tcPr>
          <w:p>
            <w:pPr>
              <w:pStyle w:val="TableContents"/>
              <w:bidi w:val="0"/>
              <w:spacing w:lineRule="auto" w:line="285" w:before="0" w:after="0"/>
              <w:ind w:left="0" w:right="0" w:hanging="0"/>
              <w:jc w:val="center"/>
              <w:rPr/>
            </w:pPr>
            <w:r>
              <w:rPr/>
              <w:t>​</w:t>
            </w:r>
          </w:p>
        </w:tc>
        <w:tc>
          <w:tcPr>
            <w:tcW w:w="46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pPr>
            <w:r>
              <w:rPr/>
              <w:t>​</w:t>
            </w:r>
          </w:p>
        </w:tc>
        <w:tc>
          <w:tcPr>
            <w:tcW w:w="811"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Australia</w:t>
            </w:r>
          </w:p>
        </w:tc>
        <w:tc>
          <w:tcPr>
            <w:tcW w:w="1068"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Santos Limited</w:t>
            </w:r>
          </w:p>
        </w:tc>
        <w:tc>
          <w:tcPr>
            <w:tcW w:w="877"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Priced Options</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Jun-27</w:t>
            </w:r>
          </w:p>
        </w:tc>
        <w:tc>
          <w:tcPr>
            <w:tcW w:w="51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Arial;Helvetica;sans-serif" w:hAnsi="Arial;Helvetica;sans-serif"/>
                <w:b/>
                <w:sz w:val="16"/>
              </w:rPr>
            </w:pPr>
            <w:r>
              <w:rPr>
                <w:rFonts w:ascii="Arial;Helvetica;sans-serif" w:hAnsi="Arial;Helvetica;sans-serif"/>
                <w:b/>
                <w:sz w:val="16"/>
              </w:rPr>
              <w:t>Oct-27</w:t>
            </w:r>
          </w:p>
        </w:tc>
        <w:tc>
          <w:tcPr>
            <w:tcW w:w="948"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right"/>
              <w:rPr>
                <w:rFonts w:ascii="Arial;Helvetica;sans-serif" w:hAnsi="Arial;Helvetica;sans-serif"/>
                <w:b/>
                <w:sz w:val="16"/>
              </w:rPr>
            </w:pPr>
            <w:r>
              <w:rPr>
                <w:rFonts w:ascii="Arial;Helvetica;sans-serif" w:hAnsi="Arial;Helvetica;sans-serif"/>
                <w:b/>
                <w:sz w:val="16"/>
              </w:rPr>
              <w:t>Not Disclosed</w:t>
            </w:r>
          </w:p>
        </w:tc>
        <w:tc>
          <w:tcPr>
            <w:tcW w:w="1558"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lineRule="auto" w:line="285" w:before="0" w:after="0"/>
              <w:ind w:left="0" w:right="0" w:hanging="0"/>
              <w:jc w:val="center"/>
              <w:rPr/>
            </w:pPr>
            <w:r>
              <w:rPr/>
              <w:t>​</w:t>
            </w:r>
          </w:p>
        </w:tc>
      </w:tr>
      <w:tr>
        <w:trPr/>
        <w:tc>
          <w:tcPr>
            <w:tcW w:w="1549" w:type="dxa"/>
            <w:tcBorders/>
            <w:shd w:fill="FFFFFF" w:val="clear"/>
            <w:vAlign w:val="center"/>
          </w:tcPr>
          <w:p>
            <w:pPr>
              <w:pStyle w:val="TableContents"/>
              <w:bidi w:val="0"/>
              <w:spacing w:lineRule="auto" w:line="285" w:before="0" w:after="0"/>
              <w:ind w:left="0" w:right="0" w:hanging="0"/>
              <w:jc w:val="left"/>
              <w:rPr/>
            </w:pPr>
            <w:r>
              <w:rPr/>
              <w:t>​</w:t>
            </w:r>
          </w:p>
        </w:tc>
        <w:tc>
          <w:tcPr>
            <w:tcW w:w="371" w:type="dxa"/>
            <w:tcBorders/>
            <w:vAlign w:val="center"/>
          </w:tcPr>
          <w:p>
            <w:pPr>
              <w:pStyle w:val="TableContents"/>
              <w:bidi w:val="0"/>
              <w:spacing w:lineRule="auto" w:line="285" w:before="0" w:after="0"/>
              <w:ind w:left="0" w:right="0" w:hanging="0"/>
              <w:jc w:val="right"/>
              <w:rPr/>
            </w:pPr>
            <w:r>
              <w:rPr/>
              <w:t>​</w:t>
            </w:r>
          </w:p>
        </w:tc>
        <w:tc>
          <w:tcPr>
            <w:tcW w:w="1262" w:type="dxa"/>
            <w:tcBorders/>
            <w:shd w:fill="FFFFFF" w:val="clear"/>
            <w:vAlign w:val="center"/>
          </w:tcPr>
          <w:p>
            <w:pPr>
              <w:pStyle w:val="TableContents"/>
              <w:bidi w:val="0"/>
              <w:spacing w:lineRule="auto" w:line="285" w:before="0" w:after="0"/>
              <w:ind w:left="0" w:right="0" w:hanging="0"/>
              <w:jc w:val="center"/>
              <w:rPr/>
            </w:pPr>
            <w:r>
              <w:rPr/>
              <w:t>​</w:t>
            </w:r>
          </w:p>
        </w:tc>
        <w:tc>
          <w:tcPr>
            <w:tcW w:w="466" w:type="dxa"/>
            <w:tcBorders/>
            <w:shd w:fill="FFFFFF" w:val="clear"/>
            <w:vAlign w:val="center"/>
          </w:tcPr>
          <w:p>
            <w:pPr>
              <w:pStyle w:val="TableContents"/>
              <w:bidi w:val="0"/>
              <w:spacing w:lineRule="auto" w:line="285" w:before="0" w:after="0"/>
              <w:ind w:left="0" w:right="0" w:hanging="0"/>
              <w:jc w:val="center"/>
              <w:rPr/>
            </w:pPr>
            <w:r>
              <w:rPr/>
              <w:t>​</w:t>
            </w:r>
          </w:p>
        </w:tc>
        <w:tc>
          <w:tcPr>
            <w:tcW w:w="811" w:type="dxa"/>
            <w:tcBorders/>
            <w:shd w:fill="FFFFFF" w:val="clear"/>
            <w:vAlign w:val="center"/>
          </w:tcPr>
          <w:p>
            <w:pPr>
              <w:pStyle w:val="TableContents"/>
              <w:bidi w:val="0"/>
              <w:spacing w:lineRule="auto" w:line="285" w:before="0" w:after="0"/>
              <w:ind w:left="0" w:right="0" w:hanging="0"/>
              <w:jc w:val="center"/>
              <w:rPr/>
            </w:pPr>
            <w:r>
              <w:rPr/>
              <w:t>​</w:t>
            </w:r>
          </w:p>
        </w:tc>
        <w:tc>
          <w:tcPr>
            <w:tcW w:w="1068" w:type="dxa"/>
            <w:tcBorders/>
            <w:shd w:fill="FFFFFF" w:val="clear"/>
            <w:vAlign w:val="center"/>
          </w:tcPr>
          <w:p>
            <w:pPr>
              <w:pStyle w:val="TableContents"/>
              <w:bidi w:val="0"/>
              <w:spacing w:lineRule="auto" w:line="285" w:before="0" w:after="0"/>
              <w:ind w:left="0" w:right="0" w:hanging="0"/>
              <w:jc w:val="center"/>
              <w:rPr/>
            </w:pPr>
            <w:r>
              <w:rPr/>
              <w:t>​</w:t>
            </w:r>
          </w:p>
        </w:tc>
        <w:tc>
          <w:tcPr>
            <w:tcW w:w="877" w:type="dxa"/>
            <w:tcBorders/>
            <w:shd w:fill="FFFFFF" w:val="clear"/>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514" w:type="dxa"/>
            <w:tcBorders/>
            <w:vAlign w:val="center"/>
          </w:tcPr>
          <w:p>
            <w:pPr>
              <w:pStyle w:val="TableContents"/>
              <w:bidi w:val="0"/>
              <w:spacing w:lineRule="auto" w:line="285" w:before="0" w:after="0"/>
              <w:ind w:left="0" w:right="0" w:hanging="0"/>
              <w:jc w:val="center"/>
              <w:rPr/>
            </w:pPr>
            <w:r>
              <w:rPr/>
              <w:t>​</w:t>
            </w:r>
          </w:p>
        </w:tc>
        <w:tc>
          <w:tcPr>
            <w:tcW w:w="948" w:type="dxa"/>
            <w:tcBorders/>
            <w:shd w:fill="FFFFFF" w:val="clear"/>
            <w:vAlign w:val="center"/>
          </w:tcPr>
          <w:p>
            <w:pPr>
              <w:pStyle w:val="TableContents"/>
              <w:bidi w:val="0"/>
              <w:spacing w:lineRule="auto" w:line="285" w:before="0" w:after="0"/>
              <w:ind w:left="0" w:right="0" w:hanging="0"/>
              <w:jc w:val="right"/>
              <w:rPr/>
            </w:pPr>
            <w:r>
              <w:rPr/>
              <w:t>​</w:t>
            </w:r>
          </w:p>
        </w:tc>
        <w:tc>
          <w:tcPr>
            <w:tcW w:w="1558" w:type="dxa"/>
            <w:tcBorders/>
            <w:shd w:fill="FFFFFF" w:val="clear"/>
            <w:vAlign w:val="center"/>
          </w:tcPr>
          <w:p>
            <w:pPr>
              <w:pStyle w:val="TableContents"/>
              <w:bidi w:val="0"/>
              <w:spacing w:lineRule="auto" w:line="285" w:before="0" w:after="0"/>
              <w:ind w:left="0" w:right="0" w:hanging="0"/>
              <w:jc w:val="center"/>
              <w:rPr/>
            </w:pPr>
            <w:r>
              <w:rPr/>
              <w:t>​</w:t>
            </w:r>
          </w:p>
        </w:tc>
      </w:tr>
      <w:tr>
        <w:trPr/>
        <w:tc>
          <w:tcPr>
            <w:tcW w:w="1549" w:type="dxa"/>
            <w:tcBorders/>
            <w:shd w:fill="FFFFFF" w:val="clear"/>
            <w:vAlign w:val="center"/>
          </w:tcPr>
          <w:p>
            <w:pPr>
              <w:pStyle w:val="TableContents"/>
              <w:bidi w:val="0"/>
              <w:spacing w:lineRule="auto" w:line="285" w:before="0" w:after="0"/>
              <w:ind w:left="0" w:right="0" w:hanging="0"/>
              <w:jc w:val="left"/>
              <w:rPr/>
            </w:pPr>
            <w:r>
              <w:rPr/>
              <w:t>​</w:t>
            </w:r>
          </w:p>
        </w:tc>
        <w:tc>
          <w:tcPr>
            <w:tcW w:w="371" w:type="dxa"/>
            <w:tcBorders/>
            <w:vAlign w:val="center"/>
          </w:tcPr>
          <w:p>
            <w:pPr>
              <w:pStyle w:val="TableContents"/>
              <w:bidi w:val="0"/>
              <w:spacing w:lineRule="auto" w:line="285" w:before="0" w:after="0"/>
              <w:ind w:left="0" w:right="0" w:hanging="0"/>
              <w:jc w:val="right"/>
              <w:rPr/>
            </w:pPr>
            <w:r>
              <w:rPr/>
              <w:t>​</w:t>
            </w:r>
          </w:p>
        </w:tc>
        <w:tc>
          <w:tcPr>
            <w:tcW w:w="1262" w:type="dxa"/>
            <w:tcBorders/>
            <w:vAlign w:val="center"/>
          </w:tcPr>
          <w:p>
            <w:pPr>
              <w:pStyle w:val="TableContents"/>
              <w:bidi w:val="0"/>
              <w:spacing w:lineRule="auto" w:line="285" w:before="0" w:after="0"/>
              <w:ind w:left="0" w:right="0" w:hanging="0"/>
              <w:jc w:val="center"/>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Q3 2026</w:t>
            </w:r>
          </w:p>
        </w:tc>
        <w:tc>
          <w:tcPr>
            <w:tcW w:w="1068"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Q4 2026</w:t>
            </w:r>
          </w:p>
        </w:tc>
        <w:tc>
          <w:tcPr>
            <w:tcW w:w="877"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Q1 2027</w:t>
            </w:r>
          </w:p>
        </w:tc>
        <w:tc>
          <w:tcPr>
            <w:tcW w:w="78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Q2 2027</w:t>
            </w:r>
          </w:p>
        </w:tc>
        <w:tc>
          <w:tcPr>
            <w:tcW w:w="514" w:type="dxa"/>
            <w:tcBorders/>
            <w:vAlign w:val="center"/>
          </w:tcPr>
          <w:p>
            <w:pPr>
              <w:pStyle w:val="TableContents"/>
              <w:bidi w:val="0"/>
              <w:spacing w:lineRule="auto" w:line="285" w:before="0" w:after="0"/>
              <w:ind w:left="0" w:right="0" w:hanging="0"/>
              <w:jc w:val="center"/>
              <w:rPr/>
            </w:pPr>
            <w:r>
              <w:rPr/>
              <w:t>​</w:t>
            </w:r>
          </w:p>
        </w:tc>
        <w:tc>
          <w:tcPr>
            <w:tcW w:w="948" w:type="dxa"/>
            <w:tcBorders/>
            <w:shd w:fill="FFFFFF" w:val="clear"/>
            <w:vAlign w:val="center"/>
          </w:tcPr>
          <w:p>
            <w:pPr>
              <w:pStyle w:val="TableContents"/>
              <w:bidi w:val="0"/>
              <w:spacing w:lineRule="auto" w:line="285" w:before="0" w:after="0"/>
              <w:ind w:left="0" w:right="0" w:hanging="0"/>
              <w:jc w:val="right"/>
              <w:rPr/>
            </w:pPr>
            <w:r>
              <w:rPr/>
              <w:t>​</w:t>
            </w:r>
          </w:p>
        </w:tc>
        <w:tc>
          <w:tcPr>
            <w:tcW w:w="1558" w:type="dxa"/>
            <w:tcBorders/>
            <w:shd w:fill="FFFFFF" w:val="clear"/>
            <w:vAlign w:val="center"/>
          </w:tcPr>
          <w:p>
            <w:pPr>
              <w:pStyle w:val="TableContents"/>
              <w:bidi w:val="0"/>
              <w:spacing w:lineRule="auto" w:line="285" w:before="0" w:after="0"/>
              <w:ind w:left="0" w:right="0" w:hanging="0"/>
              <w:jc w:val="center"/>
              <w:rPr/>
            </w:pPr>
            <w:r>
              <w:rPr/>
              <w:t>​</w:t>
            </w:r>
          </w:p>
        </w:tc>
      </w:tr>
      <w:tr>
        <w:trPr/>
        <w:tc>
          <w:tcPr>
            <w:tcW w:w="1549" w:type="dxa"/>
            <w:tcBorders/>
            <w:shd w:fill="FFFFFF" w:val="clear"/>
            <w:vAlign w:val="center"/>
          </w:tcPr>
          <w:p>
            <w:pPr>
              <w:pStyle w:val="TableContents"/>
              <w:bidi w:val="0"/>
              <w:spacing w:lineRule="auto" w:line="285" w:before="0" w:after="0"/>
              <w:ind w:left="0" w:right="0" w:hanging="0"/>
              <w:jc w:val="left"/>
              <w:rPr/>
            </w:pPr>
            <w:r>
              <w:rPr/>
              <w:t>​</w:t>
            </w:r>
          </w:p>
        </w:tc>
        <w:tc>
          <w:tcPr>
            <w:tcW w:w="371" w:type="dxa"/>
            <w:tcBorders/>
            <w:shd w:fill="FFFFFF" w:val="clear"/>
            <w:vAlign w:val="center"/>
          </w:tcPr>
          <w:p>
            <w:pPr>
              <w:pStyle w:val="TableContents"/>
              <w:bidi w:val="0"/>
              <w:spacing w:lineRule="auto" w:line="285" w:before="0" w:after="0"/>
              <w:ind w:left="0" w:right="0" w:hanging="0"/>
              <w:jc w:val="right"/>
              <w:rPr/>
            </w:pPr>
            <w:r>
              <w:rPr/>
              <w:t>​</w:t>
            </w:r>
          </w:p>
        </w:tc>
        <w:tc>
          <w:tcPr>
            <w:tcW w:w="1262"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Estimated Average Contract Dayrates (4)</w:t>
            </w:r>
          </w:p>
        </w:tc>
        <w:tc>
          <w:tcPr>
            <w:tcW w:w="46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$462,000</w:t>
            </w:r>
          </w:p>
        </w:tc>
        <w:tc>
          <w:tcPr>
            <w:tcW w:w="1068"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$459,000</w:t>
            </w:r>
          </w:p>
        </w:tc>
        <w:tc>
          <w:tcPr>
            <w:tcW w:w="877"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$476,000</w:t>
            </w:r>
          </w:p>
        </w:tc>
        <w:tc>
          <w:tcPr>
            <w:tcW w:w="781" w:type="dxa"/>
            <w:tcBorders/>
            <w:vAlign w:val="center"/>
          </w:tcPr>
          <w:p>
            <w:pPr>
              <w:pStyle w:val="TableContents"/>
              <w:bidi w:val="0"/>
              <w:spacing w:lineRule="auto" w:line="285" w:before="0" w:after="0"/>
              <w:ind w:left="0" w:right="0" w:hanging="0"/>
              <w:jc w:val="center"/>
              <w:rPr>
                <w:rFonts w:ascii="Arial;Helvetica;sans-serif" w:hAnsi="Arial;Helvetica;sans-serif"/>
                <w:sz w:val="16"/>
              </w:rPr>
            </w:pPr>
            <w:r>
              <w:rPr>
                <w:rFonts w:ascii="Arial;Helvetica;sans-serif" w:hAnsi="Arial;Helvetica;sans-serif"/>
                <w:sz w:val="16"/>
              </w:rPr>
              <w:t>$468,000</w:t>
            </w:r>
          </w:p>
        </w:tc>
        <w:tc>
          <w:tcPr>
            <w:tcW w:w="514" w:type="dxa"/>
            <w:tcBorders/>
            <w:vAlign w:val="center"/>
          </w:tcPr>
          <w:p>
            <w:pPr>
              <w:pStyle w:val="TableContents"/>
              <w:bidi w:val="0"/>
              <w:spacing w:lineRule="auto" w:line="285" w:before="0" w:after="0"/>
              <w:ind w:left="0" w:right="0" w:hanging="0"/>
              <w:jc w:val="center"/>
              <w:rPr/>
            </w:pPr>
            <w:r>
              <w:rPr/>
              <w:t>​</w:t>
            </w:r>
          </w:p>
        </w:tc>
        <w:tc>
          <w:tcPr>
            <w:tcW w:w="948" w:type="dxa"/>
            <w:tcBorders/>
            <w:shd w:fill="FFFFFF" w:val="clear"/>
            <w:vAlign w:val="center"/>
          </w:tcPr>
          <w:p>
            <w:pPr>
              <w:pStyle w:val="TableContents"/>
              <w:bidi w:val="0"/>
              <w:spacing w:lineRule="auto" w:line="285" w:before="0" w:after="0"/>
              <w:ind w:left="0" w:right="0" w:hanging="0"/>
              <w:jc w:val="right"/>
              <w:rPr/>
            </w:pPr>
            <w:r>
              <w:rPr/>
              <w:t>​</w:t>
            </w:r>
          </w:p>
        </w:tc>
        <w:tc>
          <w:tcPr>
            <w:tcW w:w="1558" w:type="dxa"/>
            <w:tcBorders/>
            <w:shd w:fill="FFFFFF" w:val="clear"/>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07" w:before="0" w:after="160"/>
        <w:ind w:left="0" w:right="0" w:hanging="0"/>
        <w:jc w:val="left"/>
        <w:rPr/>
      </w:pPr>
      <w:r>
        <w:rPr/>
        <w:drawing>
          <wp:inline distT="0" distB="0" distL="0" distR="0">
            <wp:extent cx="2687955" cy="612140"/>
            <wp:effectExtent l="0" t="0" r="0" b="0"/>
            <wp:docPr id="2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6" descr=""/>
                    <pic:cNvPicPr>
                      <a:picLocks noChangeAspect="1" noChangeArrowheads="1"/>
                    </pic:cNvPicPr>
                  </pic:nvPicPr>
                  <pic:blipFill>
                    <a:blip r:embed="rId10"/>
                    <a:stretch>
                      <a:fillRect/>
                    </a:stretch>
                  </pic:blipFill>
                  <pic:spPr bwMode="auto">
                    <a:xfrm>
                      <a:off x="0" y="0"/>
                      <a:ext cx="2687955" cy="612140"/>
                    </a:xfrm>
                    <a:prstGeom prst="rect">
                      <a:avLst/>
                    </a:prstGeom>
                  </pic:spPr>
                </pic:pic>
              </a:graphicData>
            </a:graphic>
          </wp:inline>
        </w:drawing>
      </w:r>
    </w:p>
    <w:p>
      <w:pPr>
        <w:pStyle w:val="TextBody"/>
        <w:bidi w:val="0"/>
        <w:spacing w:lineRule="auto" w:line="307" w:before="0" w:after="160"/>
        <w:ind w:left="0" w:right="0" w:hanging="0"/>
        <w:jc w:val="center"/>
        <w:rPr/>
      </w:pPr>
      <w:r>
        <w:rPr/>
        <w:drawing>
          <wp:inline distT="0" distB="0" distL="0" distR="0">
            <wp:extent cx="8802370" cy="8326755"/>
            <wp:effectExtent l="0" t="0" r="0" b="0"/>
            <wp:docPr id="23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7" descr=""/>
                    <pic:cNvPicPr>
                      <a:picLocks noChangeAspect="1" noChangeArrowheads="1"/>
                    </pic:cNvPicPr>
                  </pic:nvPicPr>
                  <pic:blipFill>
                    <a:blip r:embed="rId11"/>
                    <a:stretch>
                      <a:fillRect/>
                    </a:stretch>
                  </pic:blipFill>
                  <pic:spPr bwMode="auto">
                    <a:xfrm>
                      <a:off x="0" y="0"/>
                      <a:ext cx="8802370" cy="8326755"/>
                    </a:xfrm>
                    <a:prstGeom prst="rect">
                      <a:avLst/>
                    </a:prstGeom>
                  </pic:spPr>
                </pic:pic>
              </a:graphicData>
            </a:graphic>
          </wp:inline>
        </w:drawing>
      </w:r>
    </w:p>
    <w:p>
      <w:pPr>
        <w:pStyle w:val="TextBody"/>
        <w:bidi w:val="0"/>
        <w:spacing w:lineRule="auto" w:line="285" w:before="60" w:after="283"/>
        <w:ind w:left="180" w:right="2277" w:hanging="0"/>
        <w:jc w:val="both"/>
        <w:rPr/>
      </w:pPr>
      <w:r>
        <w:rPr/>
        <w:t>​</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688590" cy="612775"/>
            <wp:effectExtent l="0" t="0" r="0" b="0"/>
            <wp:docPr id="23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8" descr=""/>
                    <pic:cNvPicPr>
                      <a:picLocks noChangeAspect="1" noChangeArrowheads="1"/>
                    </pic:cNvPicPr>
                  </pic:nvPicPr>
                  <pic:blipFill>
                    <a:blip r:embed="rId12"/>
                    <a:stretch>
                      <a:fillRect/>
                    </a:stretch>
                  </pic:blipFill>
                  <pic:spPr bwMode="auto">
                    <a:xfrm>
                      <a:off x="0" y="0"/>
                      <a:ext cx="2688590" cy="612775"/>
                    </a:xfrm>
                    <a:prstGeom prst="rect">
                      <a:avLst/>
                    </a:prstGeom>
                  </pic:spPr>
                </pic:pic>
              </a:graphicData>
            </a:graphic>
          </wp:inline>
        </w:drawing>
      </w:r>
    </w:p>
    <w:p>
      <w:pPr>
        <w:pStyle w:val="TextBody"/>
        <w:bidi w:val="0"/>
        <w:spacing w:lineRule="auto" w:line="285" w:before="60" w:after="283"/>
        <w:ind w:left="0" w:right="2275" w:hanging="0"/>
        <w:jc w:val="both"/>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lineRule="auto" w:line="285" w:before="0" w:after="0"/>
              <w:ind w:left="0" w:right="0" w:hanging="0"/>
              <w:jc w:val="left"/>
              <w:rPr/>
            </w:pPr>
            <w:r>
              <w:rPr/>
              <w:t>​</w:t>
            </w:r>
          </w:p>
        </w:tc>
        <w:tc>
          <w:tcPr>
            <w:tcW w:w="9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336665" cy="175260"/>
                      <wp:effectExtent l="0" t="0" r="0" b="0"/>
                      <wp:wrapNone/>
                      <wp:docPr id="232" name="Frame223"/>
                      <a:graphic xmlns:a="http://schemas.openxmlformats.org/drawingml/2006/main">
                        <a:graphicData uri="http://schemas.microsoft.com/office/word/2010/wordprocessingShape">
                          <wps:wsp>
                            <wps:cNvSpPr txBox="1"/>
                            <wps:spPr>
                              <a:xfrm>
                                <a:off x="0" y="0"/>
                                <a:ext cx="63366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6" w:type="dxa"/>
            <w:tcBorders/>
            <w:vAlign w:val="center"/>
          </w:tcPr>
          <w:p>
            <w:pPr>
              <w:pStyle w:val="TableContents"/>
              <w:bidi w:val="0"/>
              <w:spacing w:lineRule="auto" w:line="285" w:before="0" w:after="0"/>
              <w:ind w:left="0" w:right="0" w:hanging="0"/>
              <w:jc w:val="left"/>
              <w:rPr/>
            </w:pPr>
            <w:r>
              <w:rPr/>
              <w:t>​</w:t>
            </w:r>
          </w:p>
        </w:tc>
        <w:tc>
          <w:tcPr>
            <w:tcW w:w="9979" w:type="dxa"/>
            <w:tcBorders/>
            <w:vAlign w:val="center"/>
          </w:tcPr>
          <w:p>
            <w:pPr>
              <w:pStyle w:val="TableContents"/>
              <w:bidi w:val="0"/>
              <w:spacing w:lineRule="auto" w:line="285" w:before="0" w:after="0"/>
              <w:ind w:left="0" w:right="0" w:hanging="0"/>
              <w:jc w:val="left"/>
              <w:rPr>
                <w:rFonts w:ascii="Arial Narrow" w:hAnsi="Arial Narrow"/>
                <w:sz w:val="20"/>
              </w:rPr>
            </w:pPr>
            <w:r>
              <w:rPr>
                <w:rFonts w:ascii="Arial;Helvetica;sans-serif" w:hAnsi="Arial;Helvetica;sans-serif"/>
                <w:sz w:val="20"/>
              </w:rPr>
              <w:t>Revisions Noted in Bold</w:t>
              <w:br/>
            </w:r>
            <w:r>
              <w:rPr>
                <w:rFonts w:ascii="Arial Narrow" w:hAnsi="Arial Narrow"/>
                <w:sz w:val="20"/>
              </w:rPr>
              <w:t>​</w:t>
            </w:r>
          </w:p>
        </w:tc>
      </w:tr>
      <w:tr>
        <w:trPr/>
        <w:tc>
          <w:tcPr>
            <w:tcW w:w="10205" w:type="dxa"/>
            <w:gridSpan w:val="2"/>
            <w:tcBorders/>
            <w:shd w:fill="003B4C" w:val="clear"/>
            <w:vAlign w:val="center"/>
          </w:tcPr>
          <w:p>
            <w:pPr>
              <w:pStyle w:val="TableContents"/>
              <w:bidi w:val="0"/>
              <w:spacing w:lineRule="auto" w:line="285" w:before="0" w:after="0"/>
              <w:ind w:left="0" w:right="0" w:hanging="0"/>
              <w:jc w:val="left"/>
              <w:rPr>
                <w:rFonts w:ascii="Arial;Helvetica;sans-serif" w:hAnsi="Arial;Helvetica;sans-serif"/>
                <w:b/>
                <w:color w:val="FFFFFF"/>
                <w:sz w:val="24"/>
              </w:rPr>
            </w:pPr>
            <w:r>
              <w:rPr>
                <w:rFonts w:ascii="Arial;Helvetica;sans-serif" w:hAnsi="Arial;Helvetica;sans-serif"/>
                <w:b/>
                <w:color w:val="FFFFFF"/>
                <w:sz w:val="24"/>
              </w:rPr>
              <w:t>Footnotes</w:t>
            </w:r>
          </w:p>
        </w:tc>
      </w:tr>
      <w:tr>
        <w:trPr/>
        <w:tc>
          <w:tcPr>
            <w:tcW w:w="226" w:type="dxa"/>
            <w:tcBorders/>
            <w:shd w:fill="FFFFFF" w:val="clear"/>
            <w:vAlign w:val="center"/>
          </w:tcPr>
          <w:p>
            <w:pPr>
              <w:pStyle w:val="TableContents"/>
              <w:bidi w:val="0"/>
              <w:spacing w:lineRule="auto" w:line="285" w:before="0" w:after="0"/>
              <w:ind w:left="0" w:right="0" w:hanging="0"/>
              <w:jc w:val="left"/>
              <w:rPr/>
            </w:pPr>
            <w:r>
              <w:rPr/>
              <w:t>​</w:t>
            </w:r>
          </w:p>
        </w:tc>
        <w:tc>
          <w:tcPr>
            <w:tcW w:w="9979" w:type="dxa"/>
            <w:tcBorders/>
            <w:shd w:fill="FFFFFF" w:val="clear"/>
            <w:vAlign w:val="center"/>
          </w:tcPr>
          <w:p>
            <w:pPr>
              <w:pStyle w:val="TableContents"/>
              <w:bidi w:val="0"/>
              <w:spacing w:lineRule="auto" w:line="285" w:before="0" w:after="0"/>
              <w:ind w:left="0" w:right="0" w:hanging="0"/>
              <w:jc w:val="left"/>
              <w:rPr/>
            </w:pPr>
            <w:r>
              <w:rPr/>
              <w:t>​</w:t>
            </w:r>
          </w:p>
        </w:tc>
      </w:tr>
      <w:tr>
        <w:trPr/>
        <w:tc>
          <w:tcPr>
            <w:tcW w:w="226" w:type="dxa"/>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1</w:t>
            </w:r>
          </w:p>
        </w:tc>
        <w:tc>
          <w:tcPr>
            <w:tcW w:w="9979"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Dayrate could change in the future due to cost escalations or de-escalations.</w:t>
            </w:r>
          </w:p>
        </w:tc>
      </w:tr>
      <w:tr>
        <w:trPr/>
        <w:tc>
          <w:tcPr>
            <w:tcW w:w="226" w:type="dxa"/>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2</w:t>
            </w:r>
          </w:p>
        </w:tc>
        <w:tc>
          <w:tcPr>
            <w:tcW w:w="9979"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Dayrate includes a non-USD currency component.</w:t>
            </w:r>
          </w:p>
        </w:tc>
      </w:tr>
      <w:tr>
        <w:trPr/>
        <w:tc>
          <w:tcPr>
            <w:tcW w:w="226" w:type="dxa"/>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3</w:t>
            </w:r>
          </w:p>
        </w:tc>
        <w:tc>
          <w:tcPr>
            <w:tcW w:w="9979"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The contract has a bonus incentive opportunity that is not reflected in the contract dayrate.</w:t>
            </w:r>
          </w:p>
        </w:tc>
      </w:tr>
      <w:tr>
        <w:trPr/>
        <w:tc>
          <w:tcPr>
            <w:tcW w:w="226" w:type="dxa"/>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4</w:t>
            </w:r>
          </w:p>
        </w:tc>
        <w:tc>
          <w:tcPr>
            <w:tcW w:w="9979"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The average contractual dayrate relative to our contract backlog is defined as the average maximum contractual operating dayrate to be earned per operating day and certain performance-based provisions expected to be achieved in the measurement period</w:t>
            </w:r>
          </w:p>
        </w:tc>
      </w:tr>
      <w:tr>
        <w:trPr/>
        <w:tc>
          <w:tcPr>
            <w:tcW w:w="226" w:type="dxa"/>
            <w:tcBorders/>
            <w:vAlign w:val="center"/>
          </w:tcPr>
          <w:p>
            <w:pPr>
              <w:pStyle w:val="TableContents"/>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5</w:t>
            </w:r>
          </w:p>
        </w:tc>
        <w:tc>
          <w:tcPr>
            <w:tcW w:w="9979"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Conditional upon receipt of approvals from license partners.</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spacing w:val="-1"/>
        </w:rPr>
      </w:pPr>
      <w:r>
        <w:rPr>
          <w:spacing w:val="-1"/>
        </w:rPr>
        <w:t>​</w:t>
      </w:r>
    </w:p>
    <w:p>
      <w:pPr>
        <w:pStyle w:val="TextBody"/>
        <w:bidi w:val="0"/>
        <w:spacing w:lineRule="auto" w:line="285" w:before="0" w:after="0"/>
        <w:ind w:left="0" w:right="0" w:hanging="0"/>
        <w:jc w:val="both"/>
        <w:rPr>
          <w:spacing w:val="-1"/>
        </w:rPr>
      </w:pPr>
      <w:r>
        <w:rPr>
          <w:spacing w:val="-1"/>
        </w:rPr>
        <w:t>​</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688590" cy="612775"/>
            <wp:effectExtent l="0" t="0" r="0" b="0"/>
            <wp:docPr id="23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9" descr=""/>
                    <pic:cNvPicPr>
                      <a:picLocks noChangeAspect="1" noChangeArrowheads="1"/>
                    </pic:cNvPicPr>
                  </pic:nvPicPr>
                  <pic:blipFill>
                    <a:blip r:embed="rId13"/>
                    <a:stretch>
                      <a:fillRect/>
                    </a:stretch>
                  </pic:blipFill>
                  <pic:spPr bwMode="auto">
                    <a:xfrm>
                      <a:off x="0" y="0"/>
                      <a:ext cx="2688590" cy="612775"/>
                    </a:xfrm>
                    <a:prstGeom prst="rect">
                      <a:avLst/>
                    </a:prstGeom>
                  </pic:spPr>
                </pic:pic>
              </a:graphicData>
            </a:graphic>
          </wp:inline>
        </w:drawing>
      </w:r>
    </w:p>
    <w:p>
      <w:pPr>
        <w:pStyle w:val="TextBody"/>
        <w:bidi w:val="0"/>
        <w:spacing w:lineRule="auto" w:line="285" w:before="0" w:after="0"/>
        <w:ind w:left="100" w:right="3603" w:hanging="0"/>
        <w:jc w:val="both"/>
        <w:rPr>
          <w:spacing w:val="-1"/>
        </w:rPr>
      </w:pPr>
      <w:r>
        <w:rPr>
          <w:spacing w:val="-1"/>
        </w:rPr>
        <w:t>​</w:t>
      </w:r>
    </w:p>
    <w:p>
      <w:pPr>
        <w:pStyle w:val="TextBody"/>
        <w:bidi w:val="0"/>
        <w:spacing w:lineRule="auto" w:line="285" w:before="74" w:after="0"/>
        <w:ind w:left="100" w:right="3603" w:hanging="0"/>
        <w:jc w:val="both"/>
        <w:rPr>
          <w:spacing w:val="-1"/>
        </w:rPr>
      </w:pPr>
      <w:r>
        <w:rPr>
          <w:spacing w:val="-1"/>
        </w:rPr>
        <w:t>​</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lineRule="auto" w:line="285" w:before="0" w:after="0"/>
              <w:ind w:left="0" w:right="0" w:hanging="0"/>
              <w:jc w:val="left"/>
              <w:rPr/>
            </w:pPr>
            <w:r>
              <w:rPr/>
              <w:t>​</w:t>
            </w:r>
          </w:p>
        </w:tc>
        <w:tc>
          <w:tcPr>
            <w:tcW w:w="9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308725" cy="175260"/>
                      <wp:effectExtent l="0" t="0" r="0" b="0"/>
                      <wp:wrapNone/>
                      <wp:docPr id="234" name="Frame224"/>
                      <a:graphic xmlns:a="http://schemas.openxmlformats.org/drawingml/2006/main">
                        <a:graphicData uri="http://schemas.microsoft.com/office/word/2010/wordprocessingShape">
                          <wps:wsp>
                            <wps:cNvSpPr txBox="1"/>
                            <wps:spPr>
                              <a:xfrm>
                                <a:off x="0" y="0"/>
                                <a:ext cx="6308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205" w:type="dxa"/>
            <w:gridSpan w:val="2"/>
            <w:tcBorders/>
            <w:shd w:fill="003B4C" w:val="clear"/>
            <w:vAlign w:val="center"/>
          </w:tcPr>
          <w:p>
            <w:pPr>
              <w:pStyle w:val="TableContents"/>
              <w:bidi w:val="0"/>
              <w:spacing w:lineRule="auto" w:line="285" w:before="0" w:after="0"/>
              <w:ind w:left="0" w:right="0" w:hanging="0"/>
              <w:jc w:val="left"/>
              <w:rPr>
                <w:rFonts w:ascii="Arial;Helvetica;sans-serif" w:hAnsi="Arial;Helvetica;sans-serif"/>
                <w:b/>
                <w:color w:val="FFFFFF"/>
                <w:sz w:val="24"/>
              </w:rPr>
            </w:pPr>
            <w:r>
              <w:rPr>
                <w:rFonts w:ascii="Arial;Helvetica;sans-serif" w:hAnsi="Arial;Helvetica;sans-serif"/>
                <w:b/>
                <w:color w:val="FFFFFF"/>
                <w:sz w:val="24"/>
              </w:rPr>
              <w:t>Disclaimers &amp; Definitions</w:t>
            </w:r>
          </w:p>
        </w:tc>
      </w:tr>
      <w:tr>
        <w:trPr/>
        <w:tc>
          <w:tcPr>
            <w:tcW w:w="270" w:type="dxa"/>
            <w:tcBorders/>
            <w:shd w:fill="FFFFFF" w:val="clear"/>
            <w:vAlign w:val="center"/>
          </w:tcPr>
          <w:p>
            <w:pPr>
              <w:pStyle w:val="TableContents"/>
              <w:bidi w:val="0"/>
              <w:spacing w:lineRule="auto" w:line="285" w:before="0" w:after="0"/>
              <w:ind w:left="0" w:right="0" w:hanging="0"/>
              <w:jc w:val="left"/>
              <w:rPr/>
            </w:pPr>
            <w:r>
              <w:rPr/>
              <w:t>​</w:t>
            </w:r>
          </w:p>
        </w:tc>
        <w:tc>
          <w:tcPr>
            <w:tcW w:w="9935" w:type="dxa"/>
            <w:tcBorders/>
            <w:shd w:fill="FFFFFF" w:val="clear"/>
            <w:vAlign w:val="center"/>
          </w:tcPr>
          <w:p>
            <w:pPr>
              <w:pStyle w:val="TableContents"/>
              <w:bidi w:val="0"/>
              <w:spacing w:lineRule="auto" w:line="285" w:before="0" w:after="0"/>
              <w:ind w:left="0" w:right="0" w:hanging="0"/>
              <w:jc w:val="left"/>
              <w:rPr/>
            </w:pPr>
            <w:r>
              <w:rPr/>
              <w:t>​</w:t>
            </w:r>
          </w:p>
        </w:tc>
      </w:tr>
      <w:tr>
        <w:trPr/>
        <w:tc>
          <w:tcPr>
            <w:tcW w:w="10205" w:type="dxa"/>
            <w:gridSpan w:val="2"/>
            <w:tcBorders/>
            <w:shd w:fill="FFFF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The information contained in this Fleet Status Report (the “Information”) is as of the date of the report only and is subject to change without notice to the recipient. Transocean Ltd. assumes no duty to update any portion of the Information.</w:t>
            </w:r>
          </w:p>
        </w:tc>
      </w:tr>
      <w:tr>
        <w:trPr/>
        <w:tc>
          <w:tcPr>
            <w:tcW w:w="270" w:type="dxa"/>
            <w:tcBorders/>
            <w:shd w:fill="FFFFFF" w:val="clear"/>
            <w:vAlign w:val="center"/>
          </w:tcPr>
          <w:p>
            <w:pPr>
              <w:pStyle w:val="TableContents"/>
              <w:bidi w:val="0"/>
              <w:spacing w:lineRule="auto" w:line="285" w:before="0" w:after="0"/>
              <w:ind w:left="0" w:right="0" w:hanging="0"/>
              <w:jc w:val="left"/>
              <w:rPr/>
            </w:pPr>
            <w:r>
              <w:rPr/>
              <w:t>​</w:t>
            </w:r>
          </w:p>
        </w:tc>
        <w:tc>
          <w:tcPr>
            <w:tcW w:w="9935" w:type="dxa"/>
            <w:tcBorders/>
            <w:shd w:fill="FFFFFF" w:val="clear"/>
            <w:vAlign w:val="center"/>
          </w:tcPr>
          <w:p>
            <w:pPr>
              <w:pStyle w:val="TableContents"/>
              <w:bidi w:val="0"/>
              <w:spacing w:lineRule="auto" w:line="285" w:before="0" w:after="0"/>
              <w:ind w:left="0" w:right="0" w:hanging="0"/>
              <w:jc w:val="left"/>
              <w:rPr/>
            </w:pPr>
            <w:r>
              <w:rPr/>
              <w:t>​</w:t>
            </w:r>
          </w:p>
        </w:tc>
      </w:tr>
      <w:tr>
        <w:trPr/>
        <w:tc>
          <w:tcPr>
            <w:tcW w:w="10205" w:type="dxa"/>
            <w:gridSpan w:val="2"/>
            <w:tcBorders/>
            <w:shd w:fill="FFFFFF" w:val="clear"/>
            <w:vAlign w:val="center"/>
          </w:tcPr>
          <w:p>
            <w:pPr>
              <w:pStyle w:val="TableContents"/>
              <w:bidi w:val="0"/>
              <w:spacing w:lineRule="auto" w:line="285" w:before="0" w:after="0"/>
              <w:ind w:left="0" w:right="0" w:hanging="0"/>
              <w:jc w:val="left"/>
              <w:rPr>
                <w:rFonts w:ascii="Arial Narrow" w:hAnsi="Arial Narrow"/>
                <w:sz w:val="20"/>
              </w:rPr>
            </w:pPr>
            <w:r>
              <w:rPr>
                <w:rFonts w:ascii="Arial;Helvetica;sans-serif" w:hAnsi="Arial;Helvetica;sans-serif"/>
                <w:b/>
                <w:sz w:val="20"/>
              </w:rPr>
              <w:t>DISCLAIMER</w:t>
            </w:r>
            <w:r>
              <w:rPr>
                <w:rFonts w:ascii="Arial;Helvetica;sans-serif" w:hAnsi="Arial;Helvetica;sans-serif"/>
                <w:sz w:val="20"/>
              </w:rPr>
              <w:t>. NEITHER TRANSOCEAN LTD. NOR ITS AFFILIATES MAKE ANY EXPRESS OR IMPLIED WARRANTIES (INCLUDING, WITHOUT LIMITATION, ANY WARRANTY OF MERCHANTABILITY OR FITNESS FOR A PARTICULAR PURPOSE OR USE) REGARDING THE INFORMATION CONTAINED IN THIS REPORT, WHICH INFORMATION IS PROVIDED “AS IS.” Neither Transocean Ltd. nor its affiliates will be liable to any recipient or anyone else for any inaccuracy, error or omission, regardless of cause, in the information set forth in this report or for any damages (whether direct or indirect, consequential, punitive or exemplary) resulting therefrom.</w:t>
              <w:br/>
            </w:r>
            <w:r>
              <w:rPr>
                <w:rFonts w:ascii="Arial Narrow" w:hAnsi="Arial Narrow"/>
                <w:sz w:val="20"/>
              </w:rPr>
              <w:t>​</w:t>
            </w:r>
          </w:p>
        </w:tc>
      </w:tr>
      <w:tr>
        <w:trPr/>
        <w:tc>
          <w:tcPr>
            <w:tcW w:w="270" w:type="dxa"/>
            <w:tcBorders/>
            <w:shd w:fill="FFFFFF" w:val="clear"/>
            <w:vAlign w:val="center"/>
          </w:tcPr>
          <w:p>
            <w:pPr>
              <w:pStyle w:val="TableContents"/>
              <w:bidi w:val="0"/>
              <w:spacing w:lineRule="auto" w:line="285" w:before="0" w:after="0"/>
              <w:ind w:left="0" w:right="0" w:hanging="0"/>
              <w:jc w:val="left"/>
              <w:rPr/>
            </w:pPr>
            <w:r>
              <w:rPr/>
              <w:t>​</w:t>
            </w:r>
          </w:p>
        </w:tc>
        <w:tc>
          <w:tcPr>
            <w:tcW w:w="9935" w:type="dxa"/>
            <w:tcBorders/>
            <w:shd w:fill="FFFFFF" w:val="clear"/>
            <w:vAlign w:val="center"/>
          </w:tcPr>
          <w:p>
            <w:pPr>
              <w:pStyle w:val="TableContents"/>
              <w:bidi w:val="0"/>
              <w:spacing w:lineRule="auto" w:line="285" w:before="0" w:after="0"/>
              <w:ind w:left="0" w:right="0" w:hanging="0"/>
              <w:jc w:val="left"/>
              <w:rPr/>
            </w:pPr>
            <w:r>
              <w:rPr/>
              <w:t>​</w:t>
            </w:r>
          </w:p>
        </w:tc>
      </w:tr>
      <w:tr>
        <w:trPr/>
        <w:tc>
          <w:tcPr>
            <w:tcW w:w="10205" w:type="dxa"/>
            <w:gridSpan w:val="2"/>
            <w:tcBorders/>
            <w:shd w:fill="FFFFFF" w:val="clear"/>
            <w:vAlign w:val="center"/>
          </w:tcPr>
          <w:p>
            <w:pPr>
              <w:pStyle w:val="TableContents"/>
              <w:bidi w:val="0"/>
              <w:spacing w:lineRule="auto" w:line="285" w:before="0" w:after="0"/>
              <w:ind w:left="0" w:right="0" w:hanging="0"/>
              <w:jc w:val="left"/>
              <w:rPr>
                <w:rFonts w:ascii="Arial Narrow" w:hAnsi="Arial Narrow"/>
                <w:sz w:val="20"/>
              </w:rPr>
            </w:pPr>
            <w:r>
              <w:rPr>
                <w:rFonts w:ascii="Arial;Helvetica;sans-serif" w:hAnsi="Arial;Helvetica;sans-serif"/>
                <w:b/>
                <w:sz w:val="20"/>
              </w:rPr>
              <w:t>No Unauthorized Publication or Use</w:t>
            </w:r>
            <w:r>
              <w:rPr>
                <w:rFonts w:ascii="Arial;Helvetica;sans-serif" w:hAnsi="Arial;Helvetica;sans-serif"/>
                <w:sz w:val="20"/>
              </w:rPr>
              <w:t xml:space="preserve">. All information provided by Transocean in this report is given for the exclusive use of the recipient and may not be published, redistributed or retransmitted without the prior written consent of Transocean. </w:t>
            </w:r>
          </w:p>
        </w:tc>
      </w:tr>
      <w:tr>
        <w:trPr/>
        <w:tc>
          <w:tcPr>
            <w:tcW w:w="270" w:type="dxa"/>
            <w:tcBorders/>
            <w:shd w:fill="FFFFFF" w:val="clear"/>
            <w:vAlign w:val="center"/>
          </w:tcPr>
          <w:p>
            <w:pPr>
              <w:pStyle w:val="TableContents"/>
              <w:bidi w:val="0"/>
              <w:spacing w:lineRule="auto" w:line="285" w:before="0" w:after="0"/>
              <w:ind w:left="0" w:right="0" w:hanging="0"/>
              <w:jc w:val="left"/>
              <w:rPr/>
            </w:pPr>
            <w:r>
              <w:rPr/>
              <w:t>​</w:t>
            </w:r>
          </w:p>
        </w:tc>
        <w:tc>
          <w:tcPr>
            <w:tcW w:w="9935" w:type="dxa"/>
            <w:tcBorders/>
            <w:shd w:fill="FFFFFF" w:val="clear"/>
            <w:vAlign w:val="center"/>
          </w:tcPr>
          <w:p>
            <w:pPr>
              <w:pStyle w:val="TableContents"/>
              <w:bidi w:val="0"/>
              <w:spacing w:lineRule="auto" w:line="285" w:before="0" w:after="0"/>
              <w:ind w:left="0" w:right="0" w:hanging="0"/>
              <w:jc w:val="left"/>
              <w:rPr/>
            </w:pPr>
            <w:r>
              <w:rPr/>
              <w:t>​</w:t>
            </w:r>
          </w:p>
        </w:tc>
      </w:tr>
      <w:tr>
        <w:trPr/>
        <w:tc>
          <w:tcPr>
            <w:tcW w:w="10205" w:type="dxa"/>
            <w:gridSpan w:val="2"/>
            <w:tcBorders/>
            <w:shd w:fill="FFFFFF" w:val="clear"/>
            <w:vAlign w:val="center"/>
          </w:tcPr>
          <w:p>
            <w:pPr>
              <w:pStyle w:val="TableContents"/>
              <w:bidi w:val="0"/>
              <w:spacing w:lineRule="auto" w:line="285" w:before="0" w:after="0"/>
              <w:ind w:left="0" w:right="0" w:hanging="0"/>
              <w:jc w:val="left"/>
              <w:rPr>
                <w:rFonts w:ascii="Arial Narrow" w:hAnsi="Arial Narrow"/>
                <w:sz w:val="20"/>
              </w:rPr>
            </w:pPr>
            <w:r>
              <w:rPr>
                <w:rFonts w:ascii="Arial;Helvetica;sans-serif" w:hAnsi="Arial;Helvetica;sans-serif"/>
                <w:b/>
                <w:sz w:val="20"/>
              </w:rPr>
              <w:t>Customer Contract Duration, Timing and Dayrates and Risks Associated with Operations</w:t>
            </w:r>
            <w:r>
              <w:rPr>
                <w:rFonts w:ascii="Arial;Helvetica;sans-serif" w:hAnsi="Arial;Helvetica;sans-serif"/>
                <w:sz w:val="20"/>
              </w:rPr>
              <w:t>. The duration and timing (including both starting and ending dates) of the customer contracts are estimates only, and customer contracts are subject to cancellation, suspension and delays for a variety of reasons, including some beyond the control of Transocean. Also, the dayrates set forth in the report are estimates based upon the full contractual operating dayrate. However, the actual average dayrate earned over the course of any given contract will be lower and could be substantially lower. The actual average dayrate will depend upon a number of factors (rig downtime, suspension of operations, etc.) including some beyond the control of Transocean. Our customer contracts and operations are generally subject to a number of risks and uncertainties, and we urge you to review the description and explanation of such risks and uncertainties in our filings with the Securities and Exchange Commission (SEC), which are available free of charge on the SEC’s website at www.sec.gov. The dayrates do not include revenue for mobilizations, demobilizations, upgrades, shipyards or recharges.</w:t>
            </w:r>
          </w:p>
        </w:tc>
      </w:tr>
      <w:tr>
        <w:trPr/>
        <w:tc>
          <w:tcPr>
            <w:tcW w:w="270" w:type="dxa"/>
            <w:tcBorders/>
            <w:shd w:fill="FFFFFF" w:val="clear"/>
            <w:vAlign w:val="center"/>
          </w:tcPr>
          <w:p>
            <w:pPr>
              <w:pStyle w:val="TableContents"/>
              <w:bidi w:val="0"/>
              <w:spacing w:lineRule="auto" w:line="285" w:before="0" w:after="0"/>
              <w:ind w:left="0" w:right="0" w:hanging="0"/>
              <w:jc w:val="left"/>
              <w:rPr/>
            </w:pPr>
            <w:r>
              <w:rPr/>
              <w:t>​</w:t>
            </w:r>
          </w:p>
        </w:tc>
        <w:tc>
          <w:tcPr>
            <w:tcW w:w="9935" w:type="dxa"/>
            <w:tcBorders/>
            <w:shd w:fill="FFFFFF" w:val="clear"/>
            <w:vAlign w:val="center"/>
          </w:tcPr>
          <w:p>
            <w:pPr>
              <w:pStyle w:val="TableContents"/>
              <w:bidi w:val="0"/>
              <w:spacing w:lineRule="auto" w:line="285" w:before="0" w:after="0"/>
              <w:ind w:left="0" w:right="0" w:hanging="0"/>
              <w:jc w:val="left"/>
              <w:rPr/>
            </w:pPr>
            <w:r>
              <w:rPr/>
              <w:t>​</w:t>
            </w:r>
          </w:p>
        </w:tc>
      </w:tr>
      <w:tr>
        <w:trPr/>
        <w:tc>
          <w:tcPr>
            <w:tcW w:w="10205" w:type="dxa"/>
            <w:gridSpan w:val="2"/>
            <w:tcBorders/>
            <w:vAlign w:val="center"/>
          </w:tcPr>
          <w:p>
            <w:pPr>
              <w:pStyle w:val="TableContents"/>
              <w:bidi w:val="0"/>
              <w:spacing w:lineRule="auto" w:line="285" w:before="0" w:after="0"/>
              <w:ind w:left="0" w:right="0" w:hanging="0"/>
              <w:jc w:val="left"/>
              <w:rPr>
                <w:rFonts w:ascii="Arial Narrow" w:hAnsi="Arial Narrow"/>
                <w:sz w:val="20"/>
              </w:rPr>
            </w:pPr>
            <w:r>
              <w:rPr>
                <w:rFonts w:ascii="Arial;Helvetica;sans-serif" w:hAnsi="Arial;Helvetica;sans-serif"/>
                <w:b/>
                <w:sz w:val="20"/>
              </w:rPr>
              <w:t xml:space="preserve">Contract backlog. </w:t>
            </w:r>
            <w:r>
              <w:rPr>
                <w:rFonts w:ascii="Arial;Helvetica;sans-serif" w:hAnsi="Arial;Helvetica;sans-serif"/>
                <w:sz w:val="20"/>
              </w:rPr>
              <w:t>The maximum contractual operating dayrate multiplied by the number of days remaining in the firm contract period, including certain performance-based provisions for which achievement is probable, excluding provisions for mobilization, demobilization, contract preparation, other incentive provisions or reimbursement revenues, which are not expected to be material to our contract drilling revenues. The contract backlog represents the maximum contract drilling revenues that can be earned considering the reported operating dayrate in effect during the firm contract period.</w:t>
            </w:r>
          </w:p>
        </w:tc>
      </w:tr>
      <w:tr>
        <w:trPr/>
        <w:tc>
          <w:tcPr>
            <w:tcW w:w="270" w:type="dxa"/>
            <w:tcBorders/>
            <w:shd w:fill="FFFFFF" w:val="clear"/>
            <w:vAlign w:val="center"/>
          </w:tcPr>
          <w:p>
            <w:pPr>
              <w:pStyle w:val="TableContents"/>
              <w:bidi w:val="0"/>
              <w:spacing w:lineRule="auto" w:line="285" w:before="0" w:after="0"/>
              <w:ind w:left="0" w:right="0" w:hanging="0"/>
              <w:jc w:val="left"/>
              <w:rPr/>
            </w:pPr>
            <w:r>
              <w:rPr/>
              <w:t>​</w:t>
            </w:r>
          </w:p>
        </w:tc>
        <w:tc>
          <w:tcPr>
            <w:tcW w:w="9935" w:type="dxa"/>
            <w:tcBorders/>
            <w:shd w:fill="FFFFFF" w:val="clear"/>
            <w:vAlign w:val="center"/>
          </w:tcPr>
          <w:p>
            <w:pPr>
              <w:pStyle w:val="TableContents"/>
              <w:bidi w:val="0"/>
              <w:spacing w:lineRule="auto" w:line="285" w:before="0" w:after="0"/>
              <w:ind w:left="0" w:right="0" w:hanging="0"/>
              <w:jc w:val="left"/>
              <w:rPr/>
            </w:pPr>
            <w:r>
              <w:rPr/>
              <w:t>​</w:t>
            </w:r>
          </w:p>
        </w:tc>
      </w:tr>
      <w:tr>
        <w:trPr/>
        <w:tc>
          <w:tcPr>
            <w:tcW w:w="10205" w:type="dxa"/>
            <w:gridSpan w:val="2"/>
            <w:tcBorders/>
            <w:shd w:fill="FFFFFF" w:val="clear"/>
            <w:vAlign w:val="center"/>
          </w:tcPr>
          <w:p>
            <w:pPr>
              <w:pStyle w:val="TableContents"/>
              <w:bidi w:val="0"/>
              <w:spacing w:lineRule="auto" w:line="285" w:before="0" w:after="0"/>
              <w:ind w:left="0" w:right="0" w:hanging="0"/>
              <w:jc w:val="left"/>
              <w:rPr>
                <w:rFonts w:ascii="Arial Narrow" w:hAnsi="Arial Narrow"/>
                <w:sz w:val="20"/>
              </w:rPr>
            </w:pPr>
            <w:r>
              <w:rPr>
                <w:rFonts w:ascii="Arial;Helvetica;sans-serif" w:hAnsi="Arial;Helvetica;sans-serif"/>
                <w:b/>
                <w:sz w:val="20"/>
              </w:rPr>
              <w:t xml:space="preserve">Out of Service. </w:t>
            </w:r>
            <w:r>
              <w:rPr>
                <w:rFonts w:ascii="Arial;Helvetica;sans-serif" w:hAnsi="Arial;Helvetica;sans-serif"/>
                <w:sz w:val="20"/>
              </w:rPr>
              <w:t>The time associated with committed shipyards, upgrades, surveys, repairs, regulatory inspections, contract preparation or other committed activity on the rig and is not expected to earn an operating dayrate, Contract preparation refers to periods during which the rig is undergoing modifications or upgrades as a result of contract requirements.</w:t>
              <w:br/>
            </w:r>
            <w:r>
              <w:rPr>
                <w:rFonts w:ascii="Arial Narrow" w:hAnsi="Arial Narrow"/>
                <w:sz w:val="20"/>
              </w:rPr>
              <w:t>​</w:t>
            </w:r>
          </w:p>
        </w:tc>
      </w:tr>
      <w:tr>
        <w:trPr/>
        <w:tc>
          <w:tcPr>
            <w:tcW w:w="270" w:type="dxa"/>
            <w:tcBorders/>
            <w:shd w:fill="FFFFFF" w:val="clear"/>
            <w:vAlign w:val="center"/>
          </w:tcPr>
          <w:p>
            <w:pPr>
              <w:pStyle w:val="TableContents"/>
              <w:bidi w:val="0"/>
              <w:spacing w:lineRule="auto" w:line="285" w:before="0" w:after="0"/>
              <w:ind w:left="0" w:right="0" w:hanging="0"/>
              <w:jc w:val="right"/>
              <w:rPr/>
            </w:pPr>
            <w:r>
              <w:rPr/>
              <w:t>•</w:t>
            </w:r>
          </w:p>
        </w:tc>
        <w:tc>
          <w:tcPr>
            <w:tcW w:w="9935" w:type="dxa"/>
            <w:tcBorders/>
            <w:shd w:fill="FFFFFF" w:val="clear"/>
            <w:vAlign w:val="center"/>
          </w:tcPr>
          <w:p>
            <w:pPr>
              <w:pStyle w:val="TableContents"/>
              <w:bidi w:val="0"/>
              <w:spacing w:lineRule="auto" w:line="285" w:before="0" w:after="0"/>
              <w:ind w:left="0" w:right="0" w:hanging="0"/>
              <w:jc w:val="left"/>
              <w:rPr>
                <w:rFonts w:ascii="Arial Narrow" w:hAnsi="Arial Narrow"/>
                <w:sz w:val="20"/>
              </w:rPr>
            </w:pPr>
            <w:r>
              <w:rPr>
                <w:rFonts w:ascii="Arial;Helvetica;sans-serif" w:hAnsi="Arial;Helvetica;sans-serif"/>
                <w:sz w:val="20"/>
              </w:rPr>
              <w:t>The references included in this Fleet Status Report may not be firm and could change significantly based on a variety of factors. Any significant changes to our estimates of out of service time will be reflected in subsequent Fleet Status Reports, as applicable.</w:t>
              <w:br/>
            </w:r>
            <w:r>
              <w:rPr>
                <w:rFonts w:ascii="Arial Narrow" w:hAnsi="Arial Narrow"/>
                <w:sz w:val="20"/>
              </w:rPr>
              <w:t>​</w:t>
            </w:r>
          </w:p>
        </w:tc>
      </w:tr>
      <w:tr>
        <w:trPr/>
        <w:tc>
          <w:tcPr>
            <w:tcW w:w="270" w:type="dxa"/>
            <w:tcBorders/>
            <w:shd w:fill="FFFFFF" w:val="clear"/>
            <w:vAlign w:val="center"/>
          </w:tcPr>
          <w:p>
            <w:pPr>
              <w:pStyle w:val="TableContents"/>
              <w:bidi w:val="0"/>
              <w:spacing w:lineRule="auto" w:line="285" w:before="0" w:after="0"/>
              <w:ind w:left="0" w:right="0" w:hanging="0"/>
              <w:jc w:val="right"/>
              <w:rPr/>
            </w:pPr>
            <w:r>
              <w:rPr/>
              <w:t>•</w:t>
            </w:r>
          </w:p>
        </w:tc>
        <w:tc>
          <w:tcPr>
            <w:tcW w:w="9935" w:type="dxa"/>
            <w:tcBorders/>
            <w:shd w:fill="FFFF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In some instances such as certain mobilizations, upgrades and shipyards, we are paid compensation by our customers that is generally recognized over the life of the primary contract term of the drilling contract.</w:t>
            </w:r>
          </w:p>
        </w:tc>
      </w:tr>
      <w:tr>
        <w:trPr/>
        <w:tc>
          <w:tcPr>
            <w:tcW w:w="270" w:type="dxa"/>
            <w:tcBorders/>
            <w:shd w:fill="FFFFFF" w:val="clear"/>
            <w:vAlign w:val="center"/>
          </w:tcPr>
          <w:p>
            <w:pPr>
              <w:pStyle w:val="TableContents"/>
              <w:bidi w:val="0"/>
              <w:spacing w:lineRule="auto" w:line="285" w:before="0" w:after="0"/>
              <w:ind w:left="0" w:right="0" w:hanging="0"/>
              <w:jc w:val="left"/>
              <w:rPr/>
            </w:pPr>
            <w:r>
              <w:rPr/>
              <w:t>​</w:t>
            </w:r>
          </w:p>
        </w:tc>
        <w:tc>
          <w:tcPr>
            <w:tcW w:w="9935" w:type="dxa"/>
            <w:tcBorders/>
            <w:shd w:fill="FFFFFF" w:val="clear"/>
            <w:vAlign w:val="center"/>
          </w:tcPr>
          <w:p>
            <w:pPr>
              <w:pStyle w:val="TableContents"/>
              <w:bidi w:val="0"/>
              <w:spacing w:lineRule="auto" w:line="285" w:before="0" w:after="0"/>
              <w:ind w:left="0" w:right="0" w:hanging="0"/>
              <w:jc w:val="left"/>
              <w:rPr/>
            </w:pPr>
            <w:r>
              <w:rPr/>
              <w:t>​</w:t>
            </w:r>
          </w:p>
        </w:tc>
      </w:tr>
      <w:tr>
        <w:trPr/>
        <w:tc>
          <w:tcPr>
            <w:tcW w:w="10205" w:type="dxa"/>
            <w:gridSpan w:val="2"/>
            <w:tcBorders/>
            <w:shd w:fill="FFFFFF" w:val="clear"/>
            <w:vAlign w:val="center"/>
          </w:tcPr>
          <w:p>
            <w:pPr>
              <w:pStyle w:val="TableContents"/>
              <w:bidi w:val="0"/>
              <w:spacing w:lineRule="auto" w:line="285" w:before="0" w:after="0"/>
              <w:ind w:left="0" w:right="0" w:hanging="0"/>
              <w:jc w:val="left"/>
              <w:rPr>
                <w:rFonts w:ascii="Arial Narrow" w:hAnsi="Arial Narrow"/>
                <w:sz w:val="20"/>
              </w:rPr>
            </w:pPr>
            <w:r>
              <w:rPr>
                <w:rFonts w:ascii="Arial;Helvetica;sans-serif" w:hAnsi="Arial;Helvetica;sans-serif"/>
                <w:b/>
                <w:sz w:val="20"/>
              </w:rPr>
              <w:t>Forward-Looking Statement</w:t>
            </w:r>
            <w:r>
              <w:rPr>
                <w:rFonts w:ascii="Arial;Helvetica;sans-serif" w:hAnsi="Arial;Helvetica;sans-serif"/>
                <w:sz w:val="20"/>
              </w:rPr>
              <w:t xml:space="preserve">. The statements made in the Fleet Status Report that are not historical facts are forward-looking statements within the meaning of Section 27A of the Securities Act of 1933 and Section 21E of the Securities Exchange Act of 1934. Forward-looking statements made in the Fleet Status Report include, but are not limited to, statements involving the estimated duration of customer contracts, contract dayrate amounts, future contract commencement dates and locations and planned shipyard projects and other out of service time. Such statements are subject to numerous risks, uncertainties and assumptions, including but not limited to, uncertainties relating to the level of activity in offshore oil and gas exploration and development, exploration success by producers, oil and gas prices, competition and market conditions in the contract drilling industry, shipyard delays, actions and approvals of third parties, possible cancellation or suspension of drilling contracts as a result of mechanical difficulties or performance, Transocean’s ability to enter into and the terms of future contracts, the availability of qualified personnel, labor relations and the outcome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4665"/>
        <w:gridCol w:w="5540"/>
      </w:tblGrid>
      <w:tr>
        <w:trPr/>
        <w:tc>
          <w:tcPr>
            <w:tcW w:w="10205" w:type="dxa"/>
            <w:gridSpan w:val="2"/>
            <w:tcBorders/>
            <w:shd w:fill="FFFFFF" w:val="cle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of negotiations with unions representing workers, operating hazards, factors affecting the duration of contracts including well-in-progress provisions, the actual amount of downtime, factors resulting in reduced applicable dayrates, hurricanes and other weather conditions, terrorism, political and other uncertainties inherent in non-U.S. operations (including the risk of war, civil disturbance, seizure or damage of equipment and exchange and currency fluctuations), the impact of governmental laws and regulations, the adequacy of sources of liquidity, the effect of litigation and contingencies and other factors described above and discussed in Transocean’s most recently filed Form 10-K, in Transocean’s Forms 10-Q for subsequent periods and in Transocean’s other filings with the SEC, which are available free of charge on the SEC’s website at www.sec.gov. Should one or more of these risks or uncertainties materialize, or should underlying assumptions prove incorrect, actual results may vary materially from those indicated. You should not place undue reliance on forward-looking statements. Each forward-looking statement speaks only as of the date of the particular statement, and we undertake no obligation to publicly update or revise any forward-looking statements, except as required by law.</w:t>
            </w:r>
          </w:p>
        </w:tc>
      </w:tr>
      <w:tr>
        <w:trPr/>
        <w:tc>
          <w:tcPr>
            <w:tcW w:w="4665" w:type="dxa"/>
            <w:tcBorders/>
            <w:shd w:fill="FFFFFF" w:val="clear"/>
            <w:vAlign w:val="center"/>
          </w:tcPr>
          <w:p>
            <w:pPr>
              <w:pStyle w:val="TableContents"/>
              <w:bidi w:val="0"/>
              <w:spacing w:lineRule="auto" w:line="285" w:before="0" w:after="0"/>
              <w:ind w:left="0" w:right="0" w:hanging="0"/>
              <w:jc w:val="left"/>
              <w:rPr/>
            </w:pPr>
            <w:r>
              <w:rPr/>
              <w:t>​</w:t>
            </w:r>
          </w:p>
        </w:tc>
        <w:tc>
          <w:tcPr>
            <w:tcW w:w="5540" w:type="dxa"/>
            <w:tcBorders/>
            <w:shd w:fill="FFFFFF" w:val="clear"/>
            <w:vAlign w:val="center"/>
          </w:tcPr>
          <w:p>
            <w:pPr>
              <w:pStyle w:val="TableContents"/>
              <w:bidi w:val="0"/>
              <w:spacing w:lineRule="auto" w:line="285" w:before="0" w:after="0"/>
              <w:ind w:left="0" w:right="0" w:hanging="0"/>
              <w:jc w:val="left"/>
              <w:rPr/>
            </w:pPr>
            <w:r>
              <w:rPr/>
              <w:t>​</w:t>
            </w:r>
          </w:p>
        </w:tc>
      </w:tr>
      <w:tr>
        <w:trPr/>
        <w:tc>
          <w:tcPr>
            <w:tcW w:w="10205" w:type="dxa"/>
            <w:gridSpan w:val="2"/>
            <w:tcBorders/>
            <w:shd w:fill="FFFFFF" w:val="clear"/>
            <w:vAlign w:val="center"/>
          </w:tcPr>
          <w:p>
            <w:pPr>
              <w:pStyle w:val="TableContents"/>
              <w:bidi w:val="0"/>
              <w:spacing w:lineRule="auto" w:line="285" w:before="0" w:after="0"/>
              <w:ind w:left="0" w:right="0" w:hanging="0"/>
              <w:jc w:val="left"/>
              <w:rPr>
                <w:rFonts w:ascii="Arial Narrow" w:hAnsi="Arial Narrow"/>
                <w:sz w:val="20"/>
              </w:rPr>
            </w:pPr>
            <w:r>
              <w:rPr>
                <w:rFonts w:ascii="Arial;Helvetica;sans-serif" w:hAnsi="Arial;Helvetica;sans-serif"/>
                <w:b/>
                <w:sz w:val="20"/>
              </w:rPr>
              <w:t>Fleet Classifications</w:t>
            </w:r>
            <w:r>
              <w:rPr>
                <w:rFonts w:ascii="Arial;Helvetica;sans-serif" w:hAnsi="Arial;Helvetica;sans-serif"/>
                <w:sz w:val="20"/>
              </w:rPr>
              <w:t>. Transocean uses classifications for its drillships and semisubmersibles as follows: “Ultra-Deepwater” are the latest generation of drillships and semisubmersible rigs and are capable of drilling in water depths equal to or greater than 7,500 feet; “Harsh Environment” are premium rigs equipped for year-round operations in harsh environments.</w:t>
            </w:r>
          </w:p>
        </w:tc>
      </w:tr>
      <w:tr>
        <w:trPr/>
        <w:tc>
          <w:tcPr>
            <w:tcW w:w="4665" w:type="dxa"/>
            <w:tcBorders/>
            <w:shd w:fill="FFFFFF" w:val="clear"/>
            <w:vAlign w:val="center"/>
          </w:tcPr>
          <w:p>
            <w:pPr>
              <w:pStyle w:val="TableContents"/>
              <w:bidi w:val="0"/>
              <w:spacing w:lineRule="auto" w:line="285" w:before="0" w:after="0"/>
              <w:ind w:left="0" w:right="0" w:hanging="0"/>
              <w:jc w:val="left"/>
              <w:rPr/>
            </w:pPr>
            <w:r>
              <w:rPr/>
              <w:t>​</w:t>
            </w:r>
          </w:p>
        </w:tc>
        <w:tc>
          <w:tcPr>
            <w:tcW w:w="5540" w:type="dxa"/>
            <w:tcBorders/>
            <w:shd w:fill="FFFFFF" w:val="clear"/>
            <w:vAlign w:val="center"/>
          </w:tcPr>
          <w:p>
            <w:pPr>
              <w:pStyle w:val="TableContents"/>
              <w:bidi w:val="0"/>
              <w:spacing w:lineRule="auto" w:line="285" w:before="0" w:after="0"/>
              <w:ind w:left="0" w:right="0" w:hanging="0"/>
              <w:jc w:val="left"/>
              <w:rPr/>
            </w:pPr>
            <w:r>
              <w:rPr/>
              <w:t>​</w:t>
            </w:r>
          </w:p>
        </w:tc>
      </w:tr>
      <w:tr>
        <w:trPr/>
        <w:tc>
          <w:tcPr>
            <w:tcW w:w="10205" w:type="dxa"/>
            <w:gridSpan w:val="2"/>
            <w:tcBorders/>
            <w:shd w:fill="FFFFFF" w:val="clear"/>
            <w:vAlign w:val="center"/>
          </w:tcPr>
          <w:p>
            <w:pPr>
              <w:pStyle w:val="TableContents"/>
              <w:bidi w:val="0"/>
              <w:spacing w:lineRule="auto" w:line="285" w:before="0" w:after="0"/>
              <w:ind w:left="0" w:right="0" w:hanging="0"/>
              <w:jc w:val="left"/>
              <w:rPr>
                <w:rFonts w:ascii="Arial Narrow" w:hAnsi="Arial Narrow"/>
                <w:sz w:val="20"/>
              </w:rPr>
            </w:pPr>
            <w:r>
              <w:rPr>
                <w:rFonts w:ascii="Arial;Helvetica;sans-serif" w:hAnsi="Arial;Helvetica;sans-serif"/>
                <w:b/>
                <w:sz w:val="20"/>
              </w:rPr>
              <w:t>Stacking</w:t>
            </w:r>
            <w:r>
              <w:rPr>
                <w:rFonts w:ascii="Arial;Helvetica;sans-serif" w:hAnsi="Arial;Helvetica;sans-serif"/>
                <w:sz w:val="20"/>
              </w:rPr>
              <w:t>. An "Idle" rig is primarily between contracts, readily available for operations, and operating costs are typically at or near normal levels. A "Stacked" rig, on the other hand, is primarily manned by a reduced crew or unmanned and typically has reduced operating costs and is (i) preparing for an extended period of inactivity, (ii) expected to continue to be inactive for an extended period, or (iii) completing a period of extended inactivity. However, stacked rigs will continue to incur operating costs at or above normal operating costs for approximately 30 days following initiation of stacking.</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Quantico">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0001451505/000145150526000018/rig-20251231x10k.htm" TargetMode="External"/><Relationship Id="rId5" Type="http://schemas.openxmlformats.org/officeDocument/2006/relationships/image" Target="media/image2.jpeg"/><Relationship Id="rId6" Type="http://schemas.openxmlformats.org/officeDocument/2006/relationships/hyperlink" Target="https://www.sec.gov/ix?doc=/Archives/edgar/data/0001451505/000145150526000018/rig-20251231x10k.htm" TargetMode="External"/><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4.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7441</Words>
  <Characters>40226</Characters>
  <CharactersWithSpaces>50583</CharactersWithSpaces>
  <Paragraphs>6925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