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and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TRANSOCEAN LTD.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001-38373</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98-0599916</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660" w:space="720"/>
            <w:col w:w="2900" w:space="720"/>
            <w:col w:w="2240"/>
          </w:cols>
          <w:pgMar w:left="320" w:top="754" w:right="339" w:bottom="1440" w:gutter="0" w:footer="0" w:header="0"/>
          <w:type w:val="continuous"/>
        </w:sectPr>
      </w:pPr>
    </w:p>
    <w:p>
      <w:pPr>
        <w:spacing w:after="0" w:line="3"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Turmstrasse 30</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Steinhausen, Switzerland</w:t>
      </w:r>
    </w:p>
    <w:p>
      <w:pPr>
        <w:spacing w:after="0" w:line="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CH-6312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520" w:space="720"/>
            <w:col w:w="300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 (41) 749-0500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Ticker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$0.10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RIG</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Transocean Ltd. (NYSE: RIG)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announced on June 30, 2026 its entry into an agreement with Equinor, conditional to license approvals, for the use of three of its harsh environment semisubmersible rigs on the Norwegian shelf. In aggregate, this agreement is worth over $1 billion in contract backlog over seven rig years, excluding additional services. The base day rate of $399,000 per day excludes adjustment provisions that will be effective prior to commencement and result in an effective day rate exceeding $400,000 per day at commencement.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 applies to three “Cat D” rigs which are designed for Norwegian winter conditions and originally purpose-built for Equinor:</w:t>
      </w:r>
    </w:p>
    <w:p>
      <w:pPr>
        <w:spacing w:after="0" w:line="237"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Transocean Enabler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Three-year program expected to commence in the first quarter of 2028 in direct continuation of the rig’s current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program.</w:t>
      </w:r>
    </w:p>
    <w:p>
      <w:pPr>
        <w:ind w:left="980"/>
        <w:spacing w:after="0" w:line="257" w:lineRule="auto"/>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Transocean Encourage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Two-year program expected to commence in the first quarter of 2028 in direct continuation of the rig’s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current program.</w:t>
      </w:r>
    </w:p>
    <w:p>
      <w:pPr>
        <w:spacing w:after="0" w:line="1" w:lineRule="exact"/>
        <w:rPr>
          <w:sz w:val="20"/>
          <w:szCs w:val="20"/>
          <w:color w:val="auto"/>
        </w:rPr>
      </w:pPr>
    </w:p>
    <w:p>
      <w:pPr>
        <w:ind w:left="980"/>
        <w:spacing w:after="0" w:line="280" w:lineRule="auto"/>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Transocean Endurance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Two-year program expected to commence in the second quarter of 2027 after mobilization back to Norway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from Australia.</w:t>
      </w:r>
    </w:p>
    <w:p>
      <w:pPr>
        <w:spacing w:after="0" w:line="1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agreement for seven rig years demonstrates the strength and resilience of Norway’s high-specification harsh environment market and our strong relationship with Equinor,” said Keelan Adamson, Transocean’s Chief Executive Officer. “Together with Equinor, we will continue to drive rig efficiency, improve the cost-effectiveness of wells, and prioritize safe and reliable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copy of the press release announcing the fixtures referred to above is attached hereto and incorporated herein by reference as Exhibit </w:t>
      </w:r>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Transaction Approvals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previously announced, on February 9, 2026, </w:t>
      </w:r>
      <w:r>
        <w:rPr>
          <w:rFonts w:ascii="Times New Roman" w:cs="Times New Roman" w:eastAsia="Times New Roman" w:hAnsi="Times New Roman"/>
          <w:sz w:val="18"/>
          <w:szCs w:val="18"/>
          <w:color w:val="030303"/>
        </w:rPr>
        <w:t>Transocean</w:t>
      </w:r>
      <w:r>
        <w:rPr>
          <w:rFonts w:ascii="Times New Roman" w:cs="Times New Roman" w:eastAsia="Times New Roman" w:hAnsi="Times New Roman"/>
          <w:sz w:val="18"/>
          <w:szCs w:val="18"/>
          <w:color w:val="auto"/>
        </w:rPr>
        <w:t xml:space="preserve"> and Valaris Limited, an exempted company limited by shares incorporated under the laws of Bermuda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Agreement provides that, among other things and upon the terms and subject to the conditions thereof, Transocean will acquire all of the issued and outstanding common shares of Valaris (the “</w:t>
      </w:r>
      <w:r>
        <w:rPr>
          <w:rFonts w:ascii="Times New Roman" w:cs="Times New Roman" w:eastAsia="Times New Roman" w:hAnsi="Times New Roman"/>
          <w:sz w:val="18"/>
          <w:szCs w:val="18"/>
          <w:b w:val="1"/>
          <w:bCs w:val="1"/>
          <w:color w:val="auto"/>
        </w:rPr>
        <w:t>Valaris Shares</w:t>
      </w:r>
      <w:r>
        <w:rPr>
          <w:rFonts w:ascii="Times New Roman" w:cs="Times New Roman" w:eastAsia="Times New Roman" w:hAnsi="Times New Roman"/>
          <w:sz w:val="18"/>
          <w:szCs w:val="18"/>
          <w:color w:val="auto"/>
        </w:rPr>
        <w:t>”) in exchange for 15.235 shares of Transocean per Valaris Share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closing of the Business Combination is subject to, among other things, the satisfaction or waiver of certain conditions, including (i) Transocean and Valaris obtaining clearance of the transactions contemplated by the Agreement and the Business Combination by the Committee on Foreign Investment in the United States (“</w:t>
      </w:r>
      <w:r>
        <w:rPr>
          <w:rFonts w:ascii="Times New Roman" w:cs="Times New Roman" w:eastAsia="Times New Roman" w:hAnsi="Times New Roman"/>
          <w:sz w:val="18"/>
          <w:szCs w:val="18"/>
          <w:b w:val="1"/>
          <w:bCs w:val="1"/>
          <w:color w:val="auto"/>
        </w:rPr>
        <w:t>CFIUS</w:t>
      </w:r>
      <w:r>
        <w:rPr>
          <w:rFonts w:ascii="Times New Roman" w:cs="Times New Roman" w:eastAsia="Times New Roman" w:hAnsi="Times New Roman"/>
          <w:sz w:val="18"/>
          <w:szCs w:val="18"/>
          <w:color w:val="auto"/>
        </w:rPr>
        <w:t>”) and (ii) the expiration or termination of the applicable waiting period under the Hart-Scott-Rodino Antitrust Improvements Act of 1976, as amended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21, 2026, Transocean and Valaris submitted a joint notice for review by CFIUS, and CFIUS accepted the notice for review by letter dated May 14, 2026. On June 29, 2026, Transocean and Valaris received written notice from CFIUS that constitutes CFIUS Approval (as defined in the Agreement). Accordingly, the condition to the Business Combination relating to the obtainment of CFIUS Approval has been satisfied.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Transocean and Valaris each filed an HSR Act notification with the Federal Trade Commission and the Antitrust Division of the United States Department of Justice (the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on March 2, 2026. Transocean withdrew its filing under the HSR Act on April 1, 2026, and subsequently refiled on April 3, 2026. On May 4, 2026, Transocean and Valaris each received a Request for Additional Information and Documentary Materials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w:t>
      </w:r>
      <w:r>
        <w:rPr>
          <w:rFonts w:ascii="Times New Roman" w:cs="Times New Roman" w:eastAsia="Times New Roman" w:hAnsi="Times New Roman"/>
          <w:sz w:val="18"/>
          <w:szCs w:val="18"/>
          <w:color w:val="auto"/>
        </w:rPr>
        <w:t>”) from the DOJ in connection with the DOJ’s review of the transactions contemplated by the Agreement. In connection with the Second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Transocean and Valaris have committed to the DOJ not to certify substantial compliance with the Second Request before July 31, 2026, and unless the waiting period is terminated earlier by the DOJ, not to close the transaction until 60 days after both Transocean and Valaris certify substantial compliance. The parties continue working cooperatively with the DOJ as it reviews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Transocean and Valaris continue to expect to complete the Business Combination in the second half of 2026, subject to receipt of remaining regulatory approvals, the approval by the shareholders of each company, and other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includes certain “forward-looking statements” within the meaning of the federal securities laws, including, but not limited to, those statements related to the proposed transaction, including financial estimates and statements as to the expected timing, completion and effects of the proposed transaction. These forward-looking statements are generally identified by the words “aim,” “anticipate,” “assume,” “believe,” “contemplate,” “continue,” “project,” “might,” “could,” “expect,” “estimate,” “intend,” “strategy,” “plan,” “predict,” “potential,” “may,” “should,” “will,” “would,” “will be,” “will continue,” “will likely result,” and similar expressions, although not all forward-looking statements contain these identifying words.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statements about Transocean’s, Valaris’ or the combined company’s plans, objectives, expectations, strategies, beliefs or future performance or events constitute forward-looking statements. These forward-looking statements, including statements regarding the proposed transaction, are based on Transocean’s and Valaris’ current expectations, estimates, projections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such as statements about the consummation of the proposed transaction and the anticipated benefits thereof.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Transocean’s and Valaris’ control.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risks and uncertainties that could cause actual results to differ materially from such plans, estimates or expectations include but are not limited to: (i) the completion of the proposed transaction on the anticipated terms and timing, or at all, including obtaining regulatory and shareholder approvals, and the satisfaction of other conditions to the completion of the proposed transaction as well as the failure to realize anticipated benefits of the proposed transaction; (ii) potential litigation relating to the proposed transaction, including the effects of any outcomes related thereto; (iii) the risk that disruptions from the proposed transaction (including the ability of certain counterparties of Valaris to terminate or amend contracts upon a change of control) will harm Transocean’s or Valaris’ business, including current plans and operations, including during the pendency of the proposed transaction;</w:t>
      </w:r>
    </w:p>
    <w:p>
      <w:pPr>
        <w:spacing w:after="0" w:line="5" w:lineRule="exact"/>
        <w:rPr>
          <w:sz w:val="20"/>
          <w:szCs w:val="20"/>
          <w:color w:val="auto"/>
        </w:rPr>
      </w:pPr>
    </w:p>
    <w:p>
      <w:pPr>
        <w:jc w:val="both"/>
        <w:ind w:firstLine="8"/>
        <w:spacing w:after="0" w:line="266" w:lineRule="auto"/>
        <w:tabs>
          <w:tab w:leader="none" w:pos="32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Transocean or Valaris to retain and hire key personnel, to retain customers or maintain relationships with their respective suppliers, customers and partners; (v) the diversion of management’s time and attention from ordinary course business operations to completion of the proposed transaction; (vi) potential adverse reactions or changes to business relationships resulting from the announcement or completion of the proposed transaction; (vii) legislative, regulatory and economic developments; (viii) potential business uncertainty, including changes to existing business relationships, during the pendency of the proposed transaction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(ix) the inability of Transocean and Valaris to achieve expected synergies from the transaction or that it may take longer or be more costly than expected to achieve those synergies; (x) an inability to de-leverage on the expected timeline, or at all; (xi) the imposition of any terms and conditions on any required governmental and regulatory approvals that could reduce the anticipated benefits to Transocean and Valaris of the acquisition; (xii) the inability to successfully integrate Valaris’ operations with those of Transocean without unexpected cost or delay; (xiii) certain restrictions during the pendency of the proposed transaction that may impact Transocean’s or Valaris’ ability to pursue certain business opportunities or strategic transactions; (xiv) unpredictability and severity of catastrophic events, including, but not limited to, acts of terrorism, outbreaks of war or hostilities or public health issues, as well as management’s response to any of the aforementioned factors; (xv) 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(xvi) the possibility that the proposed transaction may be more expensive to complete than anticipated, including as a result of unexpected factors or events; (xvii) the occurrence of any event, change or other circumstance that could give rise to the termination of the proposed transaction, including in circumstances requiring Transocean or Valaris to pay a termination fee; (xviii) the risk that Transocean’s or Valaris’ share price may decline significantly if the proposed transaction is not consummated; (xix) there may be liabilities that are not known, probable or estimable at this time or unexpected costs, charges or expenses; (xx) commodity price fluctuations and volatility, customer demand, loss of a significant customer or customer contracts, downtime and other risks associated with offshore rig operations and changes in worldwide rig supply; (xxi) adverse weather or major natural disasters, including hurricanes; (xxii) the global and regional supply and demand for oil and gas; (xxiii) fluctuation of current and future prices of oil and gas; (xxiv) intention to scrap certain drilling rigs; (xxv) demand, competition and technology, supply chain and logistics challenges, consumer preferences for alternative fuels and forecasts or expectations regarding the global energy transition, changes in customer strategy and future levels of offshore drilling activity; (xxvi) 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(xxvii) 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(xxviii) those risks that will be described in future filings with the SEC and available from the sources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proposed transaction will be completed, or if it is completed, that it will close within the anticipated time period. While the list of factors presented here is, and the list of factors presented in the joint proxy statement will be,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All forward-looking statements in this communication are qualified in their entirety by this cautionary statement. You should specifically consider the factors identified in this communication that could cause actual results to differ. Furthermore, new risks and uncertainties arise from time to time, and it is impossible for us to predict those events or how they may affect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Additional Information and Where to Find 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preliminary proxy statement on Schedule 14A with the SEC on May 19, 2026. The joint preliminary proxy statement is not final, and a joint definitive proxy statement (when available) will be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w:t>
      </w:r>
    </w:p>
    <w:tbl>
      <w:tblPr>
        <w:tblLayout w:type="fixed"/>
        <w:tblInd w:w="0" w:type="dxa"/>
        <w:tblCellMar>
          <w:top w:w="0" w:type="dxa"/>
          <w:left w:w="0" w:type="dxa"/>
          <w:bottom w:w="0" w:type="dxa"/>
          <w:right w:w="0" w:type="dxa"/>
        </w:tblCellMar>
      </w:tblPr>
      <w:tr>
        <w:trPr>
          <w:trHeight w:val="200"/>
        </w:trPr>
        <w:tc>
          <w:tcPr>
            <w:tcW w:w="256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statement (when available) and</w:t>
            </w:r>
          </w:p>
        </w:tc>
        <w:tc>
          <w:tcPr>
            <w:tcW w:w="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7"/>
              </w:rPr>
              <w:t>documents</w:t>
            </w:r>
          </w:p>
        </w:tc>
        <w:tc>
          <w:tcPr>
            <w:tcW w:w="44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6"/>
              </w:rPr>
              <w:t>filed</w:t>
            </w:r>
          </w:p>
        </w:tc>
        <w:tc>
          <w:tcPr>
            <w:tcW w:w="44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0"/>
              </w:rPr>
              <w:t>the</w:t>
            </w:r>
          </w:p>
        </w:tc>
        <w:tc>
          <w:tcPr>
            <w:tcW w:w="44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90"/>
              </w:rPr>
              <w:t>SEC</w:t>
            </w:r>
          </w:p>
        </w:tc>
        <w:tc>
          <w:tcPr>
            <w:tcW w:w="3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88"/>
              </w:rPr>
              <w:t>by</w:t>
            </w:r>
          </w:p>
        </w:tc>
        <w:tc>
          <w:tcPr>
            <w:tcW w:w="126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Transocean or</w:t>
            </w:r>
          </w:p>
        </w:tc>
        <w:tc>
          <w:tcPr>
            <w:tcW w:w="16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Valaris through the</w:t>
            </w:r>
          </w:p>
        </w:tc>
        <w:tc>
          <w:tcPr>
            <w:tcW w:w="2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website maintained by the SEC</w:t>
            </w:r>
          </w:p>
        </w:tc>
      </w:tr>
      <w:tr>
        <w:trPr>
          <w:trHeight w:val="194"/>
        </w:trPr>
        <w:tc>
          <w:tcPr>
            <w:tcW w:w="2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at http://www.sec.gov. Copies of</w:t>
            </w:r>
          </w:p>
        </w:tc>
        <w:tc>
          <w:tcPr>
            <w:tcW w:w="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the</w:t>
            </w:r>
          </w:p>
        </w:tc>
        <w:tc>
          <w:tcPr>
            <w:tcW w:w="8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documents</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filed</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the</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SEC</w:t>
            </w:r>
          </w:p>
        </w:tc>
        <w:tc>
          <w:tcPr>
            <w:tcW w:w="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1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Transocean will</w:t>
            </w:r>
          </w:p>
        </w:tc>
        <w:tc>
          <w:tcPr>
            <w:tcW w:w="16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be available free of</w:t>
            </w:r>
          </w:p>
        </w:tc>
        <w:tc>
          <w:tcPr>
            <w:tcW w:w="2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charge on Transocean’s website</w:t>
            </w:r>
          </w:p>
        </w:tc>
      </w:tr>
      <w:tr>
        <w:trPr>
          <w:trHeight w:val="20"/>
        </w:trPr>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www.deepwater.com</w:t>
      </w:r>
      <w:r>
        <w:rPr>
          <w:rFonts w:ascii="Times New Roman" w:cs="Times New Roman" w:eastAsia="Times New Roman" w:hAnsi="Times New Roman"/>
          <w:sz w:val="18"/>
          <w:szCs w:val="18"/>
          <w:color w:val="auto"/>
        </w:rPr>
        <w:t xml:space="preserve"> under the tab “Investors” and under the heading “SEC Filings.” Copies of the documents filed with the SEC by Valaris will be available free of charge on Valaris’ website at </w:t>
      </w:r>
      <w:r>
        <w:rPr>
          <w:rFonts w:ascii="Times New Roman" w:cs="Times New Roman" w:eastAsia="Times New Roman" w:hAnsi="Times New Roman"/>
          <w:sz w:val="18"/>
          <w:szCs w:val="18"/>
          <w:u w:val="single" w:color="auto"/>
          <w:color w:val="auto"/>
        </w:rPr>
        <w:t>www.valaris.com</w:t>
      </w:r>
      <w:r>
        <w:rPr>
          <w:rFonts w:ascii="Times New Roman" w:cs="Times New Roman" w:eastAsia="Times New Roman" w:hAnsi="Times New Roman"/>
          <w:sz w:val="18"/>
          <w:szCs w:val="18"/>
          <w:color w:val="auto"/>
        </w:rPr>
        <w:t xml:space="preserve"> under the tab “Investors” and under the heading “Financials” and subheading “SEC Filings.”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w:t>
      </w:r>
      <w:r>
        <w:rPr>
          <w:rFonts w:ascii="Times New Roman" w:cs="Times New Roman" w:eastAsia="Times New Roman" w:hAnsi="Times New Roman"/>
          <w:sz w:val="18"/>
          <w:szCs w:val="18"/>
          <w:b w:val="1"/>
          <w:bCs w:val="1"/>
          <w:color w:val="auto"/>
        </w:rPr>
        <w:t>FinSA</w:t>
      </w:r>
      <w:r>
        <w:rPr>
          <w:rFonts w:ascii="Times New Roman" w:cs="Times New Roman" w:eastAsia="Times New Roman" w:hAnsi="Times New Roman"/>
          <w:sz w:val="18"/>
          <w:szCs w:val="18"/>
          <w:color w:val="auto"/>
        </w:rPr>
        <w:t>”), or advertising within the meaning of the FinSA.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Transocean, Valaris and their respective directors and executive officers and certain other members of management and employees may be considered to be participants in the solicitation of proxies from the shareholders of Transocean and Valaris in connection with the proposed transaction. Information about the interests of the directors and executive officers of Transocean and Valaris and other persons who may be deemed to be participants in the solicitation of shareholders of Valaris in connection with the proposed transaction and a description of their direct and indirect interests, by security holdings or otherwise, will be included in the joint proxy statement, which will be filed with the SEC. Information about Transocean’s directors and executive officers is set forth in Transocean’s Annual Report on Form 10-K for the year ended December 31, 2025, which was filed with the SEC on February 23, 2026 and its proxy statement for its 2026 annual meeting, which was filed with the SEC on March 20, 2026. Information about Valaris’ directors and executive officers is set forth in Valaris’ Annual Report on Form 10-K for the year ended December 31, 2025, which was filed with the SEC on February 20, 2026, and its proxy statement for its 2026 annual meeting, which was filed with the SEC on April 16, 2026. To the extent holdings of Transocean’s or Valaris’ securities by its directors or executive officers have changed since the amounts set forth in such filings, such changes have been or will be reflected in Initial Statements of Beneficial Ownership on Form 3 or Statements of Beneficial Ownership on Form 4 filed with the SEC. Additional information about the directors and executive officers of Transocean and Valaris and other information regarding the potential participants in the proxy solicitations and a description of their direct and indirect interests, by security holdings or otherwise, which may, in some cases, be different than those of Transocean shareholders or Valaris’ shareholders generally, will be contained in the joint proxy statement and other relevant materials to be filed with the SEC regarding the proposed transaction. You may obtain these documents (when they become available) free of charge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and from Transocean’s or Valaris’ website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7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8"/>
                <w:szCs w:val="18"/>
                <w:color w:val="auto"/>
              </w:rPr>
              <w:t>. ​​​</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 xml:space="preserve">Transocean Ltd. Announces Agreement with Equinor Valued at Over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 Billion</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4360" w:type="dxa"/>
            <w:vAlign w:val="bottom"/>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TRANSOCEAN LTD.</w:t>
            </w:r>
          </w:p>
        </w:tc>
      </w:tr>
      <w:tr>
        <w:trPr>
          <w:trHeight w:val="64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Debra Kupferman</w:t>
            </w:r>
          </w:p>
        </w:tc>
      </w:tr>
      <w:tr>
        <w:trPr>
          <w:trHeight w:val="191"/>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Debra Kupferman</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675"/>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1163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16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Transocean Ltd. Announces Agreement with Equinor Valued at Over $1 Billion</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STEINHAUSEN, Switzerland, June 30, 2026 — Transocean Ltd. (NYSE: RIG) (“Transocean”) today announced its entry into an agreement with Equinor, conditional to license approvals, for the use of three of its harsh environment semisubmersible rigs on the Norwegian shelf. In aggregate, this agreement is worth over $1 billion in contract backlog over seven rig years, excluding additional services. The base day rate of $399,000 per day excludes adjustment provisions that will be effective prior to commencement and result in an effective day rate exceeding $400,000 per day at commencement.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applies to three “Cat D” rigs which are designed for Norwegian winter conditions and originally purpose-built for Equinor:</w:t>
      </w:r>
    </w:p>
    <w:p>
      <w:pPr>
        <w:spacing w:after="0" w:line="223" w:lineRule="exact"/>
        <w:rPr>
          <w:sz w:val="20"/>
          <w:szCs w:val="20"/>
          <w:color w:val="auto"/>
        </w:rPr>
      </w:pPr>
    </w:p>
    <w:p>
      <w:pPr>
        <w:ind w:left="660" w:hanging="328"/>
        <w:spacing w:after="0" w:line="26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Transocean Enabler</w:t>
      </w:r>
      <w:r>
        <w:rPr>
          <w:rFonts w:ascii="Times New Roman" w:cs="Times New Roman" w:eastAsia="Times New Roman" w:hAnsi="Times New Roman"/>
          <w:sz w:val="18"/>
          <w:szCs w:val="18"/>
          <w:color w:val="auto"/>
        </w:rPr>
        <w:t xml:space="preserve"> – Three-year program expected to commence in the first quarter of 2028 in direct continuation of the rig’s current program.</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Transocean Encourage</w:t>
      </w:r>
      <w:r>
        <w:rPr>
          <w:rFonts w:ascii="Times New Roman" w:cs="Times New Roman" w:eastAsia="Times New Roman" w:hAnsi="Times New Roman"/>
          <w:sz w:val="18"/>
          <w:szCs w:val="18"/>
          <w:color w:val="auto"/>
        </w:rPr>
        <w:t xml:space="preserve"> – Two-year program expected to commence in the first quarter of 2028 in direct continuation of the rig’s current program.</w:t>
      </w:r>
    </w:p>
    <w:p>
      <w:pPr>
        <w:spacing w:after="0" w:line="1"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Transocean Endurance</w:t>
      </w:r>
      <w:r>
        <w:rPr>
          <w:rFonts w:ascii="Times New Roman" w:cs="Times New Roman" w:eastAsia="Times New Roman" w:hAnsi="Times New Roman"/>
          <w:sz w:val="18"/>
          <w:szCs w:val="18"/>
          <w:color w:val="auto"/>
        </w:rPr>
        <w:t xml:space="preserve"> – Two-year program expected to commence in the second quarter of 2027 after mobilization back to Norway from Australia.</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for seven rig years demonstrates the strength and resilience of Norway’s high-specification harsh environment market and our strong relationship with Equinor,” said Keelan Adamson, Transocean’s Chief Executive Officer. “Together with Equinor, we will continue to drive rig efficiency, improve the cost-effectiveness of wells, and prioritize safe and reliable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Transocean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Transocean owns or has partial ownership interests in and operates a fleet of 27 mobile offshore drilling units, consisting of 20 ultra-deepwater floaters and seven harsh environment floaters.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statements described herein that are not historical facts are forward-looking statements within the meaning of Section 27A of the Securities Act of 1933, as amended, and Section 21E of the Securities Exchange Act of 1934, as amended. These statements could contain words such as “expected”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other risks discussed in the company's most recent Annual Report on Form 10-K for the year ended December 31, 2025, and in the company's other filings with the SEC, which are available free of charge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non-GAAP financial measure reconciliations to the most comparative GAAP measure are displayed in quantitative schedules on the company’s website at www.deepwater.com.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Davidson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+1 713-232-7217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Mays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+1 713-232-7734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2026-07-01T08:03:00Z</dcterms:created>
  <dcterms:modified xsi:type="dcterms:W3CDTF">2026-07-01T08:03:00Z</dcterms:modified>
</cp:coreProperties>
</file>